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5899" w14:textId="77777777" w:rsidR="004D23B6" w:rsidRDefault="004D23B6" w:rsidP="00604269">
      <w:pPr>
        <w:pStyle w:val="HChG"/>
        <w:spacing w:before="120"/>
        <w:ind w:left="567" w:firstLine="0"/>
        <w:jc w:val="both"/>
      </w:pPr>
    </w:p>
    <w:p w14:paraId="0C8F3FB6" w14:textId="6E9BCCB9" w:rsidR="00604269" w:rsidRPr="008F524D" w:rsidRDefault="00604269" w:rsidP="00604269">
      <w:pPr>
        <w:pStyle w:val="HChG"/>
        <w:spacing w:before="120"/>
        <w:ind w:left="567" w:firstLine="0"/>
        <w:jc w:val="both"/>
        <w:rPr>
          <w:lang w:val="en-US"/>
        </w:rPr>
      </w:pPr>
      <w:r w:rsidRPr="008F524D">
        <w:t xml:space="preserve">Proposal for amendments to </w:t>
      </w:r>
      <w:r w:rsidR="008021B6" w:rsidRPr="008F524D">
        <w:t xml:space="preserve">the 07 series of amendments </w:t>
      </w:r>
      <w:r w:rsidR="0085003D" w:rsidRPr="008F524D">
        <w:t xml:space="preserve">to UN Regulation No. </w:t>
      </w:r>
      <w:r w:rsidR="008021B6" w:rsidRPr="008F524D">
        <w:t xml:space="preserve">83 </w:t>
      </w:r>
      <w:r w:rsidR="0085003D" w:rsidRPr="008F524D">
        <w:t>(</w:t>
      </w:r>
      <w:r w:rsidR="008021B6" w:rsidRPr="008F524D">
        <w:t>Uniform provisions concerning the approval of vehicles with regard to the emission of pollutants according to engine fuel requirements</w:t>
      </w:r>
      <w:r w:rsidR="0085003D" w:rsidRPr="008F524D">
        <w:t>)</w:t>
      </w:r>
    </w:p>
    <w:p w14:paraId="6E8BF1A5" w14:textId="77777777" w:rsidR="001A4200" w:rsidRPr="008F524D" w:rsidRDefault="001A4200" w:rsidP="00604269">
      <w:pPr>
        <w:pStyle w:val="SingleTxtG"/>
      </w:pPr>
    </w:p>
    <w:p w14:paraId="09C2408E" w14:textId="2B12DB57" w:rsidR="00604269" w:rsidRPr="008F524D" w:rsidRDefault="00604269" w:rsidP="00604269">
      <w:pPr>
        <w:pStyle w:val="SingleTxtG"/>
      </w:pPr>
      <w:r w:rsidRPr="008F524D">
        <w:t xml:space="preserve">The text reproduced below was prepared by the expert from CITA proposing to amend </w:t>
      </w:r>
      <w:r w:rsidR="008021B6" w:rsidRPr="008F524D">
        <w:t>the 07 series of amendments</w:t>
      </w:r>
      <w:r w:rsidR="008021B6" w:rsidRPr="008F524D">
        <w:rPr>
          <w:lang w:val="en-GB"/>
        </w:rPr>
        <w:t xml:space="preserve"> </w:t>
      </w:r>
      <w:r w:rsidR="0085003D" w:rsidRPr="008F524D">
        <w:t xml:space="preserve">to UN Regulation No. </w:t>
      </w:r>
      <w:r w:rsidR="008021B6" w:rsidRPr="008F524D">
        <w:rPr>
          <w:lang w:val="en-GB"/>
        </w:rPr>
        <w:t>83</w:t>
      </w:r>
      <w:r w:rsidRPr="008F524D">
        <w:t xml:space="preserve">, </w:t>
      </w:r>
      <w:r w:rsidR="00936ADA">
        <w:rPr>
          <w:lang w:val="ca-ES"/>
        </w:rPr>
        <w:t>to define a reference value for particle number measurement</w:t>
      </w:r>
      <w:r w:rsidRPr="008F524D">
        <w:t>.</w:t>
      </w:r>
    </w:p>
    <w:p w14:paraId="7C333391" w14:textId="77777777" w:rsidR="0085003D" w:rsidRPr="008F524D" w:rsidRDefault="0085003D" w:rsidP="00604269">
      <w:pPr>
        <w:pStyle w:val="SingleTxtG"/>
      </w:pPr>
    </w:p>
    <w:p w14:paraId="534E336B" w14:textId="77777777" w:rsidR="00604269" w:rsidRPr="008F524D" w:rsidRDefault="00604269" w:rsidP="00604269">
      <w:pPr>
        <w:pStyle w:val="HChG"/>
        <w:tabs>
          <w:tab w:val="clear" w:pos="851"/>
        </w:tabs>
        <w:spacing w:before="240"/>
        <w:ind w:hanging="567"/>
        <w:rPr>
          <w:lang w:val="en-US"/>
        </w:rPr>
      </w:pPr>
      <w:r w:rsidRPr="008F524D">
        <w:rPr>
          <w:lang w:val="en-US"/>
        </w:rPr>
        <w:t>I.</w:t>
      </w:r>
      <w:r w:rsidRPr="008F524D">
        <w:rPr>
          <w:lang w:val="en-US"/>
        </w:rPr>
        <w:tab/>
        <w:t>Proposal</w:t>
      </w:r>
    </w:p>
    <w:p w14:paraId="5246B155" w14:textId="37317161" w:rsidR="00936ADA" w:rsidRPr="002B009C" w:rsidRDefault="00936ADA" w:rsidP="00936ADA">
      <w:pPr>
        <w:pStyle w:val="SingleTxtG"/>
        <w:ind w:left="0"/>
        <w:rPr>
          <w:lang w:val="en-GB"/>
        </w:rPr>
      </w:pPr>
      <w:r w:rsidRPr="002B009C">
        <w:rPr>
          <w:lang w:val="en-GB"/>
        </w:rPr>
        <w:t xml:space="preserve">Paragraph </w:t>
      </w:r>
      <w:r w:rsidR="00F37E06">
        <w:rPr>
          <w:lang w:val="en-GB"/>
        </w:rPr>
        <w:t>5.2.1, 3</w:t>
      </w:r>
      <w:r w:rsidR="00F37E06" w:rsidRPr="00F37E06">
        <w:rPr>
          <w:vertAlign w:val="superscript"/>
          <w:lang w:val="en-GB"/>
        </w:rPr>
        <w:t>rd</w:t>
      </w:r>
      <w:r w:rsidR="00F37E06">
        <w:rPr>
          <w:lang w:val="en-GB"/>
        </w:rPr>
        <w:t xml:space="preserve"> subparagraph</w:t>
      </w:r>
      <w:r w:rsidRPr="002B009C">
        <w:rPr>
          <w:lang w:val="en-GB"/>
        </w:rPr>
        <w:t>, amend to read:</w:t>
      </w:r>
    </w:p>
    <w:p w14:paraId="175C0D3C" w14:textId="73896728" w:rsidR="00936ADA" w:rsidRDefault="00B66080" w:rsidP="00936ADA">
      <w:pPr>
        <w:pStyle w:val="SingleTxtG"/>
        <w:ind w:left="0"/>
        <w:rPr>
          <w:lang w:val="en-GB"/>
        </w:rPr>
      </w:pPr>
      <w:r>
        <w:rPr>
          <w:lang w:val="en-GB"/>
        </w:rPr>
        <w:t>"</w:t>
      </w:r>
      <w:r w:rsidR="00F37E06" w:rsidRPr="00337A07">
        <w:t xml:space="preserve">Type II (carbon monoxide </w:t>
      </w:r>
      <w:r w:rsidR="00F37E06" w:rsidRPr="006A03A5">
        <w:rPr>
          <w:b/>
          <w:lang w:val="ca-ES"/>
        </w:rPr>
        <w:t xml:space="preserve">and particle number </w:t>
      </w:r>
      <w:r w:rsidRPr="006A03A5">
        <w:rPr>
          <w:b/>
          <w:lang w:val="ca-ES"/>
        </w:rPr>
        <w:t>(only PI-DI)</w:t>
      </w:r>
      <w:r>
        <w:rPr>
          <w:lang w:val="ca-ES"/>
        </w:rPr>
        <w:t xml:space="preserve"> </w:t>
      </w:r>
      <w:r w:rsidR="00F37E06" w:rsidRPr="00337A07">
        <w:t>emission at idling speed);</w:t>
      </w:r>
      <w:r>
        <w:rPr>
          <w:lang w:val="en-GB"/>
        </w:rPr>
        <w:t>"</w:t>
      </w:r>
    </w:p>
    <w:p w14:paraId="77DC9F69" w14:textId="77777777" w:rsidR="00F37E06" w:rsidRPr="002B009C" w:rsidRDefault="00F37E06" w:rsidP="00936ADA">
      <w:pPr>
        <w:pStyle w:val="SingleTxtG"/>
        <w:ind w:left="0"/>
        <w:rPr>
          <w:lang w:val="en-GB"/>
        </w:rPr>
      </w:pPr>
    </w:p>
    <w:p w14:paraId="7C8FD563" w14:textId="55425FC5" w:rsidR="00F37E06" w:rsidRPr="002B009C" w:rsidRDefault="00F37E06" w:rsidP="00F37E06">
      <w:pPr>
        <w:pStyle w:val="SingleTxtG"/>
        <w:ind w:left="0"/>
        <w:rPr>
          <w:lang w:val="en-GB"/>
        </w:rPr>
      </w:pPr>
      <w:r w:rsidRPr="002B009C">
        <w:rPr>
          <w:lang w:val="en-GB"/>
        </w:rPr>
        <w:t xml:space="preserve">Paragraph </w:t>
      </w:r>
      <w:r>
        <w:rPr>
          <w:lang w:val="en-GB"/>
        </w:rPr>
        <w:t>5.2.2, 3</w:t>
      </w:r>
      <w:r w:rsidRPr="00F37E06">
        <w:rPr>
          <w:vertAlign w:val="superscript"/>
          <w:lang w:val="en-GB"/>
        </w:rPr>
        <w:t>rd</w:t>
      </w:r>
      <w:r>
        <w:rPr>
          <w:lang w:val="en-GB"/>
        </w:rPr>
        <w:t xml:space="preserve"> subparagraph</w:t>
      </w:r>
      <w:r w:rsidRPr="002B009C">
        <w:rPr>
          <w:lang w:val="en-GB"/>
        </w:rPr>
        <w:t>, amend to read:</w:t>
      </w:r>
    </w:p>
    <w:p w14:paraId="34FA37EB" w14:textId="303C53EF" w:rsidR="00F37E06" w:rsidRPr="002B009C" w:rsidRDefault="00B66080" w:rsidP="00F37E06">
      <w:pPr>
        <w:pStyle w:val="SingleTxtG"/>
        <w:ind w:left="0"/>
        <w:rPr>
          <w:lang w:val="en-GB"/>
        </w:rPr>
      </w:pPr>
      <w:r>
        <w:rPr>
          <w:lang w:val="en-GB"/>
        </w:rPr>
        <w:t>"</w:t>
      </w:r>
      <w:r w:rsidR="00F37E06" w:rsidRPr="00337A07">
        <w:t xml:space="preserve">Type II (carbon monoxide </w:t>
      </w:r>
      <w:r w:rsidR="00F37E06">
        <w:rPr>
          <w:lang w:val="ca-ES"/>
        </w:rPr>
        <w:t xml:space="preserve">and </w:t>
      </w:r>
      <w:r w:rsidRPr="00337A07">
        <w:t xml:space="preserve">monoxide </w:t>
      </w:r>
      <w:r w:rsidRPr="006A03A5">
        <w:rPr>
          <w:b/>
          <w:lang w:val="ca-ES"/>
        </w:rPr>
        <w:t>and particle number (only PI-DI)</w:t>
      </w:r>
      <w:r>
        <w:rPr>
          <w:lang w:val="ca-ES"/>
        </w:rPr>
        <w:t xml:space="preserve"> </w:t>
      </w:r>
      <w:r w:rsidR="00F37E06" w:rsidRPr="00337A07">
        <w:t>emission at idling speed);</w:t>
      </w:r>
      <w:r>
        <w:rPr>
          <w:lang w:val="en-GB"/>
        </w:rPr>
        <w:t>"</w:t>
      </w:r>
    </w:p>
    <w:p w14:paraId="543B9FA2" w14:textId="6E60F01D" w:rsidR="00E92463" w:rsidRDefault="00E92463" w:rsidP="00E92463">
      <w:pPr>
        <w:pStyle w:val="SingleTxtG"/>
        <w:ind w:hanging="1134"/>
        <w:rPr>
          <w:lang w:val="en-GB"/>
        </w:rPr>
      </w:pPr>
    </w:p>
    <w:p w14:paraId="4EFACA99" w14:textId="5382A8A8" w:rsidR="00F37E06" w:rsidRPr="002B009C" w:rsidRDefault="00F37E06" w:rsidP="00F37E06">
      <w:pPr>
        <w:pStyle w:val="SingleTxtG"/>
        <w:ind w:left="0"/>
        <w:rPr>
          <w:lang w:val="en-GB"/>
        </w:rPr>
      </w:pPr>
      <w:r w:rsidRPr="002B009C">
        <w:rPr>
          <w:lang w:val="en-GB"/>
        </w:rPr>
        <w:t xml:space="preserve">Paragraph </w:t>
      </w:r>
      <w:r>
        <w:rPr>
          <w:lang w:val="en-GB"/>
        </w:rPr>
        <w:t>5.2.3, add a new subparagraph after subparagraph 2</w:t>
      </w:r>
      <w:r w:rsidRPr="002B009C">
        <w:rPr>
          <w:lang w:val="en-GB"/>
        </w:rPr>
        <w:t>:</w:t>
      </w:r>
    </w:p>
    <w:p w14:paraId="063B1C9D" w14:textId="7DF1ABF4" w:rsidR="00F37E06" w:rsidRDefault="00B66080" w:rsidP="00F37E06">
      <w:pPr>
        <w:pStyle w:val="SingleTxtG"/>
        <w:ind w:left="0"/>
        <w:rPr>
          <w:lang w:val="en-GB"/>
        </w:rPr>
      </w:pPr>
      <w:r>
        <w:rPr>
          <w:lang w:val="en-GB"/>
        </w:rPr>
        <w:t>"</w:t>
      </w:r>
      <w:r w:rsidR="00F37E06" w:rsidRPr="006A03A5">
        <w:rPr>
          <w:b/>
        </w:rPr>
        <w:t>Type II (</w:t>
      </w:r>
      <w:r w:rsidR="00F37E06" w:rsidRPr="006A03A5">
        <w:rPr>
          <w:b/>
          <w:lang w:val="ca-ES"/>
        </w:rPr>
        <w:t xml:space="preserve">particle number </w:t>
      </w:r>
      <w:r w:rsidR="00F37E06" w:rsidRPr="006A03A5">
        <w:rPr>
          <w:b/>
        </w:rPr>
        <w:t>emission at idling speed);</w:t>
      </w:r>
      <w:r>
        <w:rPr>
          <w:lang w:val="en-GB"/>
        </w:rPr>
        <w:t>"</w:t>
      </w:r>
    </w:p>
    <w:p w14:paraId="4A447517" w14:textId="3F4CBF1C" w:rsidR="00B66080" w:rsidRDefault="00B66080" w:rsidP="00F37E06">
      <w:pPr>
        <w:pStyle w:val="SingleTxtG"/>
        <w:ind w:left="0"/>
        <w:rPr>
          <w:lang w:val="en-GB"/>
        </w:rPr>
      </w:pPr>
    </w:p>
    <w:p w14:paraId="5337CFB0" w14:textId="4EF43A1D" w:rsidR="00B66080" w:rsidRPr="002B009C" w:rsidRDefault="00B66080" w:rsidP="00B66080">
      <w:pPr>
        <w:pStyle w:val="SingleTxtG"/>
        <w:ind w:left="0"/>
        <w:rPr>
          <w:lang w:val="en-GB"/>
        </w:rPr>
      </w:pPr>
      <w:r w:rsidRPr="002B009C">
        <w:rPr>
          <w:lang w:val="en-GB"/>
        </w:rPr>
        <w:t xml:space="preserve">Paragraph </w:t>
      </w:r>
      <w:r>
        <w:rPr>
          <w:lang w:val="en-GB"/>
        </w:rPr>
        <w:t>5.2.2, Table A</w:t>
      </w:r>
      <w:r w:rsidRPr="002B009C">
        <w:rPr>
          <w:lang w:val="en-GB"/>
        </w:rPr>
        <w:t>, amend to read:</w:t>
      </w:r>
    </w:p>
    <w:p w14:paraId="7E4C6125" w14:textId="77777777" w:rsidR="00B66080" w:rsidRPr="002B009C" w:rsidRDefault="00B66080" w:rsidP="00F37E06">
      <w:pPr>
        <w:pStyle w:val="SingleTxtG"/>
        <w:ind w:left="0"/>
        <w:rPr>
          <w:lang w:val="en-GB"/>
        </w:rPr>
      </w:pPr>
    </w:p>
    <w:p w14:paraId="64B839C1" w14:textId="77777777" w:rsidR="00B66080" w:rsidRDefault="00B66080" w:rsidP="00B66080">
      <w:pPr>
        <w:pStyle w:val="SingleTxtG"/>
        <w:keepNext/>
        <w:spacing w:after="0"/>
        <w:ind w:left="0"/>
        <w:rPr>
          <w:lang w:val="en-GB"/>
        </w:rPr>
      </w:pPr>
    </w:p>
    <w:p w14:paraId="7201245E" w14:textId="4359BD19" w:rsidR="00B66080" w:rsidRPr="00337A07" w:rsidRDefault="00B66080" w:rsidP="00B66080">
      <w:pPr>
        <w:pStyle w:val="SingleTxtG"/>
        <w:keepNext/>
        <w:spacing w:after="0"/>
        <w:ind w:left="0"/>
      </w:pPr>
      <w:r w:rsidRPr="00337A07">
        <w:t>Table A - Requirements</w:t>
      </w:r>
    </w:p>
    <w:p w14:paraId="30DD15BF" w14:textId="77777777" w:rsidR="00B66080" w:rsidRPr="00337A07" w:rsidRDefault="00B66080" w:rsidP="00B66080">
      <w:pPr>
        <w:pStyle w:val="SingleTxtG"/>
        <w:keepNext/>
        <w:ind w:left="0"/>
        <w:rPr>
          <w:b/>
        </w:rPr>
      </w:pPr>
      <w:r w:rsidRPr="00337A07">
        <w:rPr>
          <w:b/>
        </w:rPr>
        <w:t>Application of test requirements for type approval and extensions</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0" w:type="dxa"/>
          <w:right w:w="0" w:type="dxa"/>
        </w:tblCellMar>
        <w:tblLook w:val="0000" w:firstRow="0" w:lastRow="0" w:firstColumn="0" w:lastColumn="0" w:noHBand="0" w:noVBand="0"/>
      </w:tblPr>
      <w:tblGrid>
        <w:gridCol w:w="1505"/>
        <w:gridCol w:w="682"/>
        <w:gridCol w:w="625"/>
        <w:gridCol w:w="593"/>
        <w:gridCol w:w="952"/>
        <w:gridCol w:w="901"/>
        <w:gridCol w:w="900"/>
        <w:gridCol w:w="966"/>
        <w:gridCol w:w="944"/>
        <w:gridCol w:w="866"/>
        <w:gridCol w:w="705"/>
      </w:tblGrid>
      <w:tr w:rsidR="00B66080" w:rsidRPr="00337A07" w14:paraId="4A66BDB3" w14:textId="77777777" w:rsidTr="00482DA2">
        <w:tc>
          <w:tcPr>
            <w:tcW w:w="1505" w:type="dxa"/>
            <w:vMerge w:val="restart"/>
            <w:tcBorders>
              <w:bottom w:val="single" w:sz="12" w:space="0" w:color="auto"/>
            </w:tcBorders>
            <w:shd w:val="clear" w:color="auto" w:fill="auto"/>
          </w:tcPr>
          <w:p w14:paraId="2C9813EF"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Vehicle category</w:t>
            </w:r>
          </w:p>
        </w:tc>
        <w:tc>
          <w:tcPr>
            <w:tcW w:w="6563" w:type="dxa"/>
            <w:gridSpan w:val="8"/>
            <w:tcBorders>
              <w:bottom w:val="single" w:sz="2" w:space="0" w:color="auto"/>
            </w:tcBorders>
            <w:shd w:val="clear" w:color="auto" w:fill="auto"/>
          </w:tcPr>
          <w:p w14:paraId="61417F9B"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Vehicles with positive ignition engines including hybrids</w:t>
            </w:r>
          </w:p>
        </w:tc>
        <w:tc>
          <w:tcPr>
            <w:tcW w:w="1571" w:type="dxa"/>
            <w:gridSpan w:val="2"/>
            <w:tcBorders>
              <w:bottom w:val="single" w:sz="2" w:space="0" w:color="auto"/>
            </w:tcBorders>
            <w:shd w:val="clear" w:color="auto" w:fill="auto"/>
          </w:tcPr>
          <w:p w14:paraId="28C93799"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Vehicles with compression ignition engines including hybrids</w:t>
            </w:r>
          </w:p>
        </w:tc>
      </w:tr>
      <w:tr w:rsidR="00B66080" w:rsidRPr="00337A07" w14:paraId="3381E643" w14:textId="77777777" w:rsidTr="00482DA2">
        <w:tc>
          <w:tcPr>
            <w:tcW w:w="1505" w:type="dxa"/>
            <w:vMerge/>
            <w:tcBorders>
              <w:bottom w:val="single" w:sz="4" w:space="0" w:color="auto"/>
            </w:tcBorders>
            <w:shd w:val="clear" w:color="auto" w:fill="auto"/>
          </w:tcPr>
          <w:p w14:paraId="6288630D" w14:textId="77777777" w:rsidR="00B66080" w:rsidRPr="00337A07" w:rsidRDefault="00B66080" w:rsidP="00482DA2">
            <w:pPr>
              <w:keepNext/>
              <w:suppressAutoHyphens/>
              <w:adjustRightInd w:val="0"/>
              <w:spacing w:line="240" w:lineRule="atLeast"/>
              <w:rPr>
                <w:i/>
                <w:sz w:val="16"/>
                <w:szCs w:val="16"/>
              </w:rPr>
            </w:pPr>
          </w:p>
        </w:tc>
        <w:tc>
          <w:tcPr>
            <w:tcW w:w="2852" w:type="dxa"/>
            <w:gridSpan w:val="4"/>
            <w:tcBorders>
              <w:bottom w:val="single" w:sz="4" w:space="0" w:color="auto"/>
            </w:tcBorders>
            <w:shd w:val="clear" w:color="auto" w:fill="auto"/>
          </w:tcPr>
          <w:p w14:paraId="254CE090"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Mono fuel</w:t>
            </w:r>
          </w:p>
        </w:tc>
        <w:tc>
          <w:tcPr>
            <w:tcW w:w="2767" w:type="dxa"/>
            <w:gridSpan w:val="3"/>
            <w:tcBorders>
              <w:bottom w:val="single" w:sz="4" w:space="0" w:color="auto"/>
            </w:tcBorders>
            <w:shd w:val="clear" w:color="auto" w:fill="auto"/>
          </w:tcPr>
          <w:p w14:paraId="114FAAF0" w14:textId="77777777" w:rsidR="00B66080" w:rsidRPr="00337A07" w:rsidRDefault="00B66080" w:rsidP="00482DA2">
            <w:pPr>
              <w:pStyle w:val="NormalCentered"/>
              <w:keepNext/>
              <w:suppressAutoHyphens/>
              <w:spacing w:before="0" w:after="0" w:line="240" w:lineRule="atLeast"/>
              <w:ind w:left="283"/>
              <w:jc w:val="left"/>
              <w:rPr>
                <w:i/>
                <w:sz w:val="16"/>
                <w:szCs w:val="16"/>
                <w:vertAlign w:val="superscript"/>
              </w:rPr>
            </w:pPr>
            <w:r w:rsidRPr="00337A07">
              <w:rPr>
                <w:i/>
                <w:sz w:val="16"/>
                <w:szCs w:val="16"/>
              </w:rPr>
              <w:t>Bi-fuel</w:t>
            </w:r>
            <w:r w:rsidRPr="00337A07">
              <w:rPr>
                <w:i/>
                <w:sz w:val="16"/>
                <w:szCs w:val="16"/>
                <w:vertAlign w:val="superscript"/>
              </w:rPr>
              <w:t>1</w:t>
            </w:r>
          </w:p>
        </w:tc>
        <w:tc>
          <w:tcPr>
            <w:tcW w:w="944" w:type="dxa"/>
            <w:tcBorders>
              <w:bottom w:val="single" w:sz="4" w:space="0" w:color="auto"/>
            </w:tcBorders>
            <w:shd w:val="clear" w:color="auto" w:fill="auto"/>
          </w:tcPr>
          <w:p w14:paraId="385D7CA0"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Flex-fuel</w:t>
            </w:r>
            <w:r w:rsidRPr="00337A07">
              <w:rPr>
                <w:i/>
                <w:sz w:val="16"/>
                <w:szCs w:val="16"/>
                <w:vertAlign w:val="superscript"/>
              </w:rPr>
              <w:t>1</w:t>
            </w:r>
          </w:p>
        </w:tc>
        <w:tc>
          <w:tcPr>
            <w:tcW w:w="866" w:type="dxa"/>
            <w:tcBorders>
              <w:bottom w:val="single" w:sz="4" w:space="0" w:color="auto"/>
            </w:tcBorders>
            <w:shd w:val="clear" w:color="auto" w:fill="auto"/>
          </w:tcPr>
          <w:p w14:paraId="7582CBE1"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Flex fuel</w:t>
            </w:r>
          </w:p>
        </w:tc>
        <w:tc>
          <w:tcPr>
            <w:tcW w:w="705" w:type="dxa"/>
            <w:tcBorders>
              <w:bottom w:val="single" w:sz="4" w:space="0" w:color="auto"/>
            </w:tcBorders>
            <w:shd w:val="clear" w:color="auto" w:fill="auto"/>
          </w:tcPr>
          <w:p w14:paraId="35D47B10" w14:textId="77777777" w:rsidR="00B66080" w:rsidRPr="00337A07" w:rsidRDefault="00B66080" w:rsidP="00482DA2">
            <w:pPr>
              <w:pStyle w:val="NormalCentered"/>
              <w:keepNext/>
              <w:suppressAutoHyphens/>
              <w:spacing w:before="0" w:after="0" w:line="240" w:lineRule="atLeast"/>
              <w:jc w:val="left"/>
              <w:rPr>
                <w:i/>
                <w:sz w:val="16"/>
                <w:szCs w:val="16"/>
              </w:rPr>
            </w:pPr>
            <w:r w:rsidRPr="00337A07">
              <w:rPr>
                <w:i/>
                <w:sz w:val="16"/>
                <w:szCs w:val="16"/>
              </w:rPr>
              <w:t>Mono fuel</w:t>
            </w:r>
          </w:p>
        </w:tc>
      </w:tr>
      <w:tr w:rsidR="00B66080" w:rsidRPr="00337A07" w14:paraId="155A9B06" w14:textId="77777777" w:rsidTr="00482DA2">
        <w:tc>
          <w:tcPr>
            <w:tcW w:w="1505" w:type="dxa"/>
            <w:vMerge w:val="restart"/>
            <w:tcBorders>
              <w:top w:val="single" w:sz="4" w:space="0" w:color="auto"/>
            </w:tcBorders>
            <w:shd w:val="clear" w:color="auto" w:fill="auto"/>
          </w:tcPr>
          <w:p w14:paraId="196B5CD4" w14:textId="77777777" w:rsidR="00B66080" w:rsidRPr="00337A07" w:rsidRDefault="00B66080" w:rsidP="00482DA2">
            <w:pPr>
              <w:pStyle w:val="NormalLeft"/>
              <w:keepNext/>
              <w:suppressAutoHyphens/>
              <w:spacing w:before="0" w:after="0" w:line="240" w:lineRule="atLeast"/>
              <w:ind w:right="104"/>
              <w:rPr>
                <w:i/>
                <w:sz w:val="16"/>
                <w:szCs w:val="16"/>
              </w:rPr>
            </w:pPr>
            <w:r w:rsidRPr="00337A07">
              <w:rPr>
                <w:i/>
                <w:sz w:val="16"/>
                <w:szCs w:val="16"/>
              </w:rPr>
              <w:t>Reference fuel</w:t>
            </w:r>
          </w:p>
        </w:tc>
        <w:tc>
          <w:tcPr>
            <w:tcW w:w="682" w:type="dxa"/>
            <w:vMerge w:val="restart"/>
            <w:tcBorders>
              <w:top w:val="single" w:sz="4" w:space="0" w:color="auto"/>
            </w:tcBorders>
            <w:shd w:val="clear" w:color="auto" w:fill="auto"/>
          </w:tcPr>
          <w:p w14:paraId="46D4E53E" w14:textId="77777777" w:rsidR="00B66080" w:rsidRPr="00337A07" w:rsidRDefault="00B66080" w:rsidP="00482DA2">
            <w:pPr>
              <w:pStyle w:val="NormalLeft"/>
              <w:keepNext/>
              <w:suppressAutoHyphens/>
              <w:spacing w:before="0" w:after="0" w:line="240" w:lineRule="atLeast"/>
              <w:rPr>
                <w:i/>
                <w:sz w:val="16"/>
                <w:szCs w:val="16"/>
                <w:vertAlign w:val="superscript"/>
              </w:rPr>
            </w:pPr>
            <w:r w:rsidRPr="00337A07">
              <w:rPr>
                <w:i/>
                <w:sz w:val="16"/>
                <w:szCs w:val="16"/>
              </w:rPr>
              <w:t>Petrol (E5/E10)</w:t>
            </w:r>
            <w:r w:rsidRPr="00337A07">
              <w:rPr>
                <w:i/>
                <w:sz w:val="16"/>
                <w:szCs w:val="16"/>
                <w:vertAlign w:val="superscript"/>
              </w:rPr>
              <w:t>7</w:t>
            </w:r>
          </w:p>
        </w:tc>
        <w:tc>
          <w:tcPr>
            <w:tcW w:w="625" w:type="dxa"/>
            <w:vMerge w:val="restart"/>
            <w:tcBorders>
              <w:top w:val="single" w:sz="4" w:space="0" w:color="auto"/>
            </w:tcBorders>
            <w:shd w:val="clear" w:color="auto" w:fill="auto"/>
          </w:tcPr>
          <w:p w14:paraId="706B4626"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LPG</w:t>
            </w:r>
          </w:p>
        </w:tc>
        <w:tc>
          <w:tcPr>
            <w:tcW w:w="593" w:type="dxa"/>
            <w:vMerge w:val="restart"/>
            <w:tcBorders>
              <w:top w:val="single" w:sz="4" w:space="0" w:color="auto"/>
            </w:tcBorders>
            <w:shd w:val="clear" w:color="auto" w:fill="auto"/>
          </w:tcPr>
          <w:p w14:paraId="5E6F1CB5"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NG/ Bio-methane</w:t>
            </w:r>
          </w:p>
        </w:tc>
        <w:tc>
          <w:tcPr>
            <w:tcW w:w="952" w:type="dxa"/>
            <w:vMerge w:val="restart"/>
            <w:tcBorders>
              <w:top w:val="single" w:sz="4" w:space="0" w:color="auto"/>
            </w:tcBorders>
            <w:shd w:val="clear" w:color="auto" w:fill="auto"/>
          </w:tcPr>
          <w:p w14:paraId="67AD4429"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Hydrogen (ICE)</w:t>
            </w:r>
            <w:r w:rsidRPr="00337A07">
              <w:rPr>
                <w:i/>
                <w:sz w:val="16"/>
                <w:szCs w:val="16"/>
                <w:vertAlign w:val="superscript"/>
              </w:rPr>
              <w:t>5</w:t>
            </w:r>
          </w:p>
        </w:tc>
        <w:tc>
          <w:tcPr>
            <w:tcW w:w="901" w:type="dxa"/>
            <w:tcBorders>
              <w:top w:val="single" w:sz="4" w:space="0" w:color="auto"/>
            </w:tcBorders>
            <w:shd w:val="clear" w:color="auto" w:fill="auto"/>
          </w:tcPr>
          <w:p w14:paraId="7D1CD51F"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Petrol (E5/E10)</w:t>
            </w:r>
            <w:r w:rsidRPr="00337A07">
              <w:rPr>
                <w:i/>
                <w:sz w:val="16"/>
                <w:szCs w:val="16"/>
                <w:vertAlign w:val="superscript"/>
              </w:rPr>
              <w:t>7</w:t>
            </w:r>
          </w:p>
        </w:tc>
        <w:tc>
          <w:tcPr>
            <w:tcW w:w="900" w:type="dxa"/>
            <w:tcBorders>
              <w:top w:val="single" w:sz="4" w:space="0" w:color="auto"/>
            </w:tcBorders>
            <w:shd w:val="clear" w:color="auto" w:fill="auto"/>
          </w:tcPr>
          <w:p w14:paraId="56290C9B"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Petrol (E5/E10)</w:t>
            </w:r>
            <w:r w:rsidRPr="00337A07">
              <w:rPr>
                <w:i/>
                <w:sz w:val="16"/>
                <w:szCs w:val="16"/>
                <w:vertAlign w:val="superscript"/>
              </w:rPr>
              <w:t>7</w:t>
            </w:r>
          </w:p>
        </w:tc>
        <w:tc>
          <w:tcPr>
            <w:tcW w:w="966" w:type="dxa"/>
            <w:tcBorders>
              <w:top w:val="single" w:sz="4" w:space="0" w:color="auto"/>
            </w:tcBorders>
            <w:shd w:val="clear" w:color="auto" w:fill="auto"/>
          </w:tcPr>
          <w:p w14:paraId="7FD58A5E"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Petrol (E5/E10)</w:t>
            </w:r>
            <w:r w:rsidRPr="00337A07">
              <w:rPr>
                <w:i/>
                <w:sz w:val="16"/>
                <w:szCs w:val="16"/>
                <w:vertAlign w:val="superscript"/>
              </w:rPr>
              <w:t>7</w:t>
            </w:r>
          </w:p>
        </w:tc>
        <w:tc>
          <w:tcPr>
            <w:tcW w:w="944" w:type="dxa"/>
            <w:tcBorders>
              <w:top w:val="single" w:sz="4" w:space="0" w:color="auto"/>
            </w:tcBorders>
            <w:shd w:val="clear" w:color="auto" w:fill="auto"/>
          </w:tcPr>
          <w:p w14:paraId="3E2A4637"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Petrol (E5/E10)</w:t>
            </w:r>
            <w:r w:rsidRPr="00337A07">
              <w:rPr>
                <w:i/>
                <w:sz w:val="16"/>
                <w:szCs w:val="16"/>
                <w:vertAlign w:val="superscript"/>
              </w:rPr>
              <w:t>7</w:t>
            </w:r>
          </w:p>
        </w:tc>
        <w:tc>
          <w:tcPr>
            <w:tcW w:w="866" w:type="dxa"/>
            <w:tcBorders>
              <w:top w:val="single" w:sz="4" w:space="0" w:color="auto"/>
            </w:tcBorders>
            <w:shd w:val="clear" w:color="auto" w:fill="auto"/>
          </w:tcPr>
          <w:p w14:paraId="76D46E70"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Diesel (B5/B7)</w:t>
            </w:r>
            <w:r w:rsidRPr="00337A07">
              <w:rPr>
                <w:i/>
                <w:sz w:val="16"/>
                <w:szCs w:val="16"/>
                <w:vertAlign w:val="superscript"/>
              </w:rPr>
              <w:t>7</w:t>
            </w:r>
          </w:p>
        </w:tc>
        <w:tc>
          <w:tcPr>
            <w:tcW w:w="705" w:type="dxa"/>
            <w:vMerge w:val="restart"/>
            <w:tcBorders>
              <w:top w:val="single" w:sz="4" w:space="0" w:color="auto"/>
            </w:tcBorders>
            <w:shd w:val="clear" w:color="auto" w:fill="auto"/>
          </w:tcPr>
          <w:p w14:paraId="4E9DC34F"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Diesel (B5/B7)</w:t>
            </w:r>
            <w:r w:rsidRPr="00337A07">
              <w:rPr>
                <w:i/>
                <w:sz w:val="16"/>
                <w:szCs w:val="16"/>
                <w:vertAlign w:val="superscript"/>
              </w:rPr>
              <w:t>7</w:t>
            </w:r>
          </w:p>
        </w:tc>
      </w:tr>
      <w:tr w:rsidR="00B66080" w:rsidRPr="00337A07" w14:paraId="5514D458" w14:textId="77777777" w:rsidTr="00482DA2">
        <w:tc>
          <w:tcPr>
            <w:tcW w:w="1505" w:type="dxa"/>
            <w:vMerge/>
            <w:tcBorders>
              <w:bottom w:val="single" w:sz="12" w:space="0" w:color="auto"/>
            </w:tcBorders>
            <w:shd w:val="clear" w:color="auto" w:fill="auto"/>
          </w:tcPr>
          <w:p w14:paraId="4FF9E92E" w14:textId="77777777" w:rsidR="00B66080" w:rsidRPr="00337A07" w:rsidRDefault="00B66080" w:rsidP="00482DA2">
            <w:pPr>
              <w:keepNext/>
              <w:suppressAutoHyphens/>
              <w:adjustRightInd w:val="0"/>
              <w:spacing w:line="240" w:lineRule="atLeast"/>
              <w:rPr>
                <w:sz w:val="18"/>
                <w:szCs w:val="18"/>
              </w:rPr>
            </w:pPr>
          </w:p>
        </w:tc>
        <w:tc>
          <w:tcPr>
            <w:tcW w:w="682" w:type="dxa"/>
            <w:vMerge/>
            <w:tcBorders>
              <w:bottom w:val="single" w:sz="12" w:space="0" w:color="auto"/>
            </w:tcBorders>
            <w:shd w:val="clear" w:color="auto" w:fill="auto"/>
          </w:tcPr>
          <w:p w14:paraId="417365CC" w14:textId="77777777" w:rsidR="00B66080" w:rsidRPr="00337A07" w:rsidRDefault="00B66080" w:rsidP="00482DA2">
            <w:pPr>
              <w:keepNext/>
              <w:suppressAutoHyphens/>
              <w:adjustRightInd w:val="0"/>
              <w:spacing w:line="240" w:lineRule="atLeast"/>
              <w:rPr>
                <w:sz w:val="18"/>
                <w:szCs w:val="18"/>
              </w:rPr>
            </w:pPr>
          </w:p>
        </w:tc>
        <w:tc>
          <w:tcPr>
            <w:tcW w:w="625" w:type="dxa"/>
            <w:vMerge/>
            <w:tcBorders>
              <w:bottom w:val="single" w:sz="12" w:space="0" w:color="auto"/>
            </w:tcBorders>
            <w:shd w:val="clear" w:color="auto" w:fill="auto"/>
          </w:tcPr>
          <w:p w14:paraId="03152605" w14:textId="77777777" w:rsidR="00B66080" w:rsidRPr="00337A07" w:rsidRDefault="00B66080" w:rsidP="00482DA2">
            <w:pPr>
              <w:keepNext/>
              <w:suppressAutoHyphens/>
              <w:adjustRightInd w:val="0"/>
              <w:spacing w:line="240" w:lineRule="atLeast"/>
              <w:rPr>
                <w:sz w:val="18"/>
                <w:szCs w:val="18"/>
              </w:rPr>
            </w:pPr>
          </w:p>
        </w:tc>
        <w:tc>
          <w:tcPr>
            <w:tcW w:w="593" w:type="dxa"/>
            <w:vMerge/>
            <w:tcBorders>
              <w:bottom w:val="single" w:sz="12" w:space="0" w:color="auto"/>
            </w:tcBorders>
            <w:shd w:val="clear" w:color="auto" w:fill="auto"/>
          </w:tcPr>
          <w:p w14:paraId="5D60384D" w14:textId="77777777" w:rsidR="00B66080" w:rsidRPr="00337A07" w:rsidRDefault="00B66080" w:rsidP="00482DA2">
            <w:pPr>
              <w:keepNext/>
              <w:suppressAutoHyphens/>
              <w:adjustRightInd w:val="0"/>
              <w:spacing w:line="240" w:lineRule="atLeast"/>
              <w:rPr>
                <w:sz w:val="18"/>
                <w:szCs w:val="18"/>
              </w:rPr>
            </w:pPr>
          </w:p>
        </w:tc>
        <w:tc>
          <w:tcPr>
            <w:tcW w:w="952" w:type="dxa"/>
            <w:vMerge/>
            <w:tcBorders>
              <w:bottom w:val="single" w:sz="12" w:space="0" w:color="auto"/>
            </w:tcBorders>
            <w:shd w:val="clear" w:color="auto" w:fill="auto"/>
          </w:tcPr>
          <w:p w14:paraId="4F5CBB70" w14:textId="77777777" w:rsidR="00B66080" w:rsidRPr="00337A07" w:rsidRDefault="00B66080" w:rsidP="00482DA2">
            <w:pPr>
              <w:keepNext/>
              <w:suppressAutoHyphens/>
              <w:adjustRightInd w:val="0"/>
              <w:spacing w:line="240" w:lineRule="atLeast"/>
              <w:rPr>
                <w:sz w:val="18"/>
                <w:szCs w:val="18"/>
              </w:rPr>
            </w:pPr>
          </w:p>
        </w:tc>
        <w:tc>
          <w:tcPr>
            <w:tcW w:w="901" w:type="dxa"/>
            <w:tcBorders>
              <w:bottom w:val="single" w:sz="12" w:space="0" w:color="auto"/>
            </w:tcBorders>
            <w:shd w:val="clear" w:color="auto" w:fill="auto"/>
          </w:tcPr>
          <w:p w14:paraId="338FA3E3"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LPG</w:t>
            </w:r>
          </w:p>
        </w:tc>
        <w:tc>
          <w:tcPr>
            <w:tcW w:w="900" w:type="dxa"/>
            <w:tcBorders>
              <w:bottom w:val="single" w:sz="12" w:space="0" w:color="auto"/>
            </w:tcBorders>
            <w:shd w:val="clear" w:color="auto" w:fill="auto"/>
          </w:tcPr>
          <w:p w14:paraId="288EFA08"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NG/ Biome-thane</w:t>
            </w:r>
          </w:p>
        </w:tc>
        <w:tc>
          <w:tcPr>
            <w:tcW w:w="966" w:type="dxa"/>
            <w:tcBorders>
              <w:bottom w:val="single" w:sz="12" w:space="0" w:color="auto"/>
            </w:tcBorders>
            <w:shd w:val="clear" w:color="auto" w:fill="auto"/>
          </w:tcPr>
          <w:p w14:paraId="101AD216"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Hydrogen (ICE)</w:t>
            </w:r>
            <w:r w:rsidRPr="00337A07">
              <w:rPr>
                <w:i/>
                <w:sz w:val="16"/>
                <w:szCs w:val="16"/>
                <w:vertAlign w:val="superscript"/>
              </w:rPr>
              <w:t>5</w:t>
            </w:r>
          </w:p>
        </w:tc>
        <w:tc>
          <w:tcPr>
            <w:tcW w:w="944" w:type="dxa"/>
            <w:tcBorders>
              <w:bottom w:val="single" w:sz="12" w:space="0" w:color="auto"/>
            </w:tcBorders>
            <w:shd w:val="clear" w:color="auto" w:fill="auto"/>
          </w:tcPr>
          <w:p w14:paraId="6FFA4CE9"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Ethanol (E85)</w:t>
            </w:r>
          </w:p>
        </w:tc>
        <w:tc>
          <w:tcPr>
            <w:tcW w:w="866" w:type="dxa"/>
            <w:tcBorders>
              <w:bottom w:val="single" w:sz="12" w:space="0" w:color="auto"/>
            </w:tcBorders>
            <w:shd w:val="clear" w:color="auto" w:fill="auto"/>
          </w:tcPr>
          <w:p w14:paraId="70658C50" w14:textId="77777777" w:rsidR="00B66080" w:rsidRPr="00337A07" w:rsidRDefault="00B66080" w:rsidP="00482DA2">
            <w:pPr>
              <w:pStyle w:val="NormalLeft"/>
              <w:keepNext/>
              <w:suppressAutoHyphens/>
              <w:spacing w:before="0" w:after="0" w:line="240" w:lineRule="atLeast"/>
              <w:rPr>
                <w:i/>
                <w:sz w:val="16"/>
                <w:szCs w:val="16"/>
              </w:rPr>
            </w:pPr>
            <w:r w:rsidRPr="00337A07">
              <w:rPr>
                <w:i/>
                <w:sz w:val="16"/>
                <w:szCs w:val="16"/>
              </w:rPr>
              <w:t>Biodiesel</w:t>
            </w:r>
          </w:p>
        </w:tc>
        <w:tc>
          <w:tcPr>
            <w:tcW w:w="705" w:type="dxa"/>
            <w:vMerge/>
            <w:tcBorders>
              <w:bottom w:val="single" w:sz="12" w:space="0" w:color="auto"/>
            </w:tcBorders>
            <w:shd w:val="clear" w:color="auto" w:fill="auto"/>
          </w:tcPr>
          <w:p w14:paraId="02C4DB11" w14:textId="77777777" w:rsidR="00B66080" w:rsidRPr="00337A07" w:rsidRDefault="00B66080" w:rsidP="00482DA2">
            <w:pPr>
              <w:pStyle w:val="NormalLeft"/>
              <w:keepNext/>
              <w:suppressAutoHyphens/>
              <w:spacing w:before="0" w:after="0" w:line="240" w:lineRule="atLeast"/>
              <w:rPr>
                <w:sz w:val="18"/>
                <w:szCs w:val="18"/>
              </w:rPr>
            </w:pPr>
          </w:p>
        </w:tc>
      </w:tr>
      <w:tr w:rsidR="00B66080" w:rsidRPr="00337A07" w14:paraId="59EF0F73" w14:textId="77777777" w:rsidTr="00482DA2">
        <w:tc>
          <w:tcPr>
            <w:tcW w:w="1505" w:type="dxa"/>
            <w:tcBorders>
              <w:top w:val="single" w:sz="12" w:space="0" w:color="auto"/>
            </w:tcBorders>
            <w:shd w:val="clear" w:color="auto" w:fill="auto"/>
          </w:tcPr>
          <w:p w14:paraId="1B23248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Gaseous pollutants</w:t>
            </w:r>
          </w:p>
          <w:p w14:paraId="2E3C9FB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 xml:space="preserve">(Type </w:t>
            </w:r>
            <w:r>
              <w:rPr>
                <w:sz w:val="18"/>
                <w:szCs w:val="18"/>
              </w:rPr>
              <w:t>I</w:t>
            </w:r>
            <w:r w:rsidRPr="00337A07">
              <w:rPr>
                <w:sz w:val="18"/>
                <w:szCs w:val="18"/>
              </w:rPr>
              <w:t xml:space="preserve"> test)</w:t>
            </w:r>
          </w:p>
        </w:tc>
        <w:tc>
          <w:tcPr>
            <w:tcW w:w="682" w:type="dxa"/>
            <w:tcBorders>
              <w:top w:val="single" w:sz="12" w:space="0" w:color="auto"/>
            </w:tcBorders>
            <w:shd w:val="clear" w:color="auto" w:fill="auto"/>
          </w:tcPr>
          <w:p w14:paraId="66C7049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tcBorders>
              <w:top w:val="single" w:sz="12" w:space="0" w:color="auto"/>
            </w:tcBorders>
            <w:shd w:val="clear" w:color="auto" w:fill="auto"/>
          </w:tcPr>
          <w:p w14:paraId="7C07228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593" w:type="dxa"/>
            <w:tcBorders>
              <w:top w:val="single" w:sz="12" w:space="0" w:color="auto"/>
            </w:tcBorders>
            <w:shd w:val="clear" w:color="auto" w:fill="auto"/>
          </w:tcPr>
          <w:p w14:paraId="38C3F4C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52" w:type="dxa"/>
            <w:tcBorders>
              <w:top w:val="single" w:sz="12" w:space="0" w:color="auto"/>
            </w:tcBorders>
            <w:shd w:val="clear" w:color="auto" w:fill="auto"/>
          </w:tcPr>
          <w:p w14:paraId="509138A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r w:rsidRPr="00337A07">
              <w:rPr>
                <w:sz w:val="18"/>
                <w:szCs w:val="18"/>
                <w:vertAlign w:val="superscript"/>
              </w:rPr>
              <w:t>4</w:t>
            </w:r>
          </w:p>
        </w:tc>
        <w:tc>
          <w:tcPr>
            <w:tcW w:w="901" w:type="dxa"/>
            <w:tcBorders>
              <w:top w:val="single" w:sz="12" w:space="0" w:color="auto"/>
            </w:tcBorders>
            <w:shd w:val="clear" w:color="auto" w:fill="auto"/>
          </w:tcPr>
          <w:p w14:paraId="6E371C6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5349B56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00" w:type="dxa"/>
            <w:tcBorders>
              <w:top w:val="single" w:sz="12" w:space="0" w:color="auto"/>
            </w:tcBorders>
            <w:shd w:val="clear" w:color="auto" w:fill="auto"/>
          </w:tcPr>
          <w:p w14:paraId="4DC0C80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77C649F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66" w:type="dxa"/>
            <w:tcBorders>
              <w:top w:val="single" w:sz="12" w:space="0" w:color="auto"/>
            </w:tcBorders>
            <w:shd w:val="clear" w:color="auto" w:fill="auto"/>
          </w:tcPr>
          <w:p w14:paraId="0D10AD5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53D70BB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r w:rsidRPr="00337A07">
              <w:rPr>
                <w:sz w:val="18"/>
                <w:szCs w:val="18"/>
                <w:vertAlign w:val="superscript"/>
              </w:rPr>
              <w:t>4</w:t>
            </w:r>
          </w:p>
        </w:tc>
        <w:tc>
          <w:tcPr>
            <w:tcW w:w="944" w:type="dxa"/>
            <w:tcBorders>
              <w:top w:val="single" w:sz="12" w:space="0" w:color="auto"/>
            </w:tcBorders>
            <w:shd w:val="clear" w:color="auto" w:fill="auto"/>
          </w:tcPr>
          <w:p w14:paraId="7BE96A4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449E4CB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866" w:type="dxa"/>
            <w:tcBorders>
              <w:top w:val="single" w:sz="12" w:space="0" w:color="auto"/>
            </w:tcBorders>
            <w:shd w:val="clear" w:color="auto" w:fill="auto"/>
          </w:tcPr>
          <w:p w14:paraId="07F1706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 (B5/B7 only)</w:t>
            </w:r>
            <w:r w:rsidRPr="00337A07">
              <w:rPr>
                <w:sz w:val="18"/>
                <w:szCs w:val="18"/>
                <w:vertAlign w:val="superscript"/>
              </w:rPr>
              <w:t>2,7</w:t>
            </w:r>
          </w:p>
        </w:tc>
        <w:tc>
          <w:tcPr>
            <w:tcW w:w="705" w:type="dxa"/>
            <w:tcBorders>
              <w:top w:val="single" w:sz="12" w:space="0" w:color="auto"/>
            </w:tcBorders>
            <w:shd w:val="clear" w:color="auto" w:fill="auto"/>
          </w:tcPr>
          <w:p w14:paraId="5472FA09"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r>
      <w:tr w:rsidR="00B66080" w:rsidRPr="00337A07" w14:paraId="62177279" w14:textId="77777777" w:rsidTr="00482DA2">
        <w:tc>
          <w:tcPr>
            <w:tcW w:w="1505" w:type="dxa"/>
            <w:shd w:val="clear" w:color="auto" w:fill="auto"/>
          </w:tcPr>
          <w:p w14:paraId="433082F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Particulate mass and particulate number</w:t>
            </w:r>
          </w:p>
          <w:p w14:paraId="371E50C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(Type I test)</w:t>
            </w:r>
          </w:p>
        </w:tc>
        <w:tc>
          <w:tcPr>
            <w:tcW w:w="682" w:type="dxa"/>
            <w:shd w:val="clear" w:color="auto" w:fill="auto"/>
          </w:tcPr>
          <w:p w14:paraId="210D712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r w:rsidRPr="00337A07">
              <w:rPr>
                <w:sz w:val="16"/>
                <w:szCs w:val="16"/>
                <w:vertAlign w:val="superscript"/>
              </w:rPr>
              <w:t>6</w:t>
            </w:r>
          </w:p>
        </w:tc>
        <w:tc>
          <w:tcPr>
            <w:tcW w:w="625" w:type="dxa"/>
            <w:shd w:val="clear" w:color="auto" w:fill="auto"/>
          </w:tcPr>
          <w:p w14:paraId="1BB9D77B"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593" w:type="dxa"/>
            <w:shd w:val="clear" w:color="auto" w:fill="auto"/>
          </w:tcPr>
          <w:p w14:paraId="438C510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52" w:type="dxa"/>
            <w:shd w:val="clear" w:color="auto" w:fill="auto"/>
          </w:tcPr>
          <w:p w14:paraId="790CDD4B"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01" w:type="dxa"/>
            <w:shd w:val="clear" w:color="auto" w:fill="auto"/>
          </w:tcPr>
          <w:p w14:paraId="7D92741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767C7B4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r w:rsidRPr="00337A07">
              <w:rPr>
                <w:sz w:val="16"/>
                <w:szCs w:val="16"/>
                <w:vertAlign w:val="superscript"/>
              </w:rPr>
              <w:t>6</w:t>
            </w:r>
          </w:p>
        </w:tc>
        <w:tc>
          <w:tcPr>
            <w:tcW w:w="900" w:type="dxa"/>
            <w:shd w:val="clear" w:color="auto" w:fill="auto"/>
          </w:tcPr>
          <w:p w14:paraId="20926CC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C63A5E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r w:rsidRPr="00337A07">
              <w:rPr>
                <w:sz w:val="16"/>
                <w:szCs w:val="16"/>
                <w:vertAlign w:val="superscript"/>
              </w:rPr>
              <w:t>6</w:t>
            </w:r>
          </w:p>
        </w:tc>
        <w:tc>
          <w:tcPr>
            <w:tcW w:w="966" w:type="dxa"/>
            <w:shd w:val="clear" w:color="auto" w:fill="auto"/>
          </w:tcPr>
          <w:p w14:paraId="05E0245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02DF423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r w:rsidRPr="00337A07">
              <w:rPr>
                <w:sz w:val="16"/>
                <w:szCs w:val="16"/>
                <w:vertAlign w:val="superscript"/>
              </w:rPr>
              <w:t>6</w:t>
            </w:r>
          </w:p>
        </w:tc>
        <w:tc>
          <w:tcPr>
            <w:tcW w:w="944" w:type="dxa"/>
            <w:shd w:val="clear" w:color="auto" w:fill="auto"/>
          </w:tcPr>
          <w:p w14:paraId="49FC610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7222CE4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 xml:space="preserve">(both </w:t>
            </w:r>
            <w:r w:rsidRPr="00337A07">
              <w:rPr>
                <w:sz w:val="18"/>
                <w:szCs w:val="18"/>
              </w:rPr>
              <w:br/>
              <w:t>fuels)</w:t>
            </w:r>
            <w:r w:rsidRPr="00337A07">
              <w:rPr>
                <w:sz w:val="16"/>
                <w:szCs w:val="16"/>
                <w:vertAlign w:val="superscript"/>
              </w:rPr>
              <w:t>6</w:t>
            </w:r>
          </w:p>
        </w:tc>
        <w:tc>
          <w:tcPr>
            <w:tcW w:w="866" w:type="dxa"/>
            <w:shd w:val="clear" w:color="auto" w:fill="auto"/>
          </w:tcPr>
          <w:p w14:paraId="3C4FE23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 (B5/B7 only)</w:t>
            </w:r>
            <w:r w:rsidRPr="00337A07">
              <w:rPr>
                <w:sz w:val="18"/>
                <w:szCs w:val="18"/>
                <w:vertAlign w:val="superscript"/>
              </w:rPr>
              <w:t>2,7</w:t>
            </w:r>
          </w:p>
        </w:tc>
        <w:tc>
          <w:tcPr>
            <w:tcW w:w="705" w:type="dxa"/>
            <w:shd w:val="clear" w:color="auto" w:fill="auto"/>
          </w:tcPr>
          <w:p w14:paraId="5FA5436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r>
      <w:tr w:rsidR="00B66080" w:rsidRPr="00337A07" w14:paraId="3125029C" w14:textId="77777777" w:rsidTr="00482DA2">
        <w:tc>
          <w:tcPr>
            <w:tcW w:w="1505" w:type="dxa"/>
            <w:shd w:val="clear" w:color="auto" w:fill="auto"/>
          </w:tcPr>
          <w:p w14:paraId="388F84AB"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Idle emissions</w:t>
            </w:r>
          </w:p>
          <w:p w14:paraId="74E15F7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(Type II test)</w:t>
            </w:r>
          </w:p>
        </w:tc>
        <w:tc>
          <w:tcPr>
            <w:tcW w:w="682" w:type="dxa"/>
            <w:shd w:val="clear" w:color="auto" w:fill="auto"/>
          </w:tcPr>
          <w:p w14:paraId="0519810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shd w:val="clear" w:color="auto" w:fill="auto"/>
          </w:tcPr>
          <w:p w14:paraId="3E76AC3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593" w:type="dxa"/>
            <w:shd w:val="clear" w:color="auto" w:fill="auto"/>
          </w:tcPr>
          <w:p w14:paraId="69B8FA2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52" w:type="dxa"/>
            <w:shd w:val="clear" w:color="auto" w:fill="auto"/>
          </w:tcPr>
          <w:p w14:paraId="78611A3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01" w:type="dxa"/>
            <w:shd w:val="clear" w:color="auto" w:fill="auto"/>
          </w:tcPr>
          <w:p w14:paraId="4037490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3F89EFB"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00" w:type="dxa"/>
            <w:shd w:val="clear" w:color="auto" w:fill="auto"/>
          </w:tcPr>
          <w:p w14:paraId="13F7C11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2B6D11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66" w:type="dxa"/>
            <w:shd w:val="clear" w:color="auto" w:fill="auto"/>
          </w:tcPr>
          <w:p w14:paraId="5A803B5E"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0472611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44" w:type="dxa"/>
            <w:shd w:val="clear" w:color="auto" w:fill="auto"/>
          </w:tcPr>
          <w:p w14:paraId="33035DF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3387F7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866" w:type="dxa"/>
            <w:shd w:val="clear" w:color="auto" w:fill="auto"/>
          </w:tcPr>
          <w:p w14:paraId="497E8438" w14:textId="7E3C24E6" w:rsidR="00B66080" w:rsidRPr="00B66080" w:rsidRDefault="00B66080" w:rsidP="00482DA2">
            <w:pPr>
              <w:pStyle w:val="NormalLeft"/>
              <w:keepNext/>
              <w:suppressAutoHyphens/>
              <w:spacing w:before="0" w:after="0" w:line="240" w:lineRule="atLeast"/>
              <w:rPr>
                <w:sz w:val="18"/>
                <w:szCs w:val="18"/>
                <w:u w:val="single"/>
              </w:rPr>
            </w:pPr>
            <w:r w:rsidRPr="006A03A5">
              <w:rPr>
                <w:b/>
                <w:sz w:val="18"/>
                <w:szCs w:val="18"/>
              </w:rPr>
              <w:t>Yes</w:t>
            </w:r>
          </w:p>
        </w:tc>
        <w:tc>
          <w:tcPr>
            <w:tcW w:w="705" w:type="dxa"/>
            <w:shd w:val="clear" w:color="auto" w:fill="auto"/>
          </w:tcPr>
          <w:p w14:paraId="15A33495" w14:textId="13E7F1F1" w:rsidR="00B66080" w:rsidRPr="006A03A5" w:rsidRDefault="00B66080" w:rsidP="00482DA2">
            <w:pPr>
              <w:pStyle w:val="NormalLeft"/>
              <w:keepNext/>
              <w:suppressAutoHyphens/>
              <w:spacing w:before="0" w:after="0" w:line="240" w:lineRule="atLeast"/>
              <w:rPr>
                <w:b/>
                <w:sz w:val="18"/>
                <w:szCs w:val="18"/>
              </w:rPr>
            </w:pPr>
            <w:r w:rsidRPr="006A03A5">
              <w:rPr>
                <w:b/>
                <w:sz w:val="18"/>
                <w:szCs w:val="18"/>
              </w:rPr>
              <w:t>Yes</w:t>
            </w:r>
          </w:p>
        </w:tc>
      </w:tr>
      <w:tr w:rsidR="00B66080" w:rsidRPr="00337A07" w14:paraId="6CFAF3D2" w14:textId="77777777" w:rsidTr="00482DA2">
        <w:tc>
          <w:tcPr>
            <w:tcW w:w="1505" w:type="dxa"/>
            <w:shd w:val="clear" w:color="auto" w:fill="auto"/>
          </w:tcPr>
          <w:p w14:paraId="73E1E34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Crankcase emissions</w:t>
            </w:r>
          </w:p>
          <w:p w14:paraId="3BD8F50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(Type III test)</w:t>
            </w:r>
          </w:p>
        </w:tc>
        <w:tc>
          <w:tcPr>
            <w:tcW w:w="682" w:type="dxa"/>
            <w:shd w:val="clear" w:color="auto" w:fill="auto"/>
          </w:tcPr>
          <w:p w14:paraId="0D3C1BE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shd w:val="clear" w:color="auto" w:fill="auto"/>
          </w:tcPr>
          <w:p w14:paraId="56064B8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593" w:type="dxa"/>
            <w:shd w:val="clear" w:color="auto" w:fill="auto"/>
          </w:tcPr>
          <w:p w14:paraId="4A8C23C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52" w:type="dxa"/>
            <w:shd w:val="clear" w:color="auto" w:fill="auto"/>
          </w:tcPr>
          <w:p w14:paraId="7D4569C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01" w:type="dxa"/>
            <w:shd w:val="clear" w:color="auto" w:fill="auto"/>
          </w:tcPr>
          <w:p w14:paraId="6AF8B58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62584CE9"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00" w:type="dxa"/>
            <w:shd w:val="clear" w:color="auto" w:fill="auto"/>
          </w:tcPr>
          <w:p w14:paraId="708B7D4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3251150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66" w:type="dxa"/>
            <w:shd w:val="clear" w:color="auto" w:fill="auto"/>
          </w:tcPr>
          <w:p w14:paraId="6BA1B06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34F90BA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44" w:type="dxa"/>
            <w:shd w:val="clear" w:color="auto" w:fill="auto"/>
          </w:tcPr>
          <w:p w14:paraId="513FD98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198A140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866" w:type="dxa"/>
            <w:shd w:val="clear" w:color="auto" w:fill="auto"/>
          </w:tcPr>
          <w:p w14:paraId="612EF22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705" w:type="dxa"/>
            <w:shd w:val="clear" w:color="auto" w:fill="auto"/>
          </w:tcPr>
          <w:p w14:paraId="610DE44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r>
      <w:tr w:rsidR="00B66080" w:rsidRPr="00337A07" w14:paraId="04E4D71A" w14:textId="77777777" w:rsidTr="00482DA2">
        <w:tc>
          <w:tcPr>
            <w:tcW w:w="1505" w:type="dxa"/>
            <w:shd w:val="clear" w:color="auto" w:fill="auto"/>
          </w:tcPr>
          <w:p w14:paraId="7268A77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Evaporative emissions</w:t>
            </w:r>
          </w:p>
          <w:p w14:paraId="33EC601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(Type IV test)</w:t>
            </w:r>
          </w:p>
        </w:tc>
        <w:tc>
          <w:tcPr>
            <w:tcW w:w="682" w:type="dxa"/>
            <w:shd w:val="clear" w:color="auto" w:fill="auto"/>
          </w:tcPr>
          <w:p w14:paraId="0E2FE5B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shd w:val="clear" w:color="auto" w:fill="auto"/>
          </w:tcPr>
          <w:p w14:paraId="5E8C8BA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593" w:type="dxa"/>
            <w:shd w:val="clear" w:color="auto" w:fill="auto"/>
          </w:tcPr>
          <w:p w14:paraId="50D5536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52" w:type="dxa"/>
            <w:shd w:val="clear" w:color="auto" w:fill="auto"/>
          </w:tcPr>
          <w:p w14:paraId="22EDDEA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01" w:type="dxa"/>
            <w:shd w:val="clear" w:color="auto" w:fill="auto"/>
          </w:tcPr>
          <w:p w14:paraId="1A82872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1C87B3A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00" w:type="dxa"/>
            <w:shd w:val="clear" w:color="auto" w:fill="auto"/>
          </w:tcPr>
          <w:p w14:paraId="1D03779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90EB91D"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66" w:type="dxa"/>
            <w:shd w:val="clear" w:color="auto" w:fill="auto"/>
          </w:tcPr>
          <w:p w14:paraId="34E0534B"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1CE8423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44" w:type="dxa"/>
            <w:shd w:val="clear" w:color="auto" w:fill="auto"/>
          </w:tcPr>
          <w:p w14:paraId="1540BC8E"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6F8E4A2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866" w:type="dxa"/>
            <w:shd w:val="clear" w:color="auto" w:fill="auto"/>
          </w:tcPr>
          <w:p w14:paraId="40BEDD2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705" w:type="dxa"/>
            <w:shd w:val="clear" w:color="auto" w:fill="auto"/>
          </w:tcPr>
          <w:p w14:paraId="75381E0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r>
      <w:tr w:rsidR="00B66080" w:rsidRPr="00337A07" w14:paraId="0B547CC5" w14:textId="77777777" w:rsidTr="00482DA2">
        <w:tc>
          <w:tcPr>
            <w:tcW w:w="1505" w:type="dxa"/>
            <w:shd w:val="clear" w:color="auto" w:fill="auto"/>
          </w:tcPr>
          <w:p w14:paraId="5A1CAAEE"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Durability</w:t>
            </w:r>
          </w:p>
          <w:p w14:paraId="18D645EE"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(Type V test)</w:t>
            </w:r>
          </w:p>
        </w:tc>
        <w:tc>
          <w:tcPr>
            <w:tcW w:w="682" w:type="dxa"/>
            <w:shd w:val="clear" w:color="auto" w:fill="auto"/>
          </w:tcPr>
          <w:p w14:paraId="6F456A4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shd w:val="clear" w:color="auto" w:fill="auto"/>
          </w:tcPr>
          <w:p w14:paraId="550B86E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593" w:type="dxa"/>
            <w:shd w:val="clear" w:color="auto" w:fill="auto"/>
          </w:tcPr>
          <w:p w14:paraId="3642321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52" w:type="dxa"/>
            <w:shd w:val="clear" w:color="auto" w:fill="auto"/>
          </w:tcPr>
          <w:p w14:paraId="248879B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01" w:type="dxa"/>
            <w:shd w:val="clear" w:color="auto" w:fill="auto"/>
          </w:tcPr>
          <w:p w14:paraId="22B247C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C77B4F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00" w:type="dxa"/>
            <w:shd w:val="clear" w:color="auto" w:fill="auto"/>
          </w:tcPr>
          <w:p w14:paraId="0767541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21275DD"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66" w:type="dxa"/>
            <w:shd w:val="clear" w:color="auto" w:fill="auto"/>
          </w:tcPr>
          <w:p w14:paraId="394061E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75F87A6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44" w:type="dxa"/>
            <w:shd w:val="clear" w:color="auto" w:fill="auto"/>
          </w:tcPr>
          <w:p w14:paraId="587C0CE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A077A7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866" w:type="dxa"/>
            <w:shd w:val="clear" w:color="auto" w:fill="auto"/>
          </w:tcPr>
          <w:p w14:paraId="7BF1254D"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 (B5/B7 only)</w:t>
            </w:r>
            <w:r w:rsidRPr="00337A07">
              <w:rPr>
                <w:sz w:val="18"/>
                <w:szCs w:val="18"/>
                <w:vertAlign w:val="superscript"/>
              </w:rPr>
              <w:t>2,7</w:t>
            </w:r>
          </w:p>
        </w:tc>
        <w:tc>
          <w:tcPr>
            <w:tcW w:w="705" w:type="dxa"/>
            <w:shd w:val="clear" w:color="auto" w:fill="auto"/>
          </w:tcPr>
          <w:p w14:paraId="6D30FC8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r>
      <w:tr w:rsidR="00B66080" w:rsidRPr="00337A07" w14:paraId="35541E3B" w14:textId="77777777" w:rsidTr="00482DA2">
        <w:tc>
          <w:tcPr>
            <w:tcW w:w="1505" w:type="dxa"/>
            <w:shd w:val="clear" w:color="auto" w:fill="auto"/>
          </w:tcPr>
          <w:p w14:paraId="43434E2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Low temperature emissions</w:t>
            </w:r>
          </w:p>
          <w:p w14:paraId="081B38E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(Type VI test)</w:t>
            </w:r>
          </w:p>
        </w:tc>
        <w:tc>
          <w:tcPr>
            <w:tcW w:w="682" w:type="dxa"/>
            <w:shd w:val="clear" w:color="auto" w:fill="auto"/>
          </w:tcPr>
          <w:p w14:paraId="1762582D"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shd w:val="clear" w:color="auto" w:fill="auto"/>
          </w:tcPr>
          <w:p w14:paraId="32DD658E"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593" w:type="dxa"/>
            <w:shd w:val="clear" w:color="auto" w:fill="auto"/>
          </w:tcPr>
          <w:p w14:paraId="728DBCB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52" w:type="dxa"/>
            <w:shd w:val="clear" w:color="auto" w:fill="auto"/>
          </w:tcPr>
          <w:p w14:paraId="428CD6C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901" w:type="dxa"/>
            <w:shd w:val="clear" w:color="auto" w:fill="auto"/>
          </w:tcPr>
          <w:p w14:paraId="3018492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EBBA4EE"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00" w:type="dxa"/>
            <w:shd w:val="clear" w:color="auto" w:fill="auto"/>
          </w:tcPr>
          <w:p w14:paraId="6FB2FBAD"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406E050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66" w:type="dxa"/>
            <w:shd w:val="clear" w:color="auto" w:fill="auto"/>
          </w:tcPr>
          <w:p w14:paraId="57C47819"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27402FA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(petrol only)</w:t>
            </w:r>
          </w:p>
        </w:tc>
        <w:tc>
          <w:tcPr>
            <w:tcW w:w="944" w:type="dxa"/>
            <w:shd w:val="clear" w:color="auto" w:fill="auto"/>
          </w:tcPr>
          <w:p w14:paraId="6470C19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r w:rsidRPr="00337A07">
              <w:rPr>
                <w:sz w:val="18"/>
                <w:szCs w:val="18"/>
                <w:vertAlign w:val="superscript"/>
              </w:rPr>
              <w:t>3</w:t>
            </w:r>
          </w:p>
          <w:p w14:paraId="54C02A0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866" w:type="dxa"/>
            <w:shd w:val="clear" w:color="auto" w:fill="auto"/>
          </w:tcPr>
          <w:p w14:paraId="6B193CC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c>
          <w:tcPr>
            <w:tcW w:w="705" w:type="dxa"/>
            <w:shd w:val="clear" w:color="auto" w:fill="auto"/>
          </w:tcPr>
          <w:p w14:paraId="423CE619"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w:t>
            </w:r>
          </w:p>
        </w:tc>
      </w:tr>
      <w:tr w:rsidR="00B66080" w:rsidRPr="00337A07" w14:paraId="27F34683" w14:textId="77777777" w:rsidTr="00482DA2">
        <w:tc>
          <w:tcPr>
            <w:tcW w:w="1505" w:type="dxa"/>
            <w:tcBorders>
              <w:bottom w:val="single" w:sz="2" w:space="0" w:color="auto"/>
            </w:tcBorders>
            <w:shd w:val="clear" w:color="auto" w:fill="auto"/>
          </w:tcPr>
          <w:p w14:paraId="77188C6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In-service conformity</w:t>
            </w:r>
          </w:p>
        </w:tc>
        <w:tc>
          <w:tcPr>
            <w:tcW w:w="682" w:type="dxa"/>
            <w:tcBorders>
              <w:bottom w:val="single" w:sz="2" w:space="0" w:color="auto"/>
            </w:tcBorders>
            <w:shd w:val="clear" w:color="auto" w:fill="auto"/>
          </w:tcPr>
          <w:p w14:paraId="03CF5CD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tcBorders>
              <w:bottom w:val="single" w:sz="2" w:space="0" w:color="auto"/>
            </w:tcBorders>
            <w:shd w:val="clear" w:color="auto" w:fill="auto"/>
          </w:tcPr>
          <w:p w14:paraId="452A06C3"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593" w:type="dxa"/>
            <w:tcBorders>
              <w:bottom w:val="single" w:sz="2" w:space="0" w:color="auto"/>
            </w:tcBorders>
            <w:shd w:val="clear" w:color="auto" w:fill="auto"/>
          </w:tcPr>
          <w:p w14:paraId="7852526F"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52" w:type="dxa"/>
            <w:tcBorders>
              <w:bottom w:val="single" w:sz="2" w:space="0" w:color="auto"/>
            </w:tcBorders>
            <w:shd w:val="clear" w:color="auto" w:fill="auto"/>
          </w:tcPr>
          <w:p w14:paraId="0931663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01" w:type="dxa"/>
            <w:tcBorders>
              <w:bottom w:val="single" w:sz="2" w:space="0" w:color="auto"/>
            </w:tcBorders>
            <w:shd w:val="clear" w:color="auto" w:fill="auto"/>
          </w:tcPr>
          <w:p w14:paraId="472BD3A7"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77638EEC"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00" w:type="dxa"/>
            <w:tcBorders>
              <w:bottom w:val="single" w:sz="2" w:space="0" w:color="auto"/>
            </w:tcBorders>
            <w:shd w:val="clear" w:color="auto" w:fill="auto"/>
          </w:tcPr>
          <w:p w14:paraId="416EEB1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573DDF3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66" w:type="dxa"/>
            <w:tcBorders>
              <w:bottom w:val="single" w:sz="2" w:space="0" w:color="auto"/>
            </w:tcBorders>
            <w:shd w:val="clear" w:color="auto" w:fill="auto"/>
          </w:tcPr>
          <w:p w14:paraId="7BA85515"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03D4F14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944" w:type="dxa"/>
            <w:tcBorders>
              <w:bottom w:val="single" w:sz="2" w:space="0" w:color="auto"/>
            </w:tcBorders>
            <w:shd w:val="clear" w:color="auto" w:fill="auto"/>
          </w:tcPr>
          <w:p w14:paraId="1B38106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p w14:paraId="50D8EA79"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(both fuels)</w:t>
            </w:r>
          </w:p>
        </w:tc>
        <w:tc>
          <w:tcPr>
            <w:tcW w:w="866" w:type="dxa"/>
            <w:tcBorders>
              <w:bottom w:val="single" w:sz="2" w:space="0" w:color="auto"/>
            </w:tcBorders>
            <w:shd w:val="clear" w:color="auto" w:fill="auto"/>
          </w:tcPr>
          <w:p w14:paraId="2CA7F54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 (B5/B7 only)</w:t>
            </w:r>
            <w:r w:rsidRPr="00337A07">
              <w:rPr>
                <w:sz w:val="18"/>
                <w:szCs w:val="18"/>
                <w:vertAlign w:val="superscript"/>
              </w:rPr>
              <w:t>2,7</w:t>
            </w:r>
          </w:p>
        </w:tc>
        <w:tc>
          <w:tcPr>
            <w:tcW w:w="705" w:type="dxa"/>
            <w:tcBorders>
              <w:bottom w:val="single" w:sz="2" w:space="0" w:color="auto"/>
            </w:tcBorders>
            <w:shd w:val="clear" w:color="auto" w:fill="auto"/>
          </w:tcPr>
          <w:p w14:paraId="42789B8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r>
      <w:tr w:rsidR="00B66080" w:rsidRPr="00337A07" w14:paraId="49145F08" w14:textId="77777777" w:rsidTr="00482DA2">
        <w:tc>
          <w:tcPr>
            <w:tcW w:w="1505" w:type="dxa"/>
            <w:tcBorders>
              <w:bottom w:val="single" w:sz="12" w:space="0" w:color="auto"/>
            </w:tcBorders>
            <w:shd w:val="clear" w:color="auto" w:fill="auto"/>
          </w:tcPr>
          <w:p w14:paraId="3AE4D97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On-board diagnostics</w:t>
            </w:r>
          </w:p>
        </w:tc>
        <w:tc>
          <w:tcPr>
            <w:tcW w:w="682" w:type="dxa"/>
            <w:tcBorders>
              <w:bottom w:val="single" w:sz="12" w:space="0" w:color="auto"/>
            </w:tcBorders>
            <w:shd w:val="clear" w:color="auto" w:fill="auto"/>
          </w:tcPr>
          <w:p w14:paraId="7877AE2D"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625" w:type="dxa"/>
            <w:tcBorders>
              <w:bottom w:val="single" w:sz="12" w:space="0" w:color="auto"/>
            </w:tcBorders>
            <w:shd w:val="clear" w:color="auto" w:fill="auto"/>
          </w:tcPr>
          <w:p w14:paraId="2261EF88"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593" w:type="dxa"/>
            <w:tcBorders>
              <w:bottom w:val="single" w:sz="12" w:space="0" w:color="auto"/>
            </w:tcBorders>
            <w:shd w:val="clear" w:color="auto" w:fill="auto"/>
          </w:tcPr>
          <w:p w14:paraId="222EFF90"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52" w:type="dxa"/>
            <w:tcBorders>
              <w:bottom w:val="single" w:sz="12" w:space="0" w:color="auto"/>
            </w:tcBorders>
            <w:shd w:val="clear" w:color="auto" w:fill="auto"/>
          </w:tcPr>
          <w:p w14:paraId="000EF1E9"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01" w:type="dxa"/>
            <w:tcBorders>
              <w:bottom w:val="single" w:sz="12" w:space="0" w:color="auto"/>
            </w:tcBorders>
            <w:shd w:val="clear" w:color="auto" w:fill="auto"/>
          </w:tcPr>
          <w:p w14:paraId="58632CC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00" w:type="dxa"/>
            <w:tcBorders>
              <w:bottom w:val="single" w:sz="12" w:space="0" w:color="auto"/>
            </w:tcBorders>
            <w:shd w:val="clear" w:color="auto" w:fill="auto"/>
          </w:tcPr>
          <w:p w14:paraId="6FB95316"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66" w:type="dxa"/>
            <w:tcBorders>
              <w:bottom w:val="single" w:sz="12" w:space="0" w:color="auto"/>
            </w:tcBorders>
            <w:shd w:val="clear" w:color="auto" w:fill="auto"/>
          </w:tcPr>
          <w:p w14:paraId="33B57272"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944" w:type="dxa"/>
            <w:tcBorders>
              <w:bottom w:val="single" w:sz="12" w:space="0" w:color="auto"/>
            </w:tcBorders>
            <w:shd w:val="clear" w:color="auto" w:fill="auto"/>
          </w:tcPr>
          <w:p w14:paraId="52F45834"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866" w:type="dxa"/>
            <w:tcBorders>
              <w:bottom w:val="single" w:sz="12" w:space="0" w:color="auto"/>
            </w:tcBorders>
            <w:shd w:val="clear" w:color="auto" w:fill="auto"/>
          </w:tcPr>
          <w:p w14:paraId="02E8A61A"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c>
          <w:tcPr>
            <w:tcW w:w="705" w:type="dxa"/>
            <w:tcBorders>
              <w:bottom w:val="single" w:sz="12" w:space="0" w:color="auto"/>
            </w:tcBorders>
            <w:shd w:val="clear" w:color="auto" w:fill="auto"/>
          </w:tcPr>
          <w:p w14:paraId="3238D371" w14:textId="77777777" w:rsidR="00B66080" w:rsidRPr="00337A07" w:rsidRDefault="00B66080" w:rsidP="00482DA2">
            <w:pPr>
              <w:pStyle w:val="NormalLeft"/>
              <w:keepNext/>
              <w:suppressAutoHyphens/>
              <w:spacing w:before="0" w:after="0" w:line="240" w:lineRule="atLeast"/>
              <w:rPr>
                <w:sz w:val="18"/>
                <w:szCs w:val="18"/>
              </w:rPr>
            </w:pPr>
            <w:r w:rsidRPr="00337A07">
              <w:rPr>
                <w:sz w:val="18"/>
                <w:szCs w:val="18"/>
              </w:rPr>
              <w:t>Yes</w:t>
            </w:r>
          </w:p>
        </w:tc>
      </w:tr>
    </w:tbl>
    <w:p w14:paraId="68788131" w14:textId="44396D9D" w:rsidR="00B66080" w:rsidRDefault="00B66080" w:rsidP="00E92463">
      <w:pPr>
        <w:pStyle w:val="SingleTxtG"/>
        <w:ind w:hanging="1134"/>
        <w:rPr>
          <w:lang w:val="en-US"/>
        </w:rPr>
      </w:pPr>
    </w:p>
    <w:p w14:paraId="2DFDEF7A" w14:textId="458D10F4" w:rsidR="00B66080" w:rsidRPr="002B009C" w:rsidRDefault="00B66080" w:rsidP="00B66080">
      <w:pPr>
        <w:pStyle w:val="SingleTxtG"/>
        <w:ind w:left="0"/>
        <w:rPr>
          <w:lang w:val="en-GB"/>
        </w:rPr>
      </w:pPr>
      <w:r w:rsidRPr="002B009C">
        <w:rPr>
          <w:lang w:val="en-GB"/>
        </w:rPr>
        <w:t xml:space="preserve">Paragraph </w:t>
      </w:r>
      <w:r>
        <w:rPr>
          <w:lang w:val="en-GB"/>
        </w:rPr>
        <w:t xml:space="preserve">5.3.2, </w:t>
      </w:r>
      <w:r w:rsidRPr="002B009C">
        <w:rPr>
          <w:lang w:val="en-GB"/>
        </w:rPr>
        <w:t>amend to read:</w:t>
      </w:r>
    </w:p>
    <w:p w14:paraId="01D8DB17" w14:textId="241E51B5" w:rsidR="00B66080" w:rsidRDefault="00B66080" w:rsidP="00B66080">
      <w:pPr>
        <w:pStyle w:val="SingleTxtG"/>
        <w:ind w:left="0"/>
        <w:rPr>
          <w:lang w:val="en-GB"/>
        </w:rPr>
      </w:pPr>
      <w:r>
        <w:rPr>
          <w:lang w:val="en-GB"/>
        </w:rPr>
        <w:t>"</w:t>
      </w:r>
      <w:r>
        <w:rPr>
          <w:lang w:val="ca-ES"/>
        </w:rPr>
        <w:t>5.3.</w:t>
      </w:r>
      <w:r w:rsidRPr="00B66080">
        <w:rPr>
          <w:lang w:val="en-GB"/>
        </w:rPr>
        <w:t>2 Type II test (Carbon monoxide emission</w:t>
      </w:r>
      <w:r>
        <w:rPr>
          <w:lang w:val="en-GB"/>
        </w:rPr>
        <w:t xml:space="preserve"> </w:t>
      </w:r>
      <w:r w:rsidRPr="006A03A5">
        <w:rPr>
          <w:b/>
          <w:lang w:val="en-GB"/>
        </w:rPr>
        <w:t>and particle number emission test (only PI-DI)</w:t>
      </w:r>
      <w:r w:rsidRPr="00B66080">
        <w:rPr>
          <w:lang w:val="en-GB"/>
        </w:rPr>
        <w:t xml:space="preserve"> test at idling speed)</w:t>
      </w:r>
      <w:r>
        <w:rPr>
          <w:lang w:val="en-GB"/>
        </w:rPr>
        <w:t>"</w:t>
      </w:r>
    </w:p>
    <w:p w14:paraId="3A315E80" w14:textId="77777777" w:rsidR="00C02CD6" w:rsidRPr="002B009C" w:rsidRDefault="00C02CD6" w:rsidP="00B66080">
      <w:pPr>
        <w:pStyle w:val="SingleTxtG"/>
        <w:ind w:left="0"/>
        <w:rPr>
          <w:lang w:val="en-GB"/>
        </w:rPr>
      </w:pPr>
    </w:p>
    <w:p w14:paraId="397A4E65" w14:textId="27DF1A85" w:rsidR="00C02CD6" w:rsidRPr="002B009C" w:rsidRDefault="00C02CD6" w:rsidP="00C02CD6">
      <w:pPr>
        <w:pStyle w:val="SingleTxtG"/>
        <w:ind w:left="0"/>
        <w:rPr>
          <w:lang w:val="en-GB"/>
        </w:rPr>
      </w:pPr>
      <w:r w:rsidRPr="002B009C">
        <w:rPr>
          <w:lang w:val="en-GB"/>
        </w:rPr>
        <w:t xml:space="preserve">Paragraph </w:t>
      </w:r>
      <w:r>
        <w:rPr>
          <w:lang w:val="en-GB"/>
        </w:rPr>
        <w:t xml:space="preserve">5.3.2.2, </w:t>
      </w:r>
      <w:r w:rsidRPr="002B009C">
        <w:rPr>
          <w:lang w:val="en-GB"/>
        </w:rPr>
        <w:t>amend to read:</w:t>
      </w:r>
    </w:p>
    <w:p w14:paraId="35092CAB" w14:textId="65028E0B" w:rsidR="00C02CD6" w:rsidRPr="00C02CD6" w:rsidRDefault="00C02CD6" w:rsidP="00C02CD6">
      <w:pPr>
        <w:pStyle w:val="SingleTxtG"/>
        <w:ind w:left="0"/>
        <w:rPr>
          <w:lang w:val="en-GB"/>
        </w:rPr>
      </w:pPr>
      <w:r>
        <w:rPr>
          <w:lang w:val="en-GB"/>
        </w:rPr>
        <w:t>“</w:t>
      </w:r>
      <w:r w:rsidRPr="00C02CD6">
        <w:rPr>
          <w:lang w:val="en-GB"/>
        </w:rPr>
        <w:t>5.3.2.2.</w:t>
      </w:r>
      <w:r w:rsidRPr="00C02CD6">
        <w:rPr>
          <w:lang w:val="en-GB"/>
        </w:rPr>
        <w:tab/>
        <w:t>For the Type II test set out in Annex 5</w:t>
      </w:r>
      <w:r w:rsidRPr="006A03A5">
        <w:rPr>
          <w:b/>
          <w:lang w:val="en-GB"/>
        </w:rPr>
        <w:t>, paragraph 1 to 3,</w:t>
      </w:r>
      <w:r w:rsidRPr="00C02CD6">
        <w:rPr>
          <w:lang w:val="en-GB"/>
        </w:rPr>
        <w:t xml:space="preserve"> to this Regulation</w:t>
      </w:r>
      <w:r>
        <w:rPr>
          <w:lang w:val="en-GB"/>
        </w:rPr>
        <w:t xml:space="preserve"> </w:t>
      </w:r>
      <w:r w:rsidRPr="00C02CD6">
        <w:rPr>
          <w:lang w:val="en-GB"/>
        </w:rPr>
        <w:t>at normal engine idling speed, the maximum permissible carbon monoxide content in the exhaust gases shall be that stated by the vehicle manufacturer. However, the maximum carbon monoxide content shall not exceed 0.3 per cent vol.</w:t>
      </w:r>
    </w:p>
    <w:p w14:paraId="3C03797B" w14:textId="6A62A664" w:rsidR="00C02CD6" w:rsidRPr="00C02CD6" w:rsidRDefault="00C02CD6" w:rsidP="00C02CD6">
      <w:pPr>
        <w:pStyle w:val="SingleTxtG"/>
        <w:ind w:left="0"/>
        <w:rPr>
          <w:lang w:val="ca-ES"/>
        </w:rPr>
      </w:pPr>
      <w:r w:rsidRPr="00C02CD6">
        <w:rPr>
          <w:lang w:val="en-GB"/>
        </w:rPr>
        <w:tab/>
        <w:t>At high idle speed, the carbon monoxide content by volume of the exhaust gases shall not exceed 0.2 per cent, with the engine speed being at</w:t>
      </w:r>
      <w:r w:rsidRPr="00337A07">
        <w:t xml:space="preserve"> least 2,000 min</w:t>
      </w:r>
      <w:r w:rsidRPr="00337A07">
        <w:rPr>
          <w:vertAlign w:val="superscript"/>
        </w:rPr>
        <w:t>-1</w:t>
      </w:r>
      <w:r w:rsidRPr="00337A07">
        <w:t xml:space="preserve"> and Lambda being 1 ± 0.03 or in accordance with the specifications of the manufacturer.</w:t>
      </w:r>
      <w:r>
        <w:rPr>
          <w:lang w:val="ca-ES"/>
        </w:rPr>
        <w:t>”</w:t>
      </w:r>
    </w:p>
    <w:p w14:paraId="6A2EE950" w14:textId="36AC90AE" w:rsidR="00B66080" w:rsidRPr="00C02CD6" w:rsidRDefault="00B66080" w:rsidP="00E92463">
      <w:pPr>
        <w:pStyle w:val="SingleTxtG"/>
        <w:ind w:hanging="1134"/>
      </w:pPr>
    </w:p>
    <w:p w14:paraId="1537461F" w14:textId="3D6B70F5" w:rsidR="00B66080" w:rsidRDefault="00B66080" w:rsidP="00E92463">
      <w:pPr>
        <w:pStyle w:val="SingleTxtG"/>
        <w:ind w:hanging="1134"/>
        <w:rPr>
          <w:lang w:val="en-GB"/>
        </w:rPr>
      </w:pPr>
      <w:r>
        <w:rPr>
          <w:lang w:val="en-GB"/>
        </w:rPr>
        <w:lastRenderedPageBreak/>
        <w:t>Add new paragraphs 5.3.2.3 and 5.3.2.3.1 to read</w:t>
      </w:r>
    </w:p>
    <w:p w14:paraId="688DBDE6" w14:textId="3A3408D7" w:rsidR="00B66080" w:rsidRPr="006A03A5" w:rsidRDefault="00B66080" w:rsidP="00B66080">
      <w:pPr>
        <w:pStyle w:val="SingleTxtG"/>
        <w:ind w:left="0"/>
        <w:rPr>
          <w:b/>
          <w:lang w:val="en-GB"/>
        </w:rPr>
      </w:pPr>
      <w:r>
        <w:rPr>
          <w:lang w:val="en-GB"/>
        </w:rPr>
        <w:t>"</w:t>
      </w:r>
      <w:r w:rsidRPr="006A03A5">
        <w:rPr>
          <w:b/>
          <w:lang w:val="en-GB"/>
        </w:rPr>
        <w:t>5.3.2.3</w:t>
      </w:r>
      <w:r w:rsidRPr="006A03A5">
        <w:rPr>
          <w:b/>
          <w:lang w:val="en-GB"/>
        </w:rPr>
        <w:tab/>
        <w:t>for vehicles powered by compression ignition engine or by positive ignition engines with direct injection the following additional test has to be carried out</w:t>
      </w:r>
    </w:p>
    <w:p w14:paraId="20BB18AB" w14:textId="267B993A" w:rsidR="00B66080" w:rsidRPr="00B66080" w:rsidRDefault="00B66080" w:rsidP="00B66080">
      <w:pPr>
        <w:pStyle w:val="SingleTxtG"/>
        <w:ind w:left="0"/>
        <w:rPr>
          <w:lang w:val="en-GB"/>
        </w:rPr>
      </w:pPr>
      <w:r w:rsidRPr="006A03A5">
        <w:rPr>
          <w:b/>
          <w:lang w:val="en-GB"/>
        </w:rPr>
        <w:t>5.3.2.3.1</w:t>
      </w:r>
      <w:r w:rsidRPr="006A03A5">
        <w:rPr>
          <w:b/>
          <w:lang w:val="en-GB"/>
        </w:rPr>
        <w:tab/>
        <w:t>For the Type II test set out in Annex 5 to this Regulation (number 1, 2 and 4), at normal engine idling speed, the maximum permissible particle number in the exhaust gases shall be that stated by the vehicle manufacturer. However, the maximum particle number content shall not exceed 50.000 cm</w:t>
      </w:r>
      <w:r w:rsidR="003B206C" w:rsidRPr="006A03A5">
        <w:rPr>
          <w:b/>
          <w:vertAlign w:val="superscript"/>
          <w:lang w:val="en-GB"/>
        </w:rPr>
        <w:t>-</w:t>
      </w:r>
      <w:r w:rsidRPr="00B66080">
        <w:rPr>
          <w:lang w:val="en-GB"/>
        </w:rPr>
        <w:t>³</w:t>
      </w:r>
      <w:r>
        <w:rPr>
          <w:lang w:val="en-GB"/>
        </w:rPr>
        <w:t>"</w:t>
      </w:r>
    </w:p>
    <w:p w14:paraId="2247F34D" w14:textId="0042AF41" w:rsidR="00B66080" w:rsidRDefault="00B66080" w:rsidP="00E92463">
      <w:pPr>
        <w:pStyle w:val="SingleTxtG"/>
        <w:ind w:hanging="1134"/>
        <w:rPr>
          <w:lang w:val="en-US"/>
        </w:rPr>
      </w:pPr>
    </w:p>
    <w:p w14:paraId="4491FA4D" w14:textId="32EE718A" w:rsidR="00C02CD6" w:rsidRPr="002B009C" w:rsidRDefault="00C02CD6" w:rsidP="00C02CD6">
      <w:pPr>
        <w:pStyle w:val="SingleTxtG"/>
        <w:ind w:left="0"/>
        <w:rPr>
          <w:lang w:val="en-GB"/>
        </w:rPr>
      </w:pPr>
      <w:r w:rsidRPr="002B009C">
        <w:rPr>
          <w:lang w:val="en-GB"/>
        </w:rPr>
        <w:t xml:space="preserve">Paragraph </w:t>
      </w:r>
      <w:r>
        <w:rPr>
          <w:lang w:val="en-GB"/>
        </w:rPr>
        <w:t xml:space="preserve">5.3.7.2, </w:t>
      </w:r>
      <w:r w:rsidRPr="002B009C">
        <w:rPr>
          <w:lang w:val="en-GB"/>
        </w:rPr>
        <w:t>amend to read:</w:t>
      </w:r>
    </w:p>
    <w:p w14:paraId="1949F03C" w14:textId="77777777" w:rsidR="00C02CD6" w:rsidRPr="00C02CD6" w:rsidRDefault="00C02CD6" w:rsidP="00C02CD6">
      <w:pPr>
        <w:pStyle w:val="SingleTxtG"/>
        <w:ind w:left="0"/>
        <w:rPr>
          <w:lang w:val="en-GB"/>
        </w:rPr>
      </w:pPr>
    </w:p>
    <w:p w14:paraId="543834B0" w14:textId="741DBEF7" w:rsidR="00C02CD6" w:rsidRDefault="00C02CD6" w:rsidP="00C02CD6">
      <w:pPr>
        <w:pStyle w:val="SingleTxtG"/>
        <w:ind w:left="0"/>
        <w:rPr>
          <w:lang w:val="en-GB"/>
        </w:rPr>
      </w:pPr>
      <w:r>
        <w:rPr>
          <w:lang w:val="en-GB"/>
        </w:rPr>
        <w:t>“</w:t>
      </w:r>
      <w:r w:rsidRPr="00C02CD6">
        <w:rPr>
          <w:lang w:val="en-GB"/>
        </w:rPr>
        <w:t>5.3.7.2.</w:t>
      </w:r>
      <w:r w:rsidRPr="00C02CD6">
        <w:rPr>
          <w:lang w:val="en-GB"/>
        </w:rPr>
        <w:tab/>
        <w:t xml:space="preserve">When tested in accordance with Annex 5 to this Regulation (Type II test) </w:t>
      </w:r>
      <w:r w:rsidRPr="00C02CD6">
        <w:rPr>
          <w:strike/>
          <w:lang w:val="en-GB"/>
        </w:rPr>
        <w:t>at normal idling speed</w:t>
      </w:r>
      <w:r w:rsidRPr="00C02CD6">
        <w:rPr>
          <w:lang w:val="en-GB"/>
        </w:rPr>
        <w:t>:</w:t>
      </w:r>
    </w:p>
    <w:p w14:paraId="3433FA93" w14:textId="31730997" w:rsidR="00C02CD6" w:rsidRPr="006A03A5" w:rsidRDefault="00C02CD6" w:rsidP="00C02CD6">
      <w:pPr>
        <w:pStyle w:val="SingleTxtG"/>
        <w:ind w:left="0"/>
        <w:rPr>
          <w:b/>
          <w:lang w:val="en-GB"/>
        </w:rPr>
      </w:pPr>
      <w:r w:rsidRPr="006A03A5">
        <w:rPr>
          <w:b/>
          <w:lang w:val="en-GB"/>
        </w:rPr>
        <w:t>At normal idling speed:</w:t>
      </w:r>
    </w:p>
    <w:p w14:paraId="0B4A1B15" w14:textId="77777777" w:rsidR="00C02CD6" w:rsidRPr="00C02CD6" w:rsidRDefault="00C02CD6" w:rsidP="00C02CD6">
      <w:pPr>
        <w:pStyle w:val="SingleTxtG"/>
        <w:ind w:left="0"/>
        <w:rPr>
          <w:lang w:val="en-GB"/>
        </w:rPr>
      </w:pPr>
      <w:r w:rsidRPr="00C02CD6">
        <w:rPr>
          <w:lang w:val="en-GB"/>
        </w:rPr>
        <w:t>(a)</w:t>
      </w:r>
      <w:r w:rsidRPr="00C02CD6">
        <w:rPr>
          <w:lang w:val="en-GB"/>
        </w:rPr>
        <w:tab/>
        <w:t xml:space="preserve">The carbon monoxide content by volume of the exhaust </w:t>
      </w:r>
      <w:r w:rsidRPr="00C02CD6">
        <w:rPr>
          <w:lang w:val="en-GB"/>
        </w:rPr>
        <w:tab/>
        <w:t>gases emitted shall be recorded; and</w:t>
      </w:r>
    </w:p>
    <w:p w14:paraId="34FDB19F" w14:textId="77777777" w:rsidR="00C02CD6" w:rsidRPr="00C02CD6" w:rsidRDefault="00C02CD6" w:rsidP="00C02CD6">
      <w:pPr>
        <w:pStyle w:val="SingleTxtG"/>
        <w:ind w:left="0"/>
        <w:rPr>
          <w:lang w:val="en-GB"/>
        </w:rPr>
      </w:pPr>
      <w:r w:rsidRPr="00C02CD6">
        <w:rPr>
          <w:lang w:val="en-GB"/>
        </w:rPr>
        <w:t>(b)</w:t>
      </w:r>
      <w:r w:rsidRPr="00C02CD6">
        <w:rPr>
          <w:lang w:val="en-GB"/>
        </w:rPr>
        <w:tab/>
        <w:t>The engine speed during the test shall be recorded, including any tolerances.</w:t>
      </w:r>
    </w:p>
    <w:p w14:paraId="722A6EBC" w14:textId="4F11DC44" w:rsidR="00C02CD6" w:rsidRPr="006A03A5" w:rsidRDefault="00C02CD6" w:rsidP="00C02CD6">
      <w:pPr>
        <w:pStyle w:val="SingleTxtG"/>
        <w:ind w:left="0"/>
        <w:rPr>
          <w:b/>
          <w:lang w:val="en-GB"/>
        </w:rPr>
      </w:pPr>
      <w:r w:rsidRPr="006A03A5">
        <w:rPr>
          <w:b/>
          <w:lang w:val="en-GB"/>
        </w:rPr>
        <w:t>(c)</w:t>
      </w:r>
      <w:r w:rsidRPr="006A03A5">
        <w:rPr>
          <w:b/>
          <w:lang w:val="en-GB"/>
        </w:rPr>
        <w:tab/>
        <w:t xml:space="preserve">The particle number content by volume of the exhaust </w:t>
      </w:r>
      <w:r w:rsidRPr="006A03A5">
        <w:rPr>
          <w:b/>
          <w:lang w:val="en-GB"/>
        </w:rPr>
        <w:tab/>
        <w:t>gases emitted shall be recorded; and</w:t>
      </w:r>
    </w:p>
    <w:p w14:paraId="60E72485" w14:textId="32EEF93C" w:rsidR="00C02CD6" w:rsidRPr="006A03A5" w:rsidRDefault="00C02CD6" w:rsidP="00C02CD6">
      <w:pPr>
        <w:pStyle w:val="SingleTxtG"/>
        <w:ind w:left="0"/>
        <w:rPr>
          <w:b/>
          <w:lang w:val="en-GB"/>
        </w:rPr>
      </w:pPr>
      <w:r w:rsidRPr="006A03A5">
        <w:rPr>
          <w:b/>
          <w:lang w:val="en-GB"/>
        </w:rPr>
        <w:t>(d)</w:t>
      </w:r>
      <w:r w:rsidRPr="006A03A5">
        <w:rPr>
          <w:b/>
          <w:lang w:val="en-GB"/>
        </w:rPr>
        <w:tab/>
        <w:t>The engine speed during the test shall be recorded, including any tolerances.”</w:t>
      </w:r>
    </w:p>
    <w:p w14:paraId="5E99FAD2" w14:textId="77777777" w:rsidR="00C02CD6" w:rsidRPr="00C02CD6" w:rsidRDefault="00C02CD6" w:rsidP="00E92463">
      <w:pPr>
        <w:pStyle w:val="SingleTxtG"/>
        <w:ind w:hanging="1134"/>
        <w:rPr>
          <w:lang w:val="en-GB"/>
        </w:rPr>
      </w:pPr>
    </w:p>
    <w:p w14:paraId="191028CD" w14:textId="26E957BF" w:rsidR="00B66080" w:rsidRDefault="00B66080" w:rsidP="00E92463">
      <w:pPr>
        <w:pStyle w:val="SingleTxtG"/>
        <w:ind w:hanging="1134"/>
        <w:rPr>
          <w:lang w:val="en-US"/>
        </w:rPr>
      </w:pPr>
      <w:r>
        <w:rPr>
          <w:lang w:val="en-US"/>
        </w:rPr>
        <w:t>Annex I, add new item 3.2.1.7.1 to read:</w:t>
      </w:r>
    </w:p>
    <w:p w14:paraId="60D80038" w14:textId="32917706" w:rsidR="00B66080" w:rsidRDefault="00B66080" w:rsidP="00B66080">
      <w:pPr>
        <w:pStyle w:val="SingleTxtG"/>
        <w:ind w:left="0"/>
        <w:rPr>
          <w:vertAlign w:val="superscript"/>
          <w:lang w:val="ca-ES"/>
        </w:rPr>
      </w:pPr>
      <w:r>
        <w:rPr>
          <w:lang w:val="en-US"/>
        </w:rPr>
        <w:t>"</w:t>
      </w:r>
      <w:r w:rsidRPr="006A03A5">
        <w:rPr>
          <w:b/>
          <w:lang w:val="en-US"/>
        </w:rPr>
        <w:t>3.2.1.7.1</w:t>
      </w:r>
      <w:r w:rsidRPr="006A03A5">
        <w:rPr>
          <w:b/>
          <w:lang w:val="en-US"/>
        </w:rPr>
        <w:tab/>
      </w:r>
      <w:r w:rsidRPr="006A03A5">
        <w:rPr>
          <w:b/>
          <w:lang w:val="en-GB"/>
        </w:rPr>
        <w:t>Particle number content in the exhaust with the engine idling ((according to the manufacturer's specifications, positive ignition – direct injection engines only)</w:t>
      </w:r>
      <w:r w:rsidRPr="006A03A5">
        <w:rPr>
          <w:b/>
        </w:rPr>
        <w:t xml:space="preserve"> </w:t>
      </w:r>
      <w:r w:rsidRPr="006A03A5">
        <w:rPr>
          <w:b/>
          <w:lang w:val="ca-ES"/>
        </w:rPr>
        <w:t>.......................... cm</w:t>
      </w:r>
      <w:r w:rsidR="003B206C" w:rsidRPr="006A03A5">
        <w:rPr>
          <w:b/>
          <w:vertAlign w:val="superscript"/>
          <w:lang w:val="ca-ES"/>
        </w:rPr>
        <w:t>-</w:t>
      </w:r>
      <w:r w:rsidRPr="006A03A5">
        <w:rPr>
          <w:b/>
          <w:vertAlign w:val="superscript"/>
          <w:lang w:val="ca-ES"/>
        </w:rPr>
        <w:t>3</w:t>
      </w:r>
      <w:r>
        <w:rPr>
          <w:vertAlign w:val="superscript"/>
          <w:lang w:val="ca-ES"/>
        </w:rPr>
        <w:t>"</w:t>
      </w:r>
    </w:p>
    <w:p w14:paraId="1B53F2E4" w14:textId="77777777" w:rsidR="00C02CD6" w:rsidRDefault="00C02CD6" w:rsidP="00B66080">
      <w:pPr>
        <w:pStyle w:val="SingleTxtG"/>
        <w:ind w:left="0"/>
        <w:rPr>
          <w:vertAlign w:val="superscript"/>
          <w:lang w:val="ca-ES"/>
        </w:rPr>
      </w:pPr>
    </w:p>
    <w:p w14:paraId="22E2175C" w14:textId="18F25018" w:rsidR="00B66080" w:rsidRDefault="00B66080" w:rsidP="00B66080">
      <w:pPr>
        <w:pStyle w:val="SingleTxtG"/>
        <w:ind w:hanging="1134"/>
        <w:rPr>
          <w:lang w:val="en-US"/>
        </w:rPr>
      </w:pPr>
      <w:r>
        <w:rPr>
          <w:lang w:val="en-US"/>
        </w:rPr>
        <w:t>Annex II, addendum, item 2.1, Type II, amed to read:</w:t>
      </w:r>
    </w:p>
    <w:p w14:paraId="22F76124" w14:textId="118FE8BD" w:rsidR="00B66080" w:rsidRDefault="00B66080" w:rsidP="00B66080">
      <w:pPr>
        <w:pStyle w:val="SingleTxtG"/>
        <w:ind w:left="0"/>
        <w:rPr>
          <w:lang w:val="en-US"/>
        </w:rPr>
      </w:pPr>
      <w:r>
        <w:rPr>
          <w:lang w:val="en-US"/>
        </w:rPr>
        <w:t>“</w:t>
      </w:r>
      <w:r w:rsidRPr="00B66080">
        <w:rPr>
          <w:lang w:val="en-US"/>
        </w:rPr>
        <w:t>Type II:</w:t>
      </w:r>
      <w:r>
        <w:rPr>
          <w:lang w:val="en-US"/>
        </w:rPr>
        <w:t xml:space="preserve"> CO ……………………….. </w:t>
      </w:r>
      <w:r w:rsidRPr="00B66080">
        <w:rPr>
          <w:lang w:val="en-US"/>
        </w:rPr>
        <w:t>per cent</w:t>
      </w:r>
      <w:r>
        <w:rPr>
          <w:lang w:val="en-US"/>
        </w:rPr>
        <w:t xml:space="preserve">, </w:t>
      </w:r>
      <w:r w:rsidRPr="006A03A5">
        <w:rPr>
          <w:b/>
          <w:lang w:val="en-US"/>
        </w:rPr>
        <w:t>Particle Number …………………… cm</w:t>
      </w:r>
      <w:r w:rsidR="003B206C" w:rsidRPr="006A03A5">
        <w:rPr>
          <w:b/>
          <w:vertAlign w:val="superscript"/>
          <w:lang w:val="en-US"/>
        </w:rPr>
        <w:t>-</w:t>
      </w:r>
      <w:r w:rsidRPr="006A03A5">
        <w:rPr>
          <w:b/>
          <w:vertAlign w:val="superscript"/>
          <w:lang w:val="en-US"/>
        </w:rPr>
        <w:t>3</w:t>
      </w:r>
      <w:r>
        <w:rPr>
          <w:lang w:val="en-US"/>
        </w:rPr>
        <w:t>”</w:t>
      </w:r>
    </w:p>
    <w:p w14:paraId="62D81102" w14:textId="1611572A" w:rsidR="00B66080" w:rsidRDefault="00B66080" w:rsidP="00B66080">
      <w:pPr>
        <w:pStyle w:val="SingleTxtG"/>
        <w:ind w:left="0"/>
        <w:rPr>
          <w:lang w:val="en-US"/>
        </w:rPr>
      </w:pPr>
    </w:p>
    <w:p w14:paraId="3249AD24" w14:textId="4AADD2C6" w:rsidR="00B66080" w:rsidRDefault="00772974" w:rsidP="00B66080">
      <w:pPr>
        <w:pStyle w:val="SingleTxtG"/>
        <w:ind w:left="0"/>
        <w:rPr>
          <w:lang w:val="en-US"/>
        </w:rPr>
      </w:pPr>
      <w:r>
        <w:rPr>
          <w:lang w:val="en-US"/>
        </w:rPr>
        <w:t>Annex 5, subtitle, amend to read:</w:t>
      </w:r>
    </w:p>
    <w:p w14:paraId="1D7B0BD0" w14:textId="525CABE4" w:rsidR="00772974" w:rsidRPr="00772974" w:rsidRDefault="00772974" w:rsidP="00772974">
      <w:pPr>
        <w:pStyle w:val="SingleTxtG"/>
        <w:ind w:left="0"/>
        <w:rPr>
          <w:lang w:val="en-US"/>
        </w:rPr>
      </w:pPr>
      <w:r>
        <w:rPr>
          <w:lang w:val="en-US"/>
        </w:rPr>
        <w:t>“</w:t>
      </w:r>
      <w:r w:rsidRPr="00772974">
        <w:rPr>
          <w:lang w:val="en-US"/>
        </w:rPr>
        <w:t xml:space="preserve">(Carbon monoxide emission test </w:t>
      </w:r>
      <w:r w:rsidR="00874EF6" w:rsidRPr="00772974">
        <w:rPr>
          <w:lang w:val="en-US"/>
        </w:rPr>
        <w:t>at idling speed</w:t>
      </w:r>
      <w:r w:rsidR="00874EF6" w:rsidRPr="006A03A5">
        <w:rPr>
          <w:b/>
          <w:lang w:val="en-US"/>
        </w:rPr>
        <w:t xml:space="preserve"> </w:t>
      </w:r>
      <w:r w:rsidRPr="006A03A5">
        <w:rPr>
          <w:b/>
          <w:lang w:val="en-US"/>
        </w:rPr>
        <w:t xml:space="preserve">and particulate number </w:t>
      </w:r>
      <w:r w:rsidR="00874EF6" w:rsidRPr="006A03A5">
        <w:rPr>
          <w:b/>
          <w:lang w:val="en-US"/>
        </w:rPr>
        <w:t xml:space="preserve">emission </w:t>
      </w:r>
      <w:r w:rsidRPr="006A03A5">
        <w:rPr>
          <w:b/>
          <w:lang w:val="en-US"/>
        </w:rPr>
        <w:t>test</w:t>
      </w:r>
      <w:r w:rsidR="00874EF6" w:rsidRPr="006A03A5">
        <w:rPr>
          <w:b/>
          <w:lang w:val="en-US"/>
        </w:rPr>
        <w:t xml:space="preserve"> (only PI-DI)</w:t>
      </w:r>
      <w:r w:rsidRPr="00772974">
        <w:rPr>
          <w:lang w:val="en-US"/>
        </w:rPr>
        <w:t>)</w:t>
      </w:r>
    </w:p>
    <w:p w14:paraId="097BC342" w14:textId="77777777" w:rsidR="00772974" w:rsidRPr="00772974" w:rsidRDefault="00772974" w:rsidP="00B66080">
      <w:pPr>
        <w:pStyle w:val="SingleTxtG"/>
        <w:ind w:left="0"/>
      </w:pPr>
    </w:p>
    <w:p w14:paraId="12499C3F" w14:textId="77777777" w:rsidR="0016278B" w:rsidRDefault="0016278B" w:rsidP="0016278B">
      <w:pPr>
        <w:pStyle w:val="SingleTxtG"/>
        <w:ind w:left="0"/>
        <w:rPr>
          <w:lang w:val="en-US"/>
        </w:rPr>
      </w:pPr>
      <w:r>
        <w:rPr>
          <w:lang w:val="en-US"/>
        </w:rPr>
        <w:t>Annex 5, paragraph 2.2.1, amend to read:</w:t>
      </w:r>
    </w:p>
    <w:p w14:paraId="688ECFBF" w14:textId="77D0D857" w:rsidR="0016278B" w:rsidRPr="0016278B" w:rsidRDefault="0016278B" w:rsidP="0016278B">
      <w:pPr>
        <w:pStyle w:val="SingleTxtG"/>
        <w:ind w:left="0"/>
        <w:rPr>
          <w:lang w:val="en-US"/>
        </w:rPr>
      </w:pPr>
      <w:r>
        <w:rPr>
          <w:lang w:val="en-US"/>
        </w:rPr>
        <w:t>“</w:t>
      </w:r>
      <w:r w:rsidRPr="0016278B">
        <w:rPr>
          <w:lang w:val="en-US"/>
        </w:rPr>
        <w:t>2.2.1.</w:t>
      </w:r>
      <w:r w:rsidRPr="0016278B">
        <w:rPr>
          <w:lang w:val="en-US"/>
        </w:rPr>
        <w:tab/>
        <w:t xml:space="preserve">Vehicles that are fuelled either with petrol or with LPG or NG/biomethane </w:t>
      </w:r>
      <w:r w:rsidRPr="006A03A5">
        <w:rPr>
          <w:b/>
          <w:lang w:val="en-US"/>
        </w:rPr>
        <w:t>or diesel</w:t>
      </w:r>
      <w:r>
        <w:rPr>
          <w:lang w:val="en-US"/>
        </w:rPr>
        <w:t xml:space="preserve"> </w:t>
      </w:r>
      <w:r w:rsidRPr="0016278B">
        <w:rPr>
          <w:lang w:val="en-US"/>
        </w:rPr>
        <w:t>shall be tested with the reference fuel(s) used for the Type I test.</w:t>
      </w:r>
      <w:r>
        <w:rPr>
          <w:lang w:val="en-US"/>
        </w:rPr>
        <w:t>”</w:t>
      </w:r>
    </w:p>
    <w:p w14:paraId="20B205A2" w14:textId="38DC313B" w:rsidR="0016278B" w:rsidRDefault="0016278B" w:rsidP="00B66080">
      <w:pPr>
        <w:pStyle w:val="SingleTxtG"/>
        <w:ind w:left="0"/>
      </w:pPr>
    </w:p>
    <w:p w14:paraId="55275DEE" w14:textId="7C8B4408" w:rsidR="0016278B" w:rsidRDefault="0016278B" w:rsidP="0016278B">
      <w:pPr>
        <w:pStyle w:val="SingleTxtG"/>
        <w:ind w:left="0"/>
        <w:rPr>
          <w:lang w:val="en-US"/>
        </w:rPr>
      </w:pPr>
      <w:r>
        <w:rPr>
          <w:lang w:val="en-US"/>
        </w:rPr>
        <w:t>Annex 5, paragraph 3, amend to read:</w:t>
      </w:r>
    </w:p>
    <w:p w14:paraId="3597B1C0" w14:textId="4B70949C" w:rsidR="0016278B" w:rsidRPr="0016278B" w:rsidRDefault="0016278B" w:rsidP="0016278B">
      <w:pPr>
        <w:pStyle w:val="SingleTxtG"/>
        <w:ind w:left="0"/>
        <w:rPr>
          <w:lang w:val="en-US"/>
        </w:rPr>
      </w:pPr>
      <w:r>
        <w:rPr>
          <w:lang w:val="en-US"/>
        </w:rPr>
        <w:t>“</w:t>
      </w:r>
      <w:r w:rsidRPr="0016278B">
        <w:rPr>
          <w:lang w:val="en-US"/>
        </w:rPr>
        <w:t>3.</w:t>
      </w:r>
      <w:r w:rsidRPr="0016278B">
        <w:rPr>
          <w:lang w:val="en-US"/>
        </w:rPr>
        <w:tab/>
        <w:t>Sampling of gases</w:t>
      </w:r>
      <w:r>
        <w:rPr>
          <w:lang w:val="en-US"/>
        </w:rPr>
        <w:t xml:space="preserve"> (</w:t>
      </w:r>
      <w:r w:rsidRPr="006A03A5">
        <w:rPr>
          <w:b/>
          <w:lang w:val="en-US"/>
        </w:rPr>
        <w:t>vehicles with positive ignition engine</w:t>
      </w:r>
      <w:r>
        <w:rPr>
          <w:lang w:val="en-US"/>
        </w:rPr>
        <w:t>)”</w:t>
      </w:r>
    </w:p>
    <w:p w14:paraId="7E419901" w14:textId="39020DB9" w:rsidR="0016278B" w:rsidRDefault="0016278B" w:rsidP="00B66080">
      <w:pPr>
        <w:pStyle w:val="SingleTxtG"/>
        <w:ind w:left="0"/>
      </w:pPr>
    </w:p>
    <w:p w14:paraId="1ED53F03" w14:textId="1B6A851E" w:rsidR="0016278B" w:rsidRDefault="0016278B" w:rsidP="00B66080">
      <w:pPr>
        <w:pStyle w:val="SingleTxtG"/>
        <w:ind w:left="0"/>
        <w:rPr>
          <w:lang w:val="ca-ES"/>
        </w:rPr>
      </w:pPr>
      <w:r>
        <w:rPr>
          <w:lang w:val="ca-ES"/>
        </w:rPr>
        <w:t>Annex 5, add a new paragraph 4 to read:</w:t>
      </w:r>
    </w:p>
    <w:p w14:paraId="71F43A66" w14:textId="268E4B62" w:rsidR="0016278B" w:rsidRPr="006A03A5" w:rsidRDefault="0016278B" w:rsidP="0016278B">
      <w:pPr>
        <w:ind w:left="851" w:hanging="851"/>
        <w:rPr>
          <w:rFonts w:ascii="Times New Roman" w:eastAsia="Times New Roman" w:hAnsi="Times New Roman"/>
          <w:b/>
          <w:sz w:val="20"/>
          <w:szCs w:val="20"/>
          <w:lang w:val="en-GB"/>
        </w:rPr>
      </w:pPr>
      <w:r>
        <w:rPr>
          <w:rFonts w:ascii="Times New Roman" w:eastAsia="Times New Roman" w:hAnsi="Times New Roman"/>
          <w:sz w:val="20"/>
          <w:szCs w:val="20"/>
          <w:lang w:val="en-GB"/>
        </w:rPr>
        <w:lastRenderedPageBreak/>
        <w:t>“</w:t>
      </w:r>
      <w:r w:rsidRPr="006A03A5">
        <w:rPr>
          <w:rFonts w:ascii="Times New Roman" w:eastAsia="Times New Roman" w:hAnsi="Times New Roman"/>
          <w:b/>
          <w:sz w:val="20"/>
          <w:szCs w:val="20"/>
          <w:lang w:val="en-GB"/>
        </w:rPr>
        <w:t>4</w:t>
      </w:r>
      <w:r w:rsidRPr="006A03A5">
        <w:rPr>
          <w:rFonts w:ascii="Times New Roman" w:eastAsia="Times New Roman" w:hAnsi="Times New Roman"/>
          <w:b/>
          <w:sz w:val="20"/>
          <w:szCs w:val="20"/>
          <w:lang w:val="en-GB"/>
        </w:rPr>
        <w:tab/>
        <w:t>Particle number emission test at idling speed (vehicles with compression ignition engine or with positive ignition engine and direct injection)</w:t>
      </w:r>
    </w:p>
    <w:p w14:paraId="417145AE" w14:textId="77777777" w:rsidR="0016278B" w:rsidRPr="006A03A5" w:rsidRDefault="0016278B" w:rsidP="0016278B">
      <w:pPr>
        <w:ind w:left="851" w:hanging="851"/>
        <w:rPr>
          <w:rFonts w:ascii="Times New Roman" w:eastAsia="Times New Roman" w:hAnsi="Times New Roman"/>
          <w:b/>
          <w:sz w:val="20"/>
          <w:szCs w:val="20"/>
          <w:lang w:val="en-GB"/>
        </w:rPr>
      </w:pPr>
      <w:r w:rsidRPr="006A03A5">
        <w:rPr>
          <w:rFonts w:ascii="Times New Roman" w:eastAsia="Times New Roman" w:hAnsi="Times New Roman"/>
          <w:b/>
          <w:sz w:val="20"/>
          <w:szCs w:val="20"/>
          <w:lang w:val="en-GB"/>
        </w:rPr>
        <w:t>4.1</w:t>
      </w:r>
      <w:r w:rsidRPr="006A03A5">
        <w:rPr>
          <w:rFonts w:ascii="Times New Roman" w:eastAsia="Times New Roman" w:hAnsi="Times New Roman"/>
          <w:b/>
          <w:sz w:val="20"/>
          <w:szCs w:val="20"/>
          <w:lang w:val="en-GB"/>
        </w:rPr>
        <w:tab/>
        <w:t>ensure that the EGR system is not switched off during the entire test by suitable means</w:t>
      </w:r>
    </w:p>
    <w:p w14:paraId="318AE9F8" w14:textId="77777777" w:rsidR="0016278B" w:rsidRPr="006A03A5" w:rsidRDefault="0016278B" w:rsidP="0016278B">
      <w:pPr>
        <w:ind w:left="851" w:hanging="851"/>
        <w:rPr>
          <w:rFonts w:ascii="Times New Roman" w:eastAsia="Times New Roman" w:hAnsi="Times New Roman"/>
          <w:b/>
          <w:sz w:val="20"/>
          <w:szCs w:val="20"/>
          <w:lang w:val="en-GB"/>
        </w:rPr>
      </w:pPr>
      <w:r w:rsidRPr="006A03A5">
        <w:rPr>
          <w:rFonts w:ascii="Times New Roman" w:eastAsia="Times New Roman" w:hAnsi="Times New Roman"/>
          <w:b/>
          <w:sz w:val="20"/>
          <w:szCs w:val="20"/>
          <w:lang w:val="en-GB"/>
        </w:rPr>
        <w:t>4.1.1</w:t>
      </w:r>
      <w:r w:rsidRPr="006A03A5">
        <w:rPr>
          <w:rFonts w:ascii="Times New Roman" w:eastAsia="Times New Roman" w:hAnsi="Times New Roman"/>
          <w:b/>
          <w:sz w:val="20"/>
          <w:szCs w:val="20"/>
          <w:lang w:val="en-GB"/>
        </w:rPr>
        <w:tab/>
        <w:t>If not possible or available: increase the engine speed from idling speed by 1000 rpm or more within 5 seconds</w:t>
      </w:r>
    </w:p>
    <w:p w14:paraId="393EAD0E" w14:textId="77777777" w:rsidR="0016278B" w:rsidRPr="006A03A5" w:rsidRDefault="0016278B" w:rsidP="0016278B">
      <w:pPr>
        <w:ind w:left="851" w:hanging="851"/>
        <w:rPr>
          <w:rFonts w:ascii="Times New Roman" w:eastAsia="Times New Roman" w:hAnsi="Times New Roman"/>
          <w:b/>
          <w:sz w:val="20"/>
          <w:szCs w:val="20"/>
          <w:lang w:val="en-GB"/>
        </w:rPr>
      </w:pPr>
      <w:r w:rsidRPr="006A03A5">
        <w:rPr>
          <w:rFonts w:ascii="Times New Roman" w:eastAsia="Times New Roman" w:hAnsi="Times New Roman"/>
          <w:b/>
          <w:sz w:val="20"/>
          <w:szCs w:val="20"/>
          <w:lang w:val="en-GB"/>
        </w:rPr>
        <w:t>4.2</w:t>
      </w:r>
      <w:r w:rsidRPr="006A03A5">
        <w:rPr>
          <w:rFonts w:ascii="Times New Roman" w:eastAsia="Times New Roman" w:hAnsi="Times New Roman"/>
          <w:b/>
          <w:sz w:val="20"/>
          <w:szCs w:val="20"/>
          <w:lang w:val="en-GB"/>
        </w:rPr>
        <w:tab/>
        <w:t xml:space="preserve">Run the engine at idle speed at least for 15 seconds </w:t>
      </w:r>
    </w:p>
    <w:p w14:paraId="3481C362" w14:textId="77777777" w:rsidR="0016278B" w:rsidRPr="006A03A5" w:rsidRDefault="0016278B" w:rsidP="0016278B">
      <w:pPr>
        <w:ind w:left="851" w:hanging="851"/>
        <w:rPr>
          <w:rFonts w:ascii="Times New Roman" w:eastAsia="Times New Roman" w:hAnsi="Times New Roman"/>
          <w:b/>
          <w:sz w:val="20"/>
          <w:szCs w:val="20"/>
          <w:lang w:val="en-GB"/>
        </w:rPr>
      </w:pPr>
      <w:r w:rsidRPr="006A03A5">
        <w:rPr>
          <w:rFonts w:ascii="Times New Roman" w:eastAsia="Times New Roman" w:hAnsi="Times New Roman"/>
          <w:b/>
          <w:sz w:val="20"/>
          <w:szCs w:val="20"/>
          <w:lang w:val="en-GB"/>
        </w:rPr>
        <w:t>4.2.1</w:t>
      </w:r>
      <w:r w:rsidRPr="006A03A5">
        <w:rPr>
          <w:rFonts w:ascii="Times New Roman" w:eastAsia="Times New Roman" w:hAnsi="Times New Roman"/>
          <w:b/>
          <w:sz w:val="20"/>
          <w:szCs w:val="20"/>
          <w:lang w:val="en-GB"/>
        </w:rPr>
        <w:tab/>
        <w:t>Insert the sampling probe into the exhaust pipe</w:t>
      </w:r>
    </w:p>
    <w:p w14:paraId="71316383" w14:textId="77777777" w:rsidR="0016278B" w:rsidRPr="006A03A5" w:rsidRDefault="0016278B" w:rsidP="0016278B">
      <w:pPr>
        <w:ind w:left="851" w:hanging="851"/>
        <w:rPr>
          <w:rFonts w:ascii="Times New Roman" w:eastAsia="Times New Roman" w:hAnsi="Times New Roman"/>
          <w:b/>
          <w:sz w:val="20"/>
          <w:szCs w:val="20"/>
          <w:lang w:val="en-GB"/>
        </w:rPr>
      </w:pPr>
      <w:r w:rsidRPr="006A03A5">
        <w:rPr>
          <w:rFonts w:ascii="Times New Roman" w:eastAsia="Times New Roman" w:hAnsi="Times New Roman"/>
          <w:b/>
          <w:sz w:val="20"/>
          <w:szCs w:val="20"/>
          <w:lang w:val="en-GB"/>
        </w:rPr>
        <w:t>4.2.2</w:t>
      </w:r>
      <w:r w:rsidRPr="006A03A5">
        <w:rPr>
          <w:rFonts w:ascii="Times New Roman" w:eastAsia="Times New Roman" w:hAnsi="Times New Roman"/>
          <w:b/>
          <w:sz w:val="20"/>
          <w:szCs w:val="20"/>
          <w:lang w:val="en-GB"/>
        </w:rPr>
        <w:tab/>
        <w:t>Measurement of the number of particles over at least 15 seconds and averaging</w:t>
      </w:r>
    </w:p>
    <w:p w14:paraId="0EC37B6C" w14:textId="200C7C00" w:rsidR="0016278B" w:rsidRPr="006A03A5" w:rsidRDefault="0016278B" w:rsidP="0016278B">
      <w:pPr>
        <w:ind w:left="851" w:hanging="851"/>
        <w:rPr>
          <w:rFonts w:ascii="Times New Roman" w:eastAsia="Times New Roman" w:hAnsi="Times New Roman"/>
          <w:b/>
          <w:sz w:val="20"/>
          <w:szCs w:val="20"/>
          <w:lang w:val="en-GB"/>
        </w:rPr>
      </w:pPr>
      <w:r w:rsidRPr="006A03A5">
        <w:rPr>
          <w:rFonts w:ascii="Times New Roman" w:eastAsia="Times New Roman" w:hAnsi="Times New Roman"/>
          <w:b/>
          <w:sz w:val="20"/>
          <w:szCs w:val="20"/>
          <w:lang w:val="en-GB"/>
        </w:rPr>
        <w:t>4.2.3</w:t>
      </w:r>
      <w:r w:rsidRPr="006A03A5">
        <w:rPr>
          <w:rFonts w:ascii="Times New Roman" w:eastAsia="Times New Roman" w:hAnsi="Times New Roman"/>
          <w:b/>
          <w:sz w:val="20"/>
          <w:szCs w:val="20"/>
          <w:lang w:val="en-GB"/>
        </w:rPr>
        <w:tab/>
        <w:t>repeat number 4.2.2 two more times without removing the sampling probe from the exhaust pipe</w:t>
      </w:r>
    </w:p>
    <w:p w14:paraId="7C62A82F" w14:textId="77777777" w:rsidR="0016278B" w:rsidRPr="00AD152C" w:rsidRDefault="0016278B" w:rsidP="0016278B">
      <w:pPr>
        <w:ind w:left="851" w:hanging="851"/>
        <w:rPr>
          <w:rFonts w:ascii="Times New Roman" w:eastAsia="Times New Roman" w:hAnsi="Times New Roman"/>
          <w:sz w:val="20"/>
          <w:szCs w:val="20"/>
          <w:lang w:val="en-GB"/>
        </w:rPr>
      </w:pPr>
      <w:r w:rsidRPr="006A03A5">
        <w:rPr>
          <w:rFonts w:ascii="Times New Roman" w:eastAsia="Times New Roman" w:hAnsi="Times New Roman"/>
          <w:b/>
          <w:sz w:val="20"/>
          <w:szCs w:val="20"/>
          <w:lang w:val="en-GB"/>
        </w:rPr>
        <w:t>4.3</w:t>
      </w:r>
      <w:r w:rsidRPr="006A03A5">
        <w:rPr>
          <w:rFonts w:ascii="Times New Roman" w:eastAsia="Times New Roman" w:hAnsi="Times New Roman"/>
          <w:b/>
          <w:sz w:val="20"/>
          <w:szCs w:val="20"/>
          <w:lang w:val="en-GB"/>
        </w:rPr>
        <w:tab/>
        <w:t>The final result is the average value of the three measures of paragraph 4.2.3</w:t>
      </w:r>
      <w:r>
        <w:rPr>
          <w:rFonts w:ascii="Times New Roman" w:eastAsia="Times New Roman" w:hAnsi="Times New Roman"/>
          <w:sz w:val="20"/>
          <w:szCs w:val="20"/>
          <w:lang w:val="en-GB"/>
        </w:rPr>
        <w:t>”</w:t>
      </w:r>
    </w:p>
    <w:p w14:paraId="6EFF4658" w14:textId="77777777" w:rsidR="0040227A" w:rsidRDefault="0040227A" w:rsidP="0040227A">
      <w:pPr>
        <w:pStyle w:val="HChG"/>
        <w:tabs>
          <w:tab w:val="clear" w:pos="851"/>
        </w:tabs>
        <w:spacing w:before="240"/>
        <w:ind w:hanging="567"/>
      </w:pPr>
    </w:p>
    <w:p w14:paraId="523A9EB2" w14:textId="77777777" w:rsidR="0040227A" w:rsidRPr="002B009C" w:rsidRDefault="0040227A" w:rsidP="0040227A">
      <w:pPr>
        <w:pStyle w:val="HChG"/>
        <w:tabs>
          <w:tab w:val="clear" w:pos="851"/>
        </w:tabs>
        <w:spacing w:before="240"/>
        <w:ind w:hanging="567"/>
      </w:pPr>
      <w:r w:rsidRPr="002B009C">
        <w:t>I</w:t>
      </w:r>
      <w:r>
        <w:t>I</w:t>
      </w:r>
      <w:r w:rsidRPr="002B009C">
        <w:t>.</w:t>
      </w:r>
      <w:r w:rsidRPr="002B009C">
        <w:tab/>
      </w:r>
      <w:r>
        <w:t>Justification</w:t>
      </w:r>
    </w:p>
    <w:p w14:paraId="2DE6EEE7" w14:textId="77777777" w:rsidR="0040227A" w:rsidRDefault="0040227A" w:rsidP="0040227A">
      <w:pPr>
        <w:pStyle w:val="SingleTxtG"/>
        <w:ind w:left="0"/>
        <w:rPr>
          <w:lang w:val="en-GB"/>
        </w:rPr>
      </w:pPr>
      <w:r>
        <w:rPr>
          <w:lang w:val="en-GB"/>
        </w:rPr>
        <w:t>It is already possible to measure PN during periodical and road-side inspection. Some countries are in the last stages of developing their national legal requirements in that direction.</w:t>
      </w:r>
    </w:p>
    <w:p w14:paraId="443F49F8" w14:textId="77777777" w:rsidR="0040227A" w:rsidRDefault="0040227A" w:rsidP="0040227A">
      <w:pPr>
        <w:pStyle w:val="SingleTxtG"/>
        <w:ind w:left="0"/>
        <w:rPr>
          <w:lang w:val="en-GB"/>
        </w:rPr>
      </w:pPr>
      <w:r>
        <w:rPr>
          <w:lang w:val="en-GB"/>
        </w:rPr>
        <w:t>This proposal aims to adapt vehicle approval to that status quo by defining a reference value for PN. That reference facilitates to maintain the benefits of new cleaner vehicles during their life cycle.</w:t>
      </w:r>
    </w:p>
    <w:p w14:paraId="0F67DE66" w14:textId="0E6894CB" w:rsidR="0040227A" w:rsidRPr="002B009C" w:rsidRDefault="0040227A" w:rsidP="0040227A">
      <w:pPr>
        <w:pStyle w:val="SingleTxtG"/>
        <w:ind w:left="0"/>
        <w:rPr>
          <w:lang w:val="en-GB"/>
        </w:rPr>
      </w:pPr>
      <w:r>
        <w:rPr>
          <w:lang w:val="en-GB"/>
        </w:rPr>
        <w:t>It includes as well the reference for PI – DI engines because of the relevance of that technology in particles emissions.</w:t>
      </w:r>
    </w:p>
    <w:p w14:paraId="60817E0D" w14:textId="77777777" w:rsidR="0016278B" w:rsidRPr="0016278B" w:rsidRDefault="0016278B" w:rsidP="00B66080">
      <w:pPr>
        <w:pStyle w:val="SingleTxtG"/>
        <w:ind w:left="0"/>
        <w:rPr>
          <w:lang w:val="en-GB"/>
        </w:rPr>
      </w:pPr>
    </w:p>
    <w:p w14:paraId="431DE8E5" w14:textId="5C4F0565" w:rsidR="000E6538" w:rsidRPr="002E116F" w:rsidRDefault="00216B60" w:rsidP="00216B60">
      <w:pPr>
        <w:pStyle w:val="SingleTxtG"/>
        <w:tabs>
          <w:tab w:val="left" w:pos="709"/>
        </w:tabs>
        <w:spacing w:after="0"/>
        <w:ind w:left="0"/>
        <w:jc w:val="center"/>
        <w:rPr>
          <w:sz w:val="24"/>
          <w:szCs w:val="24"/>
          <w:lang w:val="en-GB"/>
        </w:rPr>
      </w:pPr>
      <w:r w:rsidRPr="002E116F">
        <w:rPr>
          <w:sz w:val="24"/>
          <w:szCs w:val="24"/>
          <w:lang w:val="en-GB"/>
        </w:rPr>
        <w:t>________</w:t>
      </w:r>
    </w:p>
    <w:sectPr w:rsidR="000E6538" w:rsidRPr="002E116F" w:rsidSect="003451EC">
      <w:headerReference w:type="even" r:id="rId7"/>
      <w:headerReference w:type="default" r:id="rId8"/>
      <w:footerReference w:type="even" r:id="rId9"/>
      <w:footerReference w:type="default" r:id="rId10"/>
      <w:headerReference w:type="first" r:id="rId11"/>
      <w:footerReference w:type="first" r:id="rId12"/>
      <w:pgSz w:w="12240" w:h="15840"/>
      <w:pgMar w:top="1276" w:right="1440" w:bottom="1440" w:left="1440" w:header="720" w:footer="4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7CC8" w14:textId="77777777" w:rsidR="00EC21B0" w:rsidRDefault="00EC21B0" w:rsidP="00F03B82">
      <w:pPr>
        <w:spacing w:after="0" w:line="240" w:lineRule="auto"/>
      </w:pPr>
      <w:r>
        <w:separator/>
      </w:r>
    </w:p>
  </w:endnote>
  <w:endnote w:type="continuationSeparator" w:id="0">
    <w:p w14:paraId="6D23F0CE" w14:textId="77777777" w:rsidR="00EC21B0" w:rsidRDefault="00EC21B0"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38153"/>
      <w:docPartObj>
        <w:docPartGallery w:val="Page Numbers (Bottom of Page)"/>
        <w:docPartUnique/>
      </w:docPartObj>
    </w:sdtPr>
    <w:sdtEndPr>
      <w:rPr>
        <w:noProof/>
      </w:rPr>
    </w:sdtEndPr>
    <w:sdtContent>
      <w:p w14:paraId="1CCF1D7C" w14:textId="46233D1C" w:rsidR="003451EC" w:rsidRDefault="003451EC">
        <w:pPr>
          <w:pStyle w:val="Footer"/>
        </w:pPr>
        <w:r>
          <w:fldChar w:fldCharType="begin"/>
        </w:r>
        <w:r>
          <w:instrText xml:space="preserve"> PAGE   \* MERGEFORMAT </w:instrText>
        </w:r>
        <w:r>
          <w:fldChar w:fldCharType="separate"/>
        </w:r>
        <w:r>
          <w:rPr>
            <w:noProof/>
          </w:rPr>
          <w:t>2</w:t>
        </w:r>
        <w:r>
          <w:rPr>
            <w:noProof/>
          </w:rPr>
          <w:fldChar w:fldCharType="end"/>
        </w:r>
      </w:p>
    </w:sdtContent>
  </w:sdt>
  <w:p w14:paraId="218B5850" w14:textId="77777777" w:rsidR="003451EC" w:rsidRDefault="0034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625165"/>
      <w:docPartObj>
        <w:docPartGallery w:val="Page Numbers (Bottom of Page)"/>
        <w:docPartUnique/>
      </w:docPartObj>
    </w:sdtPr>
    <w:sdtEndPr>
      <w:rPr>
        <w:noProof/>
      </w:rPr>
    </w:sdtEndPr>
    <w:sdtContent>
      <w:p w14:paraId="6DF6C868" w14:textId="6F4C6A43" w:rsidR="003451EC" w:rsidRDefault="003451EC" w:rsidP="003451EC">
        <w:pPr>
          <w:pStyle w:val="Footer"/>
        </w:pPr>
        <w:r>
          <w:fldChar w:fldCharType="begin"/>
        </w:r>
        <w:r>
          <w:instrText xml:space="preserve"> PAGE   \* MERGEFORMAT </w:instrText>
        </w:r>
        <w:r>
          <w:fldChar w:fldCharType="separate"/>
        </w:r>
        <w:r>
          <w:rPr>
            <w:noProof/>
          </w:rPr>
          <w:t>2</w:t>
        </w:r>
        <w:r>
          <w:rPr>
            <w:noProof/>
          </w:rPr>
          <w:fldChar w:fldCharType="end"/>
        </w:r>
      </w:p>
    </w:sdtContent>
  </w:sdt>
  <w:p w14:paraId="6AE396DE" w14:textId="77777777" w:rsidR="003D5775" w:rsidRDefault="003D5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391842"/>
      <w:docPartObj>
        <w:docPartGallery w:val="Page Numbers (Bottom of Page)"/>
        <w:docPartUnique/>
      </w:docPartObj>
    </w:sdtPr>
    <w:sdtEndPr>
      <w:rPr>
        <w:noProof/>
      </w:rPr>
    </w:sdtEndPr>
    <w:sdtContent>
      <w:p w14:paraId="63D7514F" w14:textId="6A8D40D7" w:rsidR="003451EC" w:rsidRDefault="003451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5FC26" w14:textId="7D7C18FB" w:rsidR="003D5775" w:rsidRPr="003451EC" w:rsidRDefault="003D5775" w:rsidP="0034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5979" w14:textId="77777777" w:rsidR="00EC21B0" w:rsidRDefault="00EC21B0" w:rsidP="00F03B82">
      <w:pPr>
        <w:spacing w:after="0" w:line="240" w:lineRule="auto"/>
      </w:pPr>
      <w:r>
        <w:separator/>
      </w:r>
    </w:p>
  </w:footnote>
  <w:footnote w:type="continuationSeparator" w:id="0">
    <w:p w14:paraId="0EF8E9E6" w14:textId="77777777" w:rsidR="00EC21B0" w:rsidRDefault="00EC21B0" w:rsidP="00F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C3D7" w14:textId="77777777" w:rsidR="006A03A5" w:rsidRDefault="006A0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DBD3" w14:textId="467A54DB" w:rsidR="003451EC" w:rsidRPr="003451EC" w:rsidRDefault="003451EC" w:rsidP="003451EC">
    <w:pPr>
      <w:pStyle w:val="Header"/>
      <w:pBdr>
        <w:bottom w:val="single" w:sz="4" w:space="1" w:color="auto"/>
      </w:pBdr>
      <w:rPr>
        <w:rFonts w:asciiTheme="majorBidi" w:hAnsiTheme="majorBidi" w:cstheme="majorBidi"/>
        <w:sz w:val="24"/>
        <w:szCs w:val="24"/>
      </w:rPr>
    </w:pPr>
    <w:r w:rsidRPr="003451EC">
      <w:rPr>
        <w:rFonts w:asciiTheme="majorBidi" w:hAnsiTheme="majorBidi" w:cstheme="majorBidi"/>
        <w:b/>
        <w:sz w:val="20"/>
        <w:szCs w:val="20"/>
        <w:lang w:val="fr-FR"/>
      </w:rPr>
      <w:t>GRPE-81-19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18"/>
    </w:tblGrid>
    <w:tr w:rsidR="0076431C" w:rsidRPr="0076431C" w14:paraId="085D0E89" w14:textId="77777777" w:rsidTr="003451EC">
      <w:tc>
        <w:tcPr>
          <w:tcW w:w="5670" w:type="dxa"/>
        </w:tcPr>
        <w:p w14:paraId="334F904B" w14:textId="77777777" w:rsidR="0076431C" w:rsidRPr="008F524D" w:rsidRDefault="0076431C" w:rsidP="0076431C">
          <w:pPr>
            <w:pStyle w:val="Header"/>
            <w:suppressAutoHyphens w:val="0"/>
            <w:rPr>
              <w:sz w:val="18"/>
              <w:szCs w:val="18"/>
              <w:lang w:val="en-GB"/>
            </w:rPr>
          </w:pPr>
          <w:r w:rsidRPr="008F524D">
            <w:rPr>
              <w:sz w:val="18"/>
              <w:szCs w:val="18"/>
              <w:lang w:val="en-GB"/>
            </w:rPr>
            <w:t>Note by the expert from CITA</w:t>
          </w:r>
        </w:p>
      </w:tc>
      <w:tc>
        <w:tcPr>
          <w:tcW w:w="3118" w:type="dxa"/>
        </w:tcPr>
        <w:p w14:paraId="0E5F4958" w14:textId="0A8BDCC5" w:rsidR="0076431C" w:rsidRPr="00F37E06" w:rsidRDefault="0076431C" w:rsidP="0076431C">
          <w:pPr>
            <w:pStyle w:val="Header"/>
            <w:suppressAutoHyphens w:val="0"/>
            <w:rPr>
              <w:b/>
              <w:sz w:val="18"/>
              <w:szCs w:val="18"/>
              <w:lang w:val="fr-FR"/>
            </w:rPr>
          </w:pPr>
          <w:r w:rsidRPr="006A03A5">
            <w:rPr>
              <w:b/>
              <w:sz w:val="18"/>
              <w:szCs w:val="18"/>
              <w:lang w:val="fr-FR"/>
            </w:rPr>
            <w:t>Informal document</w:t>
          </w:r>
          <w:r w:rsidRPr="00F37E06">
            <w:rPr>
              <w:sz w:val="18"/>
              <w:szCs w:val="18"/>
              <w:lang w:val="fr-FR"/>
            </w:rPr>
            <w:t xml:space="preserve"> </w:t>
          </w:r>
          <w:r w:rsidRPr="00F37E06">
            <w:rPr>
              <w:b/>
              <w:sz w:val="18"/>
              <w:szCs w:val="18"/>
              <w:lang w:val="fr-FR"/>
            </w:rPr>
            <w:t>GRPE-</w:t>
          </w:r>
          <w:r w:rsidR="00B714E6" w:rsidRPr="00F37E06">
            <w:rPr>
              <w:b/>
              <w:sz w:val="18"/>
              <w:szCs w:val="18"/>
              <w:lang w:val="fr-FR"/>
            </w:rPr>
            <w:t>8</w:t>
          </w:r>
          <w:r w:rsidR="00936ADA" w:rsidRPr="00F37E06">
            <w:rPr>
              <w:b/>
              <w:sz w:val="18"/>
              <w:szCs w:val="18"/>
              <w:lang w:val="fr-FR"/>
            </w:rPr>
            <w:t>1</w:t>
          </w:r>
          <w:r w:rsidR="00B714E6" w:rsidRPr="00F37E06">
            <w:rPr>
              <w:b/>
              <w:sz w:val="18"/>
              <w:szCs w:val="18"/>
              <w:lang w:val="fr-FR"/>
            </w:rPr>
            <w:t>-</w:t>
          </w:r>
          <w:r w:rsidR="003451EC">
            <w:rPr>
              <w:b/>
              <w:sz w:val="18"/>
              <w:szCs w:val="18"/>
              <w:lang w:val="fr-FR"/>
            </w:rPr>
            <w:t>19</w:t>
          </w:r>
        </w:p>
        <w:p w14:paraId="788D5C01" w14:textId="4F9AAE57" w:rsidR="0076431C" w:rsidRPr="00F37E06" w:rsidRDefault="00B714E6" w:rsidP="0076431C">
          <w:pPr>
            <w:pStyle w:val="Header"/>
            <w:suppressAutoHyphens w:val="0"/>
            <w:rPr>
              <w:sz w:val="18"/>
              <w:szCs w:val="18"/>
              <w:lang w:val="fr-FR"/>
            </w:rPr>
          </w:pPr>
          <w:r w:rsidRPr="00F37E06">
            <w:rPr>
              <w:sz w:val="18"/>
              <w:szCs w:val="18"/>
              <w:lang w:val="fr-FR"/>
            </w:rPr>
            <w:t>8</w:t>
          </w:r>
          <w:r w:rsidR="00936ADA" w:rsidRPr="00F37E06">
            <w:rPr>
              <w:sz w:val="18"/>
              <w:szCs w:val="18"/>
              <w:lang w:val="fr-FR"/>
            </w:rPr>
            <w:t>1</w:t>
          </w:r>
          <w:r w:rsidR="00936ADA" w:rsidRPr="00F37E06">
            <w:rPr>
              <w:sz w:val="18"/>
              <w:szCs w:val="18"/>
              <w:vertAlign w:val="superscript"/>
              <w:lang w:val="fr-FR"/>
            </w:rPr>
            <w:t>st</w:t>
          </w:r>
          <w:r w:rsidR="00936ADA" w:rsidRPr="00F37E06">
            <w:rPr>
              <w:sz w:val="18"/>
              <w:szCs w:val="18"/>
              <w:lang w:val="fr-FR"/>
            </w:rPr>
            <w:t xml:space="preserve"> </w:t>
          </w:r>
          <w:r w:rsidR="0076431C" w:rsidRPr="00F37E06">
            <w:rPr>
              <w:sz w:val="18"/>
              <w:szCs w:val="18"/>
              <w:lang w:val="fr-FR"/>
            </w:rPr>
            <w:t xml:space="preserve">GRPE, </w:t>
          </w:r>
          <w:r w:rsidR="00936ADA" w:rsidRPr="00F37E06">
            <w:rPr>
              <w:sz w:val="18"/>
              <w:szCs w:val="18"/>
              <w:lang w:val="fr-FR"/>
            </w:rPr>
            <w:t>9-1</w:t>
          </w:r>
          <w:r w:rsidR="006A03A5">
            <w:rPr>
              <w:sz w:val="18"/>
              <w:szCs w:val="18"/>
              <w:lang w:val="fr-FR"/>
            </w:rPr>
            <w:t>1</w:t>
          </w:r>
          <w:bookmarkStart w:id="0" w:name="_GoBack"/>
          <w:bookmarkEnd w:id="0"/>
          <w:r w:rsidR="00936ADA" w:rsidRPr="00F37E06">
            <w:rPr>
              <w:sz w:val="18"/>
              <w:szCs w:val="18"/>
              <w:lang w:val="fr-FR"/>
            </w:rPr>
            <w:t xml:space="preserve"> June 2020</w:t>
          </w:r>
        </w:p>
        <w:p w14:paraId="620F848D" w14:textId="2DDE9361" w:rsidR="0076431C" w:rsidRPr="0076431C" w:rsidRDefault="0076431C" w:rsidP="0076431C">
          <w:pPr>
            <w:pStyle w:val="Header"/>
            <w:suppressAutoHyphens w:val="0"/>
            <w:rPr>
              <w:sz w:val="18"/>
              <w:szCs w:val="18"/>
              <w:lang w:val="en-GB"/>
            </w:rPr>
          </w:pPr>
          <w:r w:rsidRPr="008F524D">
            <w:rPr>
              <w:sz w:val="18"/>
              <w:szCs w:val="18"/>
              <w:lang w:val="en-GB"/>
            </w:rPr>
            <w:t xml:space="preserve">Agenda item </w:t>
          </w:r>
          <w:r w:rsidR="003451EC">
            <w:rPr>
              <w:sz w:val="18"/>
              <w:szCs w:val="18"/>
              <w:lang w:val="en-GB"/>
            </w:rPr>
            <w:t>5</w:t>
          </w:r>
        </w:p>
      </w:tc>
    </w:tr>
  </w:tbl>
  <w:p w14:paraId="7503542A" w14:textId="77777777" w:rsidR="003D5775" w:rsidRPr="0076431C" w:rsidRDefault="003D5775">
    <w:pPr>
      <w:pStyle w:val="Head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D04"/>
    <w:multiLevelType w:val="hybridMultilevel"/>
    <w:tmpl w:val="1688AA1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1A1319"/>
    <w:multiLevelType w:val="hybridMultilevel"/>
    <w:tmpl w:val="CC883A72"/>
    <w:lvl w:ilvl="0" w:tplc="351CE0B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29E42E6"/>
    <w:multiLevelType w:val="hybridMultilevel"/>
    <w:tmpl w:val="C752078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57C43C3"/>
    <w:multiLevelType w:val="hybridMultilevel"/>
    <w:tmpl w:val="C13C9A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5AB1ABA"/>
    <w:multiLevelType w:val="hybridMultilevel"/>
    <w:tmpl w:val="19B69990"/>
    <w:lvl w:ilvl="0" w:tplc="08090001">
      <w:numFmt w:val="bullet"/>
      <w:lvlText w:val=""/>
      <w:lvlJc w:val="left"/>
      <w:pPr>
        <w:ind w:left="720" w:hanging="360"/>
      </w:pPr>
      <w:rPr>
        <w:rFonts w:ascii="Symbol" w:eastAsia="Times New Roman" w:hAnsi="Symbol"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14438"/>
    <w:multiLevelType w:val="hybridMultilevel"/>
    <w:tmpl w:val="C9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3BCC"/>
    <w:multiLevelType w:val="hybridMultilevel"/>
    <w:tmpl w:val="859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E608B"/>
    <w:multiLevelType w:val="hybridMultilevel"/>
    <w:tmpl w:val="E4D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6757D"/>
    <w:multiLevelType w:val="multilevel"/>
    <w:tmpl w:val="18F6F38C"/>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3"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14"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E7E622B"/>
    <w:multiLevelType w:val="multilevel"/>
    <w:tmpl w:val="B9B8759A"/>
    <w:lvl w:ilvl="0">
      <w:start w:val="6"/>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6" w15:restartNumberingAfterBreak="0">
    <w:nsid w:val="689B6039"/>
    <w:multiLevelType w:val="multilevel"/>
    <w:tmpl w:val="4BC6420E"/>
    <w:lvl w:ilvl="0">
      <w:start w:val="7"/>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72FC0A83"/>
    <w:multiLevelType w:val="hybridMultilevel"/>
    <w:tmpl w:val="E73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
  </w:num>
  <w:num w:numId="5">
    <w:abstractNumId w:val="0"/>
  </w:num>
  <w:num w:numId="6">
    <w:abstractNumId w:val="7"/>
  </w:num>
  <w:num w:numId="7">
    <w:abstractNumId w:val="4"/>
  </w:num>
  <w:num w:numId="8">
    <w:abstractNumId w:val="13"/>
  </w:num>
  <w:num w:numId="9">
    <w:abstractNumId w:val="12"/>
  </w:num>
  <w:num w:numId="10">
    <w:abstractNumId w:val="15"/>
  </w:num>
  <w:num w:numId="11">
    <w:abstractNumId w:val="16"/>
  </w:num>
  <w:num w:numId="12">
    <w:abstractNumId w:val="5"/>
  </w:num>
  <w:num w:numId="13">
    <w:abstractNumId w:val="10"/>
  </w:num>
  <w:num w:numId="14">
    <w:abstractNumId w:val="9"/>
  </w:num>
  <w:num w:numId="15">
    <w:abstractNumId w:val="17"/>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sDCyNDeyNDI2NTNQ0lEKTi0uzszPAykwNKoFAG4a/D8tAAAA"/>
  </w:docVars>
  <w:rsids>
    <w:rsidRoot w:val="00A677DC"/>
    <w:rsid w:val="00000FAA"/>
    <w:rsid w:val="000028B3"/>
    <w:rsid w:val="00005A2F"/>
    <w:rsid w:val="00016BEA"/>
    <w:rsid w:val="00024B1C"/>
    <w:rsid w:val="00041ADD"/>
    <w:rsid w:val="00050E21"/>
    <w:rsid w:val="00051324"/>
    <w:rsid w:val="000525A4"/>
    <w:rsid w:val="00053BB4"/>
    <w:rsid w:val="000734E7"/>
    <w:rsid w:val="000824A3"/>
    <w:rsid w:val="000961D1"/>
    <w:rsid w:val="00096565"/>
    <w:rsid w:val="000973E6"/>
    <w:rsid w:val="000B61F4"/>
    <w:rsid w:val="000C1FFC"/>
    <w:rsid w:val="000D0D62"/>
    <w:rsid w:val="000E6407"/>
    <w:rsid w:val="000E6538"/>
    <w:rsid w:val="000F60C2"/>
    <w:rsid w:val="00107131"/>
    <w:rsid w:val="00124F35"/>
    <w:rsid w:val="0013021B"/>
    <w:rsid w:val="00131107"/>
    <w:rsid w:val="001342D7"/>
    <w:rsid w:val="00141787"/>
    <w:rsid w:val="00161C46"/>
    <w:rsid w:val="0016278B"/>
    <w:rsid w:val="001702CE"/>
    <w:rsid w:val="001772AC"/>
    <w:rsid w:val="001840AC"/>
    <w:rsid w:val="001A2DF7"/>
    <w:rsid w:val="001A4200"/>
    <w:rsid w:val="001B40E1"/>
    <w:rsid w:val="001B5A30"/>
    <w:rsid w:val="001B5C5D"/>
    <w:rsid w:val="001C2E41"/>
    <w:rsid w:val="001C3B64"/>
    <w:rsid w:val="001E53F4"/>
    <w:rsid w:val="0020440F"/>
    <w:rsid w:val="00204E2F"/>
    <w:rsid w:val="0021418C"/>
    <w:rsid w:val="0021613F"/>
    <w:rsid w:val="00216B60"/>
    <w:rsid w:val="0022091B"/>
    <w:rsid w:val="002467E7"/>
    <w:rsid w:val="002519C9"/>
    <w:rsid w:val="00254BA5"/>
    <w:rsid w:val="002662A3"/>
    <w:rsid w:val="002839CA"/>
    <w:rsid w:val="00292154"/>
    <w:rsid w:val="00292EA0"/>
    <w:rsid w:val="002930A4"/>
    <w:rsid w:val="002A1A77"/>
    <w:rsid w:val="002A465D"/>
    <w:rsid w:val="002A77B0"/>
    <w:rsid w:val="002C3499"/>
    <w:rsid w:val="002C7923"/>
    <w:rsid w:val="002D794F"/>
    <w:rsid w:val="002E116F"/>
    <w:rsid w:val="002E6C13"/>
    <w:rsid w:val="00304E75"/>
    <w:rsid w:val="003210BA"/>
    <w:rsid w:val="00324EF2"/>
    <w:rsid w:val="0033110F"/>
    <w:rsid w:val="00337D12"/>
    <w:rsid w:val="003424B1"/>
    <w:rsid w:val="0034322B"/>
    <w:rsid w:val="003451EC"/>
    <w:rsid w:val="00346355"/>
    <w:rsid w:val="00347502"/>
    <w:rsid w:val="003568EB"/>
    <w:rsid w:val="00357870"/>
    <w:rsid w:val="00371BBC"/>
    <w:rsid w:val="003731B0"/>
    <w:rsid w:val="003808AA"/>
    <w:rsid w:val="003A29E5"/>
    <w:rsid w:val="003B1FC9"/>
    <w:rsid w:val="003B206C"/>
    <w:rsid w:val="003B2AAF"/>
    <w:rsid w:val="003D271D"/>
    <w:rsid w:val="003D3278"/>
    <w:rsid w:val="003D5775"/>
    <w:rsid w:val="003D786F"/>
    <w:rsid w:val="003E13CE"/>
    <w:rsid w:val="003E5F4F"/>
    <w:rsid w:val="003E6093"/>
    <w:rsid w:val="003F07F3"/>
    <w:rsid w:val="003F2FF1"/>
    <w:rsid w:val="0040227A"/>
    <w:rsid w:val="00402B0A"/>
    <w:rsid w:val="00406DD6"/>
    <w:rsid w:val="00417695"/>
    <w:rsid w:val="00426B1F"/>
    <w:rsid w:val="00427A02"/>
    <w:rsid w:val="00434D8F"/>
    <w:rsid w:val="004450CA"/>
    <w:rsid w:val="004543E4"/>
    <w:rsid w:val="00457B3E"/>
    <w:rsid w:val="004632DE"/>
    <w:rsid w:val="00466A8A"/>
    <w:rsid w:val="00470CDA"/>
    <w:rsid w:val="00475286"/>
    <w:rsid w:val="0047640E"/>
    <w:rsid w:val="0048087A"/>
    <w:rsid w:val="004829FA"/>
    <w:rsid w:val="004831F2"/>
    <w:rsid w:val="00486174"/>
    <w:rsid w:val="004C5746"/>
    <w:rsid w:val="004C6440"/>
    <w:rsid w:val="004D23B6"/>
    <w:rsid w:val="004D3F6C"/>
    <w:rsid w:val="004E09EF"/>
    <w:rsid w:val="004E5982"/>
    <w:rsid w:val="0050464F"/>
    <w:rsid w:val="005301A0"/>
    <w:rsid w:val="00544E91"/>
    <w:rsid w:val="00547F19"/>
    <w:rsid w:val="00552696"/>
    <w:rsid w:val="00553153"/>
    <w:rsid w:val="00561519"/>
    <w:rsid w:val="005753B7"/>
    <w:rsid w:val="00592C37"/>
    <w:rsid w:val="005A0E04"/>
    <w:rsid w:val="005A3ACB"/>
    <w:rsid w:val="005B1F7B"/>
    <w:rsid w:val="005B2B97"/>
    <w:rsid w:val="005B5120"/>
    <w:rsid w:val="005C4C11"/>
    <w:rsid w:val="005C6D9F"/>
    <w:rsid w:val="005D52C6"/>
    <w:rsid w:val="005D5952"/>
    <w:rsid w:val="005D7F9C"/>
    <w:rsid w:val="005F49E5"/>
    <w:rsid w:val="00600034"/>
    <w:rsid w:val="00604269"/>
    <w:rsid w:val="00606C31"/>
    <w:rsid w:val="00620E46"/>
    <w:rsid w:val="0062260E"/>
    <w:rsid w:val="00644CC0"/>
    <w:rsid w:val="00647C62"/>
    <w:rsid w:val="006508EC"/>
    <w:rsid w:val="00666841"/>
    <w:rsid w:val="006700C4"/>
    <w:rsid w:val="00677236"/>
    <w:rsid w:val="00692FA8"/>
    <w:rsid w:val="006A03A5"/>
    <w:rsid w:val="006A2C31"/>
    <w:rsid w:val="006B00C7"/>
    <w:rsid w:val="006C2573"/>
    <w:rsid w:val="006C36C2"/>
    <w:rsid w:val="006D4839"/>
    <w:rsid w:val="006F0DAA"/>
    <w:rsid w:val="006F0E8B"/>
    <w:rsid w:val="006F0F28"/>
    <w:rsid w:val="00704562"/>
    <w:rsid w:val="0071190C"/>
    <w:rsid w:val="00724A61"/>
    <w:rsid w:val="0072641D"/>
    <w:rsid w:val="0074063A"/>
    <w:rsid w:val="00740CA8"/>
    <w:rsid w:val="00742323"/>
    <w:rsid w:val="007429EE"/>
    <w:rsid w:val="00745314"/>
    <w:rsid w:val="00747994"/>
    <w:rsid w:val="0075701F"/>
    <w:rsid w:val="0076431C"/>
    <w:rsid w:val="00772974"/>
    <w:rsid w:val="00783FAE"/>
    <w:rsid w:val="007B63F1"/>
    <w:rsid w:val="007C3F99"/>
    <w:rsid w:val="007C498D"/>
    <w:rsid w:val="008021B6"/>
    <w:rsid w:val="00811859"/>
    <w:rsid w:val="00813F7A"/>
    <w:rsid w:val="008219F0"/>
    <w:rsid w:val="008271DB"/>
    <w:rsid w:val="008276E5"/>
    <w:rsid w:val="00840262"/>
    <w:rsid w:val="0084059C"/>
    <w:rsid w:val="0085003D"/>
    <w:rsid w:val="008509C8"/>
    <w:rsid w:val="00850D97"/>
    <w:rsid w:val="008659CA"/>
    <w:rsid w:val="00870A3B"/>
    <w:rsid w:val="00874EF6"/>
    <w:rsid w:val="00877A07"/>
    <w:rsid w:val="008838E9"/>
    <w:rsid w:val="00890F0E"/>
    <w:rsid w:val="008B531D"/>
    <w:rsid w:val="008C2FFA"/>
    <w:rsid w:val="008C6BD9"/>
    <w:rsid w:val="008D1AA3"/>
    <w:rsid w:val="008D4164"/>
    <w:rsid w:val="008F524D"/>
    <w:rsid w:val="008F7670"/>
    <w:rsid w:val="00910B80"/>
    <w:rsid w:val="00911439"/>
    <w:rsid w:val="009117F2"/>
    <w:rsid w:val="00913783"/>
    <w:rsid w:val="00923225"/>
    <w:rsid w:val="00931FDA"/>
    <w:rsid w:val="00936ADA"/>
    <w:rsid w:val="00937714"/>
    <w:rsid w:val="0095032B"/>
    <w:rsid w:val="009634A1"/>
    <w:rsid w:val="00970660"/>
    <w:rsid w:val="009745A9"/>
    <w:rsid w:val="00985430"/>
    <w:rsid w:val="0098728D"/>
    <w:rsid w:val="009956E8"/>
    <w:rsid w:val="009A0F52"/>
    <w:rsid w:val="009A52D0"/>
    <w:rsid w:val="009A5DDD"/>
    <w:rsid w:val="009B50ED"/>
    <w:rsid w:val="009B62FD"/>
    <w:rsid w:val="009B7C33"/>
    <w:rsid w:val="009D2EB4"/>
    <w:rsid w:val="009D504E"/>
    <w:rsid w:val="009E1611"/>
    <w:rsid w:val="009F1270"/>
    <w:rsid w:val="009F51FD"/>
    <w:rsid w:val="00A05958"/>
    <w:rsid w:val="00A17E0A"/>
    <w:rsid w:val="00A23575"/>
    <w:rsid w:val="00A23824"/>
    <w:rsid w:val="00A26A1B"/>
    <w:rsid w:val="00A32CD3"/>
    <w:rsid w:val="00A41DEF"/>
    <w:rsid w:val="00A46362"/>
    <w:rsid w:val="00A60474"/>
    <w:rsid w:val="00A677DC"/>
    <w:rsid w:val="00A749E7"/>
    <w:rsid w:val="00A75BA1"/>
    <w:rsid w:val="00A8647E"/>
    <w:rsid w:val="00A91C09"/>
    <w:rsid w:val="00AA29B3"/>
    <w:rsid w:val="00AB189D"/>
    <w:rsid w:val="00AB303A"/>
    <w:rsid w:val="00AB4847"/>
    <w:rsid w:val="00AB4BD7"/>
    <w:rsid w:val="00AE0B63"/>
    <w:rsid w:val="00AF3D7D"/>
    <w:rsid w:val="00B00D51"/>
    <w:rsid w:val="00B046A4"/>
    <w:rsid w:val="00B10923"/>
    <w:rsid w:val="00B26183"/>
    <w:rsid w:val="00B36E09"/>
    <w:rsid w:val="00B418E8"/>
    <w:rsid w:val="00B54748"/>
    <w:rsid w:val="00B621F5"/>
    <w:rsid w:val="00B66080"/>
    <w:rsid w:val="00B7040D"/>
    <w:rsid w:val="00B714E6"/>
    <w:rsid w:val="00B81EE9"/>
    <w:rsid w:val="00B919B4"/>
    <w:rsid w:val="00BA3CDF"/>
    <w:rsid w:val="00BA4394"/>
    <w:rsid w:val="00BB0A99"/>
    <w:rsid w:val="00BB4626"/>
    <w:rsid w:val="00BD348B"/>
    <w:rsid w:val="00C02CD6"/>
    <w:rsid w:val="00C317E8"/>
    <w:rsid w:val="00C36D74"/>
    <w:rsid w:val="00C47C51"/>
    <w:rsid w:val="00C51CD4"/>
    <w:rsid w:val="00C53D0D"/>
    <w:rsid w:val="00C73EFF"/>
    <w:rsid w:val="00C83548"/>
    <w:rsid w:val="00C92976"/>
    <w:rsid w:val="00CA6C10"/>
    <w:rsid w:val="00CB3043"/>
    <w:rsid w:val="00CC2A76"/>
    <w:rsid w:val="00CC387F"/>
    <w:rsid w:val="00CD4850"/>
    <w:rsid w:val="00CD6A0F"/>
    <w:rsid w:val="00CE373B"/>
    <w:rsid w:val="00CE3B1D"/>
    <w:rsid w:val="00CE4D42"/>
    <w:rsid w:val="00CE616A"/>
    <w:rsid w:val="00CF15FA"/>
    <w:rsid w:val="00CF2634"/>
    <w:rsid w:val="00CF5B54"/>
    <w:rsid w:val="00D02123"/>
    <w:rsid w:val="00D03544"/>
    <w:rsid w:val="00D10EF5"/>
    <w:rsid w:val="00D13F91"/>
    <w:rsid w:val="00D42992"/>
    <w:rsid w:val="00D44916"/>
    <w:rsid w:val="00D63674"/>
    <w:rsid w:val="00D74702"/>
    <w:rsid w:val="00D8022B"/>
    <w:rsid w:val="00D86C2E"/>
    <w:rsid w:val="00D90D59"/>
    <w:rsid w:val="00D95D8C"/>
    <w:rsid w:val="00DA0FF8"/>
    <w:rsid w:val="00DA6D8A"/>
    <w:rsid w:val="00DB40E1"/>
    <w:rsid w:val="00DC0977"/>
    <w:rsid w:val="00DC21B1"/>
    <w:rsid w:val="00DC32E2"/>
    <w:rsid w:val="00DC551C"/>
    <w:rsid w:val="00DD53FA"/>
    <w:rsid w:val="00DD5AA8"/>
    <w:rsid w:val="00DD5D50"/>
    <w:rsid w:val="00DF141E"/>
    <w:rsid w:val="00DF1BB3"/>
    <w:rsid w:val="00DF7DAF"/>
    <w:rsid w:val="00E25118"/>
    <w:rsid w:val="00E3100C"/>
    <w:rsid w:val="00E34382"/>
    <w:rsid w:val="00E351D0"/>
    <w:rsid w:val="00E36D2B"/>
    <w:rsid w:val="00E40234"/>
    <w:rsid w:val="00E42FB3"/>
    <w:rsid w:val="00E5024D"/>
    <w:rsid w:val="00E5056A"/>
    <w:rsid w:val="00E522C4"/>
    <w:rsid w:val="00E571BA"/>
    <w:rsid w:val="00E574F6"/>
    <w:rsid w:val="00E71A31"/>
    <w:rsid w:val="00E71EB0"/>
    <w:rsid w:val="00E72D39"/>
    <w:rsid w:val="00E75EB4"/>
    <w:rsid w:val="00E8629A"/>
    <w:rsid w:val="00E92463"/>
    <w:rsid w:val="00EA5637"/>
    <w:rsid w:val="00EA7856"/>
    <w:rsid w:val="00EB795B"/>
    <w:rsid w:val="00EB7C4E"/>
    <w:rsid w:val="00EC07A4"/>
    <w:rsid w:val="00EC21B0"/>
    <w:rsid w:val="00EF0DCF"/>
    <w:rsid w:val="00EF1180"/>
    <w:rsid w:val="00EF3920"/>
    <w:rsid w:val="00EF6510"/>
    <w:rsid w:val="00F00EF0"/>
    <w:rsid w:val="00F03B82"/>
    <w:rsid w:val="00F07858"/>
    <w:rsid w:val="00F07A3B"/>
    <w:rsid w:val="00F10E0A"/>
    <w:rsid w:val="00F11DCD"/>
    <w:rsid w:val="00F16644"/>
    <w:rsid w:val="00F36641"/>
    <w:rsid w:val="00F36D81"/>
    <w:rsid w:val="00F37E06"/>
    <w:rsid w:val="00F400DF"/>
    <w:rsid w:val="00F42BFE"/>
    <w:rsid w:val="00F45516"/>
    <w:rsid w:val="00F54A31"/>
    <w:rsid w:val="00F64BE8"/>
    <w:rsid w:val="00F7197B"/>
    <w:rsid w:val="00F93F04"/>
    <w:rsid w:val="00FA6701"/>
    <w:rsid w:val="00FD1C8B"/>
    <w:rsid w:val="00FF4997"/>
    <w:rsid w:val="00FF4DA9"/>
    <w:rsid w:val="00FF6237"/>
    <w:rsid w:val="00FF70A8"/>
    <w:rsid w:val="00FF71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E44CA"/>
  <w15:chartTrackingRefBased/>
  <w15:docId w15:val="{39F8C86B-61A8-45BB-8254-E6B7B705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551C"/>
    <w:rPr>
      <w:rFonts w:ascii="Segoe UI" w:hAnsi="Segoe UI" w:cs="Segoe UI"/>
      <w:sz w:val="18"/>
      <w:szCs w:val="18"/>
    </w:rPr>
  </w:style>
  <w:style w:type="character" w:customStyle="1" w:styleId="SingleTxtGCharChar">
    <w:name w:val="_ Single Txt_G Char Char"/>
    <w:rsid w:val="0071190C"/>
    <w:rPr>
      <w:lang w:val="en-US" w:eastAsia="en-US"/>
    </w:rPr>
  </w:style>
  <w:style w:type="paragraph" w:customStyle="1" w:styleId="Default">
    <w:name w:val="Default"/>
    <w:rsid w:val="0071190C"/>
    <w:pPr>
      <w:autoSpaceDE w:val="0"/>
      <w:autoSpaceDN w:val="0"/>
      <w:adjustRightInd w:val="0"/>
    </w:pPr>
    <w:rPr>
      <w:rFonts w:ascii="Times New Roman" w:hAnsi="Times New Roman"/>
      <w:color w:val="000000"/>
      <w:sz w:val="24"/>
      <w:szCs w:val="24"/>
      <w:lang w:val="ru-RU" w:eastAsia="ru-RU"/>
    </w:rPr>
  </w:style>
  <w:style w:type="paragraph" w:styleId="BodyText2">
    <w:name w:val="Body Text 2"/>
    <w:basedOn w:val="Normal"/>
    <w:link w:val="BodyText2Char"/>
    <w:semiHidden/>
    <w:rsid w:val="00A05958"/>
    <w:pPr>
      <w:spacing w:after="0" w:line="240" w:lineRule="auto"/>
      <w:jc w:val="center"/>
    </w:pPr>
    <w:rPr>
      <w:rFonts w:ascii="Univers" w:eastAsia="Times New Roman" w:hAnsi="Univers"/>
      <w:b/>
      <w:caps/>
      <w:sz w:val="20"/>
      <w:szCs w:val="20"/>
      <w:lang w:val="en-GB"/>
    </w:rPr>
  </w:style>
  <w:style w:type="character" w:customStyle="1" w:styleId="BodyText2Char">
    <w:name w:val="Body Text 2 Char"/>
    <w:link w:val="BodyText2"/>
    <w:semiHidden/>
    <w:rsid w:val="00A05958"/>
    <w:rPr>
      <w:rFonts w:ascii="Univers" w:eastAsia="Times New Roman" w:hAnsi="Univers"/>
      <w:b/>
      <w:caps/>
      <w:lang w:val="en-GB" w:eastAsia="en-US"/>
    </w:rPr>
  </w:style>
  <w:style w:type="paragraph" w:customStyle="1" w:styleId="H1G">
    <w:name w:val="_ H_1_G"/>
    <w:basedOn w:val="Normal"/>
    <w:next w:val="Normal"/>
    <w:link w:val="H1GChar"/>
    <w:rsid w:val="00A0595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A05958"/>
    <w:rPr>
      <w:rFonts w:ascii="Times New Roman" w:eastAsia="Times New Roman" w:hAnsi="Times New Roman"/>
      <w:b/>
      <w:sz w:val="24"/>
      <w:lang w:val="en-GB" w:eastAsia="en-US"/>
    </w:rPr>
  </w:style>
  <w:style w:type="character" w:customStyle="1" w:styleId="h-block">
    <w:name w:val="h-block"/>
    <w:rsid w:val="001B5C5D"/>
  </w:style>
  <w:style w:type="character" w:styleId="CommentReference">
    <w:name w:val="annotation reference"/>
    <w:uiPriority w:val="99"/>
    <w:semiHidden/>
    <w:unhideWhenUsed/>
    <w:rsid w:val="00EC07A4"/>
    <w:rPr>
      <w:sz w:val="16"/>
      <w:szCs w:val="16"/>
    </w:rPr>
  </w:style>
  <w:style w:type="paragraph" w:styleId="CommentText">
    <w:name w:val="annotation text"/>
    <w:basedOn w:val="Normal"/>
    <w:link w:val="CommentTextChar"/>
    <w:uiPriority w:val="99"/>
    <w:semiHidden/>
    <w:unhideWhenUsed/>
    <w:rsid w:val="00EC07A4"/>
    <w:rPr>
      <w:sz w:val="20"/>
      <w:szCs w:val="20"/>
    </w:rPr>
  </w:style>
  <w:style w:type="character" w:customStyle="1" w:styleId="CommentTextChar">
    <w:name w:val="Comment Text Char"/>
    <w:link w:val="CommentText"/>
    <w:uiPriority w:val="99"/>
    <w:semiHidden/>
    <w:rsid w:val="00EC07A4"/>
    <w:rPr>
      <w:lang w:val="en-US" w:eastAsia="en-US"/>
    </w:rPr>
  </w:style>
  <w:style w:type="paragraph" w:styleId="CommentSubject">
    <w:name w:val="annotation subject"/>
    <w:basedOn w:val="CommentText"/>
    <w:next w:val="CommentText"/>
    <w:link w:val="CommentSubjectChar"/>
    <w:uiPriority w:val="99"/>
    <w:semiHidden/>
    <w:unhideWhenUsed/>
    <w:rsid w:val="00EC07A4"/>
    <w:rPr>
      <w:b/>
      <w:bCs/>
    </w:rPr>
  </w:style>
  <w:style w:type="character" w:customStyle="1" w:styleId="CommentSubjectChar">
    <w:name w:val="Comment Subject Char"/>
    <w:link w:val="CommentSubject"/>
    <w:uiPriority w:val="99"/>
    <w:semiHidden/>
    <w:rsid w:val="00EC07A4"/>
    <w:rPr>
      <w:b/>
      <w:bCs/>
      <w:lang w:val="en-US" w:eastAsia="en-US"/>
    </w:rPr>
  </w:style>
  <w:style w:type="table" w:styleId="TableGrid">
    <w:name w:val="Table Grid"/>
    <w:basedOn w:val="TableNormal"/>
    <w:rsid w:val="0076431C"/>
    <w:pPr>
      <w:suppressAutoHyphens/>
      <w:spacing w:line="240" w:lineRule="atLeast"/>
    </w:pPr>
    <w:rPr>
      <w:rFonts w:ascii="Times New Roman" w:eastAsiaTheme="minorEastAsia"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Normal"/>
    <w:rsid w:val="00B66080"/>
    <w:pPr>
      <w:spacing w:before="120" w:after="120" w:line="240" w:lineRule="auto"/>
      <w:jc w:val="center"/>
    </w:pPr>
    <w:rPr>
      <w:rFonts w:ascii="Times New Roman" w:eastAsia="Times New Roman" w:hAnsi="Times New Roman"/>
      <w:sz w:val="24"/>
      <w:szCs w:val="20"/>
      <w:lang w:val="en-GB"/>
    </w:rPr>
  </w:style>
  <w:style w:type="paragraph" w:customStyle="1" w:styleId="NormalLeft">
    <w:name w:val="Normal Left"/>
    <w:basedOn w:val="Normal"/>
    <w:rsid w:val="00B66080"/>
    <w:pPr>
      <w:spacing w:before="120" w:after="120" w:line="240" w:lineRule="auto"/>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0796">
      <w:bodyDiv w:val="1"/>
      <w:marLeft w:val="0"/>
      <w:marRight w:val="0"/>
      <w:marTop w:val="0"/>
      <w:marBottom w:val="0"/>
      <w:divBdr>
        <w:top w:val="none" w:sz="0" w:space="0" w:color="auto"/>
        <w:left w:val="none" w:sz="0" w:space="0" w:color="auto"/>
        <w:bottom w:val="none" w:sz="0" w:space="0" w:color="auto"/>
        <w:right w:val="none" w:sz="0" w:space="0" w:color="auto"/>
      </w:divBdr>
    </w:div>
    <w:div w:id="430470354">
      <w:bodyDiv w:val="1"/>
      <w:marLeft w:val="0"/>
      <w:marRight w:val="0"/>
      <w:marTop w:val="0"/>
      <w:marBottom w:val="0"/>
      <w:divBdr>
        <w:top w:val="none" w:sz="0" w:space="0" w:color="auto"/>
        <w:left w:val="none" w:sz="0" w:space="0" w:color="auto"/>
        <w:bottom w:val="none" w:sz="0" w:space="0" w:color="auto"/>
        <w:right w:val="none" w:sz="0" w:space="0" w:color="auto"/>
      </w:divBdr>
    </w:div>
    <w:div w:id="685979413">
      <w:bodyDiv w:val="1"/>
      <w:marLeft w:val="0"/>
      <w:marRight w:val="0"/>
      <w:marTop w:val="0"/>
      <w:marBottom w:val="0"/>
      <w:divBdr>
        <w:top w:val="none" w:sz="0" w:space="0" w:color="auto"/>
        <w:left w:val="none" w:sz="0" w:space="0" w:color="auto"/>
        <w:bottom w:val="none" w:sz="0" w:space="0" w:color="auto"/>
        <w:right w:val="none" w:sz="0" w:space="0" w:color="auto"/>
      </w:divBdr>
    </w:div>
    <w:div w:id="836263919">
      <w:bodyDiv w:val="1"/>
      <w:marLeft w:val="0"/>
      <w:marRight w:val="0"/>
      <w:marTop w:val="0"/>
      <w:marBottom w:val="0"/>
      <w:divBdr>
        <w:top w:val="none" w:sz="0" w:space="0" w:color="auto"/>
        <w:left w:val="none" w:sz="0" w:space="0" w:color="auto"/>
        <w:bottom w:val="none" w:sz="0" w:space="0" w:color="auto"/>
        <w:right w:val="none" w:sz="0" w:space="0" w:color="auto"/>
      </w:divBdr>
    </w:div>
    <w:div w:id="1044452362">
      <w:bodyDiv w:val="1"/>
      <w:marLeft w:val="0"/>
      <w:marRight w:val="0"/>
      <w:marTop w:val="0"/>
      <w:marBottom w:val="0"/>
      <w:divBdr>
        <w:top w:val="none" w:sz="0" w:space="0" w:color="auto"/>
        <w:left w:val="none" w:sz="0" w:space="0" w:color="auto"/>
        <w:bottom w:val="none" w:sz="0" w:space="0" w:color="auto"/>
        <w:right w:val="none" w:sz="0" w:space="0" w:color="auto"/>
      </w:divBdr>
    </w:div>
    <w:div w:id="1430151906">
      <w:bodyDiv w:val="1"/>
      <w:marLeft w:val="0"/>
      <w:marRight w:val="0"/>
      <w:marTop w:val="0"/>
      <w:marBottom w:val="0"/>
      <w:divBdr>
        <w:top w:val="none" w:sz="0" w:space="0" w:color="auto"/>
        <w:left w:val="none" w:sz="0" w:space="0" w:color="auto"/>
        <w:bottom w:val="none" w:sz="0" w:space="0" w:color="auto"/>
        <w:right w:val="none" w:sz="0" w:space="0" w:color="auto"/>
      </w:divBdr>
    </w:div>
    <w:div w:id="1476988192">
      <w:bodyDiv w:val="1"/>
      <w:marLeft w:val="0"/>
      <w:marRight w:val="0"/>
      <w:marTop w:val="0"/>
      <w:marBottom w:val="0"/>
      <w:divBdr>
        <w:top w:val="none" w:sz="0" w:space="0" w:color="auto"/>
        <w:left w:val="none" w:sz="0" w:space="0" w:color="auto"/>
        <w:bottom w:val="none" w:sz="0" w:space="0" w:color="auto"/>
        <w:right w:val="none" w:sz="0" w:space="0" w:color="auto"/>
      </w:divBdr>
    </w:div>
    <w:div w:id="1557427778">
      <w:bodyDiv w:val="1"/>
      <w:marLeft w:val="0"/>
      <w:marRight w:val="0"/>
      <w:marTop w:val="0"/>
      <w:marBottom w:val="0"/>
      <w:divBdr>
        <w:top w:val="none" w:sz="0" w:space="0" w:color="auto"/>
        <w:left w:val="none" w:sz="0" w:space="0" w:color="auto"/>
        <w:bottom w:val="none" w:sz="0" w:space="0" w:color="auto"/>
        <w:right w:val="none" w:sz="0" w:space="0" w:color="auto"/>
      </w:divBdr>
    </w:div>
    <w:div w:id="1680235790">
      <w:bodyDiv w:val="1"/>
      <w:marLeft w:val="0"/>
      <w:marRight w:val="0"/>
      <w:marTop w:val="0"/>
      <w:marBottom w:val="0"/>
      <w:divBdr>
        <w:top w:val="none" w:sz="0" w:space="0" w:color="auto"/>
        <w:left w:val="none" w:sz="0" w:space="0" w:color="auto"/>
        <w:bottom w:val="none" w:sz="0" w:space="0" w:color="auto"/>
        <w:right w:val="none" w:sz="0" w:space="0" w:color="auto"/>
      </w:divBdr>
    </w:div>
    <w:div w:id="1705206049">
      <w:bodyDiv w:val="1"/>
      <w:marLeft w:val="0"/>
      <w:marRight w:val="0"/>
      <w:marTop w:val="0"/>
      <w:marBottom w:val="0"/>
      <w:divBdr>
        <w:top w:val="none" w:sz="0" w:space="0" w:color="auto"/>
        <w:left w:val="none" w:sz="0" w:space="0" w:color="auto"/>
        <w:bottom w:val="none" w:sz="0" w:space="0" w:color="auto"/>
        <w:right w:val="none" w:sz="0" w:space="0" w:color="auto"/>
      </w:divBdr>
    </w:div>
    <w:div w:id="21202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963</Words>
  <Characters>5491</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cp:lastModifiedBy>Francois Cuenot</cp:lastModifiedBy>
  <cp:revision>6</cp:revision>
  <cp:lastPrinted>2019-05-07T12:51:00Z</cp:lastPrinted>
  <dcterms:created xsi:type="dcterms:W3CDTF">2020-05-29T06:17:00Z</dcterms:created>
  <dcterms:modified xsi:type="dcterms:W3CDTF">2020-06-06T21:24:00Z</dcterms:modified>
</cp:coreProperties>
</file>