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B76776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F4201F" w14:textId="77777777" w:rsidR="00F35BAF" w:rsidRPr="00DB58B5" w:rsidRDefault="00F35BAF" w:rsidP="002878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814A1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F04EFF5" w14:textId="77777777" w:rsidR="00F35BAF" w:rsidRPr="00DB58B5" w:rsidRDefault="00287839" w:rsidP="00287839">
            <w:pPr>
              <w:jc w:val="right"/>
            </w:pPr>
            <w:r w:rsidRPr="00287839">
              <w:rPr>
                <w:sz w:val="40"/>
              </w:rPr>
              <w:t>ECE</w:t>
            </w:r>
            <w:r>
              <w:t>/TRANS/WP.29/GRPE/2020/11</w:t>
            </w:r>
          </w:p>
        </w:tc>
      </w:tr>
      <w:tr w:rsidR="00F35BAF" w:rsidRPr="00DB58B5" w14:paraId="56D795F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CF656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FEAC3F8" wp14:editId="5C6CD5D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715F0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56939E" w14:textId="77777777" w:rsidR="00F35BAF" w:rsidRDefault="00287839" w:rsidP="00C97039">
            <w:pPr>
              <w:spacing w:before="240"/>
            </w:pPr>
            <w:r>
              <w:t>Distr. générale</w:t>
            </w:r>
          </w:p>
          <w:p w14:paraId="6569B73D" w14:textId="77777777" w:rsidR="00287839" w:rsidRDefault="00287839" w:rsidP="00287839">
            <w:pPr>
              <w:spacing w:line="240" w:lineRule="exact"/>
            </w:pPr>
            <w:r>
              <w:t>23 mars 2020</w:t>
            </w:r>
          </w:p>
          <w:p w14:paraId="23A78AC2" w14:textId="77777777" w:rsidR="00287839" w:rsidRDefault="00287839" w:rsidP="00287839">
            <w:pPr>
              <w:spacing w:line="240" w:lineRule="exact"/>
            </w:pPr>
            <w:r>
              <w:t>Français</w:t>
            </w:r>
          </w:p>
          <w:p w14:paraId="6D830805" w14:textId="77777777" w:rsidR="00287839" w:rsidRPr="00DB58B5" w:rsidRDefault="00287839" w:rsidP="00287839">
            <w:pPr>
              <w:spacing w:line="240" w:lineRule="exact"/>
            </w:pPr>
            <w:r>
              <w:t>Original : anglais</w:t>
            </w:r>
          </w:p>
        </w:tc>
      </w:tr>
    </w:tbl>
    <w:p w14:paraId="27A0D8C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0AA39E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D7BBE9C" w14:textId="77777777" w:rsidR="0049652C" w:rsidRPr="0049652C" w:rsidRDefault="0049652C" w:rsidP="0049652C">
      <w:pPr>
        <w:spacing w:before="120"/>
        <w:rPr>
          <w:rFonts w:eastAsia="MS Mincho"/>
          <w:sz w:val="24"/>
          <w:szCs w:val="24"/>
        </w:rPr>
      </w:pPr>
      <w:r w:rsidRPr="0049652C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49652C">
        <w:rPr>
          <w:b/>
          <w:bCs/>
          <w:sz w:val="24"/>
          <w:szCs w:val="24"/>
          <w:lang w:val="fr-FR"/>
        </w:rPr>
        <w:t>concernant les véhicules</w:t>
      </w:r>
      <w:r w:rsidRPr="0049652C">
        <w:rPr>
          <w:sz w:val="24"/>
          <w:szCs w:val="24"/>
          <w:lang w:val="fr-FR"/>
        </w:rPr>
        <w:t xml:space="preserve"> </w:t>
      </w:r>
    </w:p>
    <w:p w14:paraId="0F4C5E43" w14:textId="77777777" w:rsidR="0049652C" w:rsidRPr="00E2166D" w:rsidRDefault="0049652C" w:rsidP="0049652C">
      <w:pPr>
        <w:spacing w:before="120"/>
        <w:rPr>
          <w:rFonts w:eastAsia="MS Mincho"/>
          <w:b/>
          <w:bCs/>
        </w:rPr>
      </w:pPr>
      <w:r w:rsidRPr="00E2166D">
        <w:rPr>
          <w:b/>
          <w:bCs/>
          <w:lang w:val="fr-FR"/>
        </w:rPr>
        <w:t>Groupe de travail de la pollution et de l’énergie</w:t>
      </w:r>
    </w:p>
    <w:p w14:paraId="7FC8DFEA" w14:textId="77777777" w:rsidR="0049652C" w:rsidRPr="00E2166D" w:rsidRDefault="0049652C" w:rsidP="0049652C">
      <w:pPr>
        <w:spacing w:before="120"/>
        <w:rPr>
          <w:rFonts w:eastAsia="MS Mincho"/>
          <w:b/>
        </w:rPr>
      </w:pPr>
      <w:r w:rsidRPr="00E2166D">
        <w:rPr>
          <w:b/>
          <w:bCs/>
          <w:lang w:val="fr-FR"/>
        </w:rPr>
        <w:t>Quatre-vingt-unième session</w:t>
      </w:r>
    </w:p>
    <w:p w14:paraId="58432152" w14:textId="77777777" w:rsidR="0049652C" w:rsidRPr="00E2166D" w:rsidRDefault="0049652C" w:rsidP="0049652C">
      <w:pPr>
        <w:rPr>
          <w:rFonts w:eastAsia="MS Mincho"/>
          <w:bCs/>
        </w:rPr>
      </w:pPr>
      <w:r w:rsidRPr="00E2166D">
        <w:rPr>
          <w:lang w:val="fr-FR"/>
        </w:rPr>
        <w:t>Genève, 9-12</w:t>
      </w:r>
      <w:r>
        <w:rPr>
          <w:lang w:val="fr-FR"/>
        </w:rPr>
        <w:t> </w:t>
      </w:r>
      <w:r w:rsidRPr="00E2166D">
        <w:rPr>
          <w:lang w:val="fr-FR"/>
        </w:rPr>
        <w:t>juin 2020</w:t>
      </w:r>
    </w:p>
    <w:p w14:paraId="226236CF" w14:textId="77777777" w:rsidR="0049652C" w:rsidRPr="00E2166D" w:rsidRDefault="0049652C" w:rsidP="0049652C">
      <w:pPr>
        <w:rPr>
          <w:rFonts w:eastAsia="MS Mincho"/>
        </w:rPr>
      </w:pPr>
      <w:r w:rsidRPr="00E2166D">
        <w:rPr>
          <w:lang w:val="fr-FR"/>
        </w:rPr>
        <w:t>Point</w:t>
      </w:r>
      <w:r>
        <w:rPr>
          <w:lang w:val="fr-FR"/>
        </w:rPr>
        <w:t> </w:t>
      </w:r>
      <w:r w:rsidRPr="00E2166D">
        <w:rPr>
          <w:lang w:val="fr-FR"/>
        </w:rPr>
        <w:t>5 de l’ordre du jour provisoire</w:t>
      </w:r>
    </w:p>
    <w:p w14:paraId="2CDD6BE2" w14:textId="77777777" w:rsidR="0049652C" w:rsidRPr="00E2166D" w:rsidRDefault="0049652C" w:rsidP="0049652C">
      <w:pPr>
        <w:rPr>
          <w:b/>
          <w:bCs/>
        </w:rPr>
      </w:pPr>
      <w:r w:rsidRPr="00E2166D">
        <w:rPr>
          <w:b/>
          <w:bCs/>
          <w:lang w:val="fr-FR"/>
        </w:rPr>
        <w:t>Règlements ONU n</w:t>
      </w:r>
      <w:r w:rsidRPr="00E2166D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 w:rsidRPr="00E2166D">
        <w:rPr>
          <w:b/>
          <w:bCs/>
          <w:lang w:val="fr-FR"/>
        </w:rPr>
        <w:t xml:space="preserve">24 (Émissions de polluants visibles, </w:t>
      </w:r>
      <w:r>
        <w:rPr>
          <w:b/>
          <w:bCs/>
          <w:lang w:val="fr-FR"/>
        </w:rPr>
        <w:br/>
      </w:r>
      <w:r w:rsidRPr="00E2166D">
        <w:rPr>
          <w:b/>
          <w:bCs/>
          <w:lang w:val="fr-FR"/>
        </w:rPr>
        <w:t xml:space="preserve">mesure de la puissance des moteurs à allumage </w:t>
      </w:r>
      <w:r>
        <w:rPr>
          <w:b/>
          <w:bCs/>
          <w:lang w:val="fr-FR"/>
        </w:rPr>
        <w:br/>
      </w:r>
      <w:r w:rsidRPr="00E2166D">
        <w:rPr>
          <w:b/>
          <w:bCs/>
          <w:lang w:val="fr-FR"/>
        </w:rPr>
        <w:t xml:space="preserve">par compression (fumées des moteurs diesel)), </w:t>
      </w:r>
      <w:r>
        <w:rPr>
          <w:b/>
          <w:bCs/>
          <w:lang w:val="fr-FR"/>
        </w:rPr>
        <w:br/>
      </w:r>
      <w:r w:rsidRPr="00E2166D">
        <w:rPr>
          <w:b/>
          <w:bCs/>
          <w:lang w:val="fr-FR"/>
        </w:rPr>
        <w:t xml:space="preserve">85 (Mesure de la puissance nette), 115 (Systèmes </w:t>
      </w:r>
      <w:r>
        <w:rPr>
          <w:b/>
          <w:bCs/>
          <w:lang w:val="fr-FR"/>
        </w:rPr>
        <w:br/>
      </w:r>
      <w:r w:rsidRPr="00E2166D">
        <w:rPr>
          <w:b/>
          <w:bCs/>
          <w:lang w:val="fr-FR"/>
        </w:rPr>
        <w:t xml:space="preserve">d’adaptation au GPL et au GNC), 133 (Aptitude </w:t>
      </w:r>
      <w:r>
        <w:rPr>
          <w:b/>
          <w:bCs/>
          <w:lang w:val="fr-FR"/>
        </w:rPr>
        <w:br/>
      </w:r>
      <w:r w:rsidRPr="00E2166D">
        <w:rPr>
          <w:b/>
          <w:bCs/>
          <w:lang w:val="fr-FR"/>
        </w:rPr>
        <w:t xml:space="preserve">au recyclage des véhicules automobiles) </w:t>
      </w:r>
      <w:r>
        <w:rPr>
          <w:b/>
          <w:bCs/>
          <w:lang w:val="fr-FR"/>
        </w:rPr>
        <w:br/>
      </w:r>
      <w:r w:rsidRPr="00E2166D">
        <w:rPr>
          <w:b/>
          <w:bCs/>
          <w:lang w:val="fr-FR"/>
        </w:rPr>
        <w:t xml:space="preserve">et 143 (Systèmes d’adaptation des moteurs </w:t>
      </w:r>
      <w:r>
        <w:rPr>
          <w:b/>
          <w:bCs/>
          <w:lang w:val="fr-FR"/>
        </w:rPr>
        <w:br/>
      </w:r>
      <w:r w:rsidRPr="00E2166D">
        <w:rPr>
          <w:b/>
          <w:bCs/>
          <w:lang w:val="fr-FR"/>
        </w:rPr>
        <w:t xml:space="preserve">de véhicules utilitaires lourds à la bicarburation) </w:t>
      </w:r>
    </w:p>
    <w:p w14:paraId="458077EC" w14:textId="77777777" w:rsidR="0049652C" w:rsidRPr="00E2166D" w:rsidRDefault="0049652C" w:rsidP="0049652C">
      <w:pPr>
        <w:pStyle w:val="HChG"/>
      </w:pPr>
      <w:r w:rsidRPr="00E2166D">
        <w:rPr>
          <w:lang w:val="fr-FR"/>
        </w:rPr>
        <w:tab/>
      </w:r>
      <w:r w:rsidRPr="00E2166D">
        <w:rPr>
          <w:lang w:val="fr-FR"/>
        </w:rPr>
        <w:tab/>
        <w:t>Proposition de nouveau complément au Règlement ONU n</w:t>
      </w:r>
      <w:r w:rsidRPr="00E2166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2166D">
        <w:rPr>
          <w:lang w:val="fr-FR"/>
        </w:rPr>
        <w:t>115 (Prescriptions uniformes relatives à l’homologation des systèmes d’adaptation au GPL et au GNC)</w:t>
      </w:r>
    </w:p>
    <w:p w14:paraId="6C8562C3" w14:textId="77777777" w:rsidR="0049652C" w:rsidRPr="00E2166D" w:rsidRDefault="0049652C" w:rsidP="0049652C">
      <w:pPr>
        <w:pStyle w:val="H1G"/>
      </w:pPr>
      <w:r w:rsidRPr="00E2166D">
        <w:rPr>
          <w:lang w:val="fr-FR"/>
        </w:rPr>
        <w:tab/>
      </w:r>
      <w:r w:rsidRPr="00E2166D">
        <w:rPr>
          <w:lang w:val="fr-FR"/>
        </w:rPr>
        <w:tab/>
        <w:t>Communication de l’expert de Liquid Gas Europe</w:t>
      </w:r>
      <w:r w:rsidRPr="0049652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542ABE5C" w14:textId="77777777" w:rsidR="0049652C" w:rsidRDefault="0049652C" w:rsidP="0049652C">
      <w:pPr>
        <w:pStyle w:val="SingleTxtG"/>
        <w:ind w:firstLine="567"/>
        <w:rPr>
          <w:lang w:val="fr-FR"/>
        </w:rPr>
      </w:pPr>
      <w:r w:rsidRPr="00E2166D">
        <w:rPr>
          <w:lang w:val="fr-FR"/>
        </w:rPr>
        <w:t xml:space="preserve">Le texte reproduit ci-après a été établi par l’expert de Liquid Gas Europe. Ce document vise à répondre à la nécessité de clarifier les dispositions relatives aux véhicules hybrides électriques dans le Règlement ONU </w:t>
      </w:r>
      <w:r>
        <w:rPr>
          <w:lang w:val="fr-FR"/>
        </w:rPr>
        <w:t>n</w:t>
      </w:r>
      <w:r w:rsidRPr="0049652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2166D">
        <w:rPr>
          <w:lang w:val="fr-FR"/>
        </w:rPr>
        <w:t>115.</w:t>
      </w:r>
    </w:p>
    <w:p w14:paraId="06D5C271" w14:textId="77777777" w:rsidR="0049652C" w:rsidRPr="00E2166D" w:rsidRDefault="0049652C" w:rsidP="0049652C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E2166D">
        <w:rPr>
          <w:lang w:val="fr-FR"/>
        </w:rPr>
        <w:t>I.</w:t>
      </w:r>
      <w:r w:rsidRPr="00E2166D">
        <w:rPr>
          <w:lang w:val="fr-FR"/>
        </w:rPr>
        <w:tab/>
        <w:t>Proposition</w:t>
      </w:r>
    </w:p>
    <w:p w14:paraId="5191158F" w14:textId="77777777" w:rsidR="0049652C" w:rsidRPr="0049652C" w:rsidRDefault="0049652C" w:rsidP="0049652C">
      <w:pPr>
        <w:pStyle w:val="SingleTxtG"/>
      </w:pPr>
      <w:r w:rsidRPr="0049652C">
        <w:rPr>
          <w:i/>
          <w:lang w:val="fr-FR"/>
        </w:rPr>
        <w:t>Ajouter le nouveau paragraphe 2.5.1.6</w:t>
      </w:r>
      <w:r w:rsidRPr="0049652C">
        <w:rPr>
          <w:lang w:val="fr-FR"/>
        </w:rPr>
        <w:t>, libellé comme suit :</w:t>
      </w:r>
    </w:p>
    <w:p w14:paraId="45F4E4BE" w14:textId="77777777" w:rsidR="0049652C" w:rsidRPr="00E2166D" w:rsidRDefault="0049652C" w:rsidP="0049652C">
      <w:pPr>
        <w:pStyle w:val="SingleTxtG"/>
        <w:tabs>
          <w:tab w:val="left" w:pos="2552"/>
        </w:tabs>
        <w:ind w:left="2534" w:hanging="1400"/>
        <w:rPr>
          <w:b/>
        </w:rPr>
      </w:pPr>
      <w:r w:rsidRPr="00E2166D">
        <w:rPr>
          <w:lang w:val="fr-FR"/>
        </w:rPr>
        <w:t>« 2.5.1.6</w:t>
      </w:r>
      <w:r w:rsidRPr="00E2166D">
        <w:rPr>
          <w:lang w:val="fr-FR"/>
        </w:rPr>
        <w:tab/>
      </w:r>
      <w:r w:rsidRPr="00E2166D">
        <w:rPr>
          <w:b/>
          <w:bCs/>
          <w:lang w:val="fr-FR"/>
        </w:rPr>
        <w:t>L’appartenance à la même famille sera considérée comme avérée pour les véhicules hybrides électriques (VHE), tels que définis au paragraphe</w:t>
      </w:r>
      <w:r>
        <w:rPr>
          <w:b/>
          <w:bCs/>
          <w:lang w:val="fr-FR"/>
        </w:rPr>
        <w:t> </w:t>
      </w:r>
      <w:r w:rsidRPr="00E2166D">
        <w:rPr>
          <w:b/>
          <w:bCs/>
          <w:lang w:val="fr-FR"/>
        </w:rPr>
        <w:t>2.21.2 du Règlement ONU n</w:t>
      </w:r>
      <w:r w:rsidRPr="0049652C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E2166D">
        <w:rPr>
          <w:b/>
          <w:bCs/>
          <w:lang w:val="fr-FR"/>
        </w:rPr>
        <w:t>83, aux conditions suivantes :</w:t>
      </w:r>
    </w:p>
    <w:p w14:paraId="5EF82609" w14:textId="77777777" w:rsidR="0049652C" w:rsidRPr="0049652C" w:rsidRDefault="005E75BA" w:rsidP="005E75BA">
      <w:pPr>
        <w:pStyle w:val="SingleTxtG"/>
        <w:tabs>
          <w:tab w:val="left" w:pos="3119"/>
        </w:tabs>
        <w:ind w:left="3119" w:hanging="567"/>
        <w:rPr>
          <w:rFonts w:eastAsia="MS Mincho"/>
          <w:b/>
        </w:rPr>
      </w:pPr>
      <w:r>
        <w:rPr>
          <w:b/>
          <w:lang w:val="fr-FR"/>
        </w:rPr>
        <w:t>a)</w:t>
      </w:r>
      <w:r>
        <w:rPr>
          <w:b/>
          <w:lang w:val="fr-FR"/>
        </w:rPr>
        <w:tab/>
      </w:r>
      <w:r w:rsidR="0049652C" w:rsidRPr="0049652C">
        <w:rPr>
          <w:b/>
          <w:lang w:val="fr-FR"/>
        </w:rPr>
        <w:t>Si au moins un véhicule rechargeable de l’extérieur (RE) est soumis à un essai comme s’il s’agissait d’un véhicule de base conformément au présent règlement, l’appartenance à la même famille peut être considérée comme avérée pour tous les VHE-RE conformes aux par</w:t>
      </w:r>
      <w:r w:rsidR="0049652C">
        <w:rPr>
          <w:b/>
          <w:lang w:val="fr-FR"/>
        </w:rPr>
        <w:t>agraphes </w:t>
      </w:r>
      <w:r w:rsidR="0049652C" w:rsidRPr="0049652C">
        <w:rPr>
          <w:b/>
          <w:lang w:val="fr-FR"/>
        </w:rPr>
        <w:t>2.5.1.1 à 2.5.1.5 ci</w:t>
      </w:r>
      <w:r>
        <w:rPr>
          <w:b/>
          <w:lang w:val="fr-FR"/>
        </w:rPr>
        <w:noBreakHyphen/>
      </w:r>
      <w:r w:rsidR="0049652C" w:rsidRPr="0049652C">
        <w:rPr>
          <w:b/>
          <w:lang w:val="fr-FR"/>
        </w:rPr>
        <w:t>dessus.</w:t>
      </w:r>
    </w:p>
    <w:p w14:paraId="70D81F60" w14:textId="77777777" w:rsidR="0049652C" w:rsidRPr="00E2166D" w:rsidRDefault="005E75BA" w:rsidP="005E75BA">
      <w:pPr>
        <w:pStyle w:val="SingleTxtG"/>
        <w:tabs>
          <w:tab w:val="left" w:pos="3119"/>
        </w:tabs>
        <w:ind w:left="3119" w:hanging="567"/>
        <w:rPr>
          <w:b/>
        </w:rPr>
      </w:pPr>
      <w:r>
        <w:rPr>
          <w:b/>
          <w:bCs/>
          <w:lang w:val="fr-FR"/>
        </w:rPr>
        <w:t>b)</w:t>
      </w:r>
      <w:r>
        <w:rPr>
          <w:b/>
          <w:bCs/>
          <w:lang w:val="fr-FR"/>
        </w:rPr>
        <w:tab/>
      </w:r>
      <w:r w:rsidR="0049652C" w:rsidRPr="00E2166D">
        <w:rPr>
          <w:b/>
          <w:bCs/>
          <w:lang w:val="fr-FR"/>
        </w:rPr>
        <w:t>Si au moins un véhicule non rechargeable de l’extérieur (NRE) est soumis à un essai comme s’il s’agissait d’un véhicule de base conformément au présent règlement, l’appartenance à la même famille peut être considérée comme avérée pour tous les VHE-NRE conformes aux par</w:t>
      </w:r>
      <w:r w:rsidR="0049652C">
        <w:rPr>
          <w:b/>
          <w:bCs/>
          <w:lang w:val="fr-FR"/>
        </w:rPr>
        <w:t>agraphes </w:t>
      </w:r>
      <w:r w:rsidR="0049652C" w:rsidRPr="00E2166D">
        <w:rPr>
          <w:b/>
          <w:bCs/>
          <w:lang w:val="fr-FR"/>
        </w:rPr>
        <w:t>2.5.1.1 à 2.5.1.5 ci-dessus.</w:t>
      </w:r>
      <w:r w:rsidR="0049652C" w:rsidRPr="0049652C">
        <w:rPr>
          <w:bCs/>
          <w:lang w:val="fr-FR"/>
        </w:rPr>
        <w:t> ».</w:t>
      </w:r>
    </w:p>
    <w:p w14:paraId="2E38AC99" w14:textId="77777777" w:rsidR="0049652C" w:rsidRPr="00E2166D" w:rsidRDefault="0049652C" w:rsidP="0049652C">
      <w:pPr>
        <w:pStyle w:val="SingleTxtG"/>
      </w:pPr>
      <w:r w:rsidRPr="00E2166D">
        <w:rPr>
          <w:i/>
        </w:rPr>
        <w:t>Ajouter le nouveau paragraphe 6.1.2.4.1.6.3</w:t>
      </w:r>
      <w:r w:rsidRPr="0049652C">
        <w:t>, libellé comme suit</w:t>
      </w:r>
      <w:r>
        <w:t> </w:t>
      </w:r>
      <w:r w:rsidRPr="0049652C">
        <w:t>:</w:t>
      </w:r>
    </w:p>
    <w:p w14:paraId="4F4233D6" w14:textId="77777777" w:rsidR="0049652C" w:rsidRPr="00E2166D" w:rsidRDefault="0049652C" w:rsidP="0049652C">
      <w:pPr>
        <w:pStyle w:val="SingleTxtG"/>
        <w:tabs>
          <w:tab w:val="left" w:pos="2548"/>
        </w:tabs>
        <w:ind w:left="2268" w:hanging="1134"/>
        <w:rPr>
          <w:b/>
        </w:rPr>
      </w:pPr>
      <w:r w:rsidRPr="00E2166D">
        <w:rPr>
          <w:lang w:val="fr-FR"/>
        </w:rPr>
        <w:t>« </w:t>
      </w:r>
      <w:r w:rsidRPr="00E2166D">
        <w:rPr>
          <w:b/>
          <w:bCs/>
          <w:lang w:val="fr-FR"/>
        </w:rPr>
        <w:t>6.1.2.4.1.6.3</w:t>
      </w:r>
      <w:r>
        <w:rPr>
          <w:b/>
          <w:bCs/>
          <w:lang w:val="fr-FR"/>
        </w:rPr>
        <w:tab/>
      </w:r>
      <w:r w:rsidRPr="00E2166D">
        <w:rPr>
          <w:b/>
          <w:bCs/>
          <w:lang w:val="fr-FR"/>
        </w:rPr>
        <w:t>Dispositions spéciales pour les véhicules hybrides électriques (VHE)</w:t>
      </w:r>
    </w:p>
    <w:p w14:paraId="39CB72CF" w14:textId="77777777" w:rsidR="0049652C" w:rsidRPr="00E2166D" w:rsidRDefault="0049652C" w:rsidP="003924ED">
      <w:pPr>
        <w:pStyle w:val="SingleTxtG"/>
        <w:ind w:left="2552"/>
        <w:rPr>
          <w:b/>
        </w:rPr>
      </w:pPr>
      <w:r w:rsidRPr="003924ED">
        <w:rPr>
          <w:b/>
          <w:lang w:val="fr-FR"/>
        </w:rPr>
        <w:t>Dans le cas des véhicules hybrides électriques, tels que définis au paragraphe</w:t>
      </w:r>
      <w:r w:rsidR="003924ED">
        <w:rPr>
          <w:b/>
          <w:lang w:val="fr-FR"/>
        </w:rPr>
        <w:t> </w:t>
      </w:r>
      <w:r w:rsidRPr="003924ED">
        <w:rPr>
          <w:b/>
          <w:lang w:val="fr-FR"/>
        </w:rPr>
        <w:t>2.21.2 du Règlement ONU n</w:t>
      </w:r>
      <w:r w:rsidR="003924ED" w:rsidRPr="003924ED">
        <w:rPr>
          <w:b/>
          <w:vertAlign w:val="superscript"/>
          <w:lang w:val="fr-FR"/>
        </w:rPr>
        <w:t>o</w:t>
      </w:r>
      <w:r w:rsidR="003924ED">
        <w:rPr>
          <w:b/>
          <w:lang w:val="fr-FR"/>
        </w:rPr>
        <w:t> </w:t>
      </w:r>
      <w:r w:rsidRPr="003924ED">
        <w:rPr>
          <w:b/>
          <w:lang w:val="fr-FR"/>
        </w:rPr>
        <w:t xml:space="preserve">83, la procédure décrite </w:t>
      </w:r>
      <w:r w:rsidR="005E75BA">
        <w:rPr>
          <w:b/>
          <w:lang w:val="fr-FR"/>
        </w:rPr>
        <w:t xml:space="preserve">à l’annexe 14 du </w:t>
      </w:r>
      <w:r w:rsidRPr="003924ED">
        <w:rPr>
          <w:b/>
          <w:lang w:val="fr-FR"/>
        </w:rPr>
        <w:t>Règlement n</w:t>
      </w:r>
      <w:r w:rsidR="003924ED" w:rsidRPr="003924ED">
        <w:rPr>
          <w:b/>
          <w:vertAlign w:val="superscript"/>
          <w:lang w:val="fr-FR"/>
        </w:rPr>
        <w:t>o</w:t>
      </w:r>
      <w:r w:rsidR="003924ED">
        <w:rPr>
          <w:b/>
          <w:lang w:val="fr-FR"/>
        </w:rPr>
        <w:t> </w:t>
      </w:r>
      <w:r w:rsidRPr="003924ED">
        <w:rPr>
          <w:b/>
          <w:lang w:val="fr-FR"/>
        </w:rPr>
        <w:t>83 de l’ONU doit être appliquée lors d’un essai de type I.</w:t>
      </w:r>
      <w:r w:rsidR="003924ED">
        <w:rPr>
          <w:b/>
          <w:lang w:val="fr-FR"/>
        </w:rPr>
        <w:t> </w:t>
      </w:r>
      <w:r w:rsidRPr="00E2166D">
        <w:rPr>
          <w:lang w:val="fr-FR"/>
        </w:rPr>
        <w:t>».</w:t>
      </w:r>
      <w:bookmarkStart w:id="0" w:name="_GoBack"/>
      <w:bookmarkEnd w:id="0"/>
    </w:p>
    <w:p w14:paraId="4D002F6A" w14:textId="77777777" w:rsidR="0049652C" w:rsidRPr="00E2166D" w:rsidRDefault="0049652C" w:rsidP="003924ED">
      <w:pPr>
        <w:pStyle w:val="SingleTxtG"/>
        <w:rPr>
          <w:i/>
        </w:rPr>
      </w:pPr>
      <w:r w:rsidRPr="003924ED">
        <w:rPr>
          <w:i/>
        </w:rPr>
        <w:t>Paragraphe 6.1.2.4.3.1</w:t>
      </w:r>
      <w:r w:rsidRPr="003924ED">
        <w:t>, lire :</w:t>
      </w:r>
    </w:p>
    <w:p w14:paraId="1B27C289" w14:textId="77777777" w:rsidR="0049652C" w:rsidRPr="00E2166D" w:rsidRDefault="0049652C" w:rsidP="003924ED">
      <w:pPr>
        <w:pStyle w:val="SingleTxtG"/>
        <w:tabs>
          <w:tab w:val="left" w:pos="2548"/>
        </w:tabs>
        <w:ind w:left="2548" w:hanging="1414"/>
      </w:pPr>
      <w:r w:rsidRPr="00E2166D">
        <w:rPr>
          <w:lang w:val="fr-FR"/>
        </w:rPr>
        <w:t>« 6.1.2.4.3.1</w:t>
      </w:r>
      <w:r w:rsidRPr="00E2166D">
        <w:rPr>
          <w:lang w:val="fr-FR"/>
        </w:rPr>
        <w:tab/>
        <w:t>Les émissions de CO</w:t>
      </w:r>
      <w:r w:rsidRPr="00E2166D">
        <w:rPr>
          <w:vertAlign w:val="subscript"/>
          <w:lang w:val="fr-FR"/>
        </w:rPr>
        <w:t>2</w:t>
      </w:r>
      <w:r w:rsidRPr="00E2166D">
        <w:rPr>
          <w:lang w:val="fr-FR"/>
        </w:rPr>
        <w:t xml:space="preserve"> sont calculées conformément au Règlement ONU n</w:t>
      </w:r>
      <w:r w:rsidR="003924ED">
        <w:rPr>
          <w:vertAlign w:val="superscript"/>
          <w:lang w:val="fr-FR"/>
        </w:rPr>
        <w:t>o</w:t>
      </w:r>
      <w:r w:rsidR="003924ED" w:rsidRPr="003924ED">
        <w:rPr>
          <w:lang w:val="fr-FR"/>
        </w:rPr>
        <w:t> </w:t>
      </w:r>
      <w:r w:rsidRPr="00E2166D">
        <w:rPr>
          <w:lang w:val="fr-FR"/>
        </w:rPr>
        <w:t>101 ou au RTM ONU n</w:t>
      </w:r>
      <w:r w:rsidRPr="00E2166D">
        <w:rPr>
          <w:vertAlign w:val="superscript"/>
          <w:lang w:val="fr-FR"/>
        </w:rPr>
        <w:t>o</w:t>
      </w:r>
      <w:r w:rsidR="003924ED">
        <w:rPr>
          <w:lang w:val="fr-FR"/>
        </w:rPr>
        <w:t> </w:t>
      </w:r>
      <w:r w:rsidRPr="00E2166D">
        <w:rPr>
          <w:lang w:val="fr-FR"/>
        </w:rPr>
        <w:t>15, selon le cas, pour chaque véhicule de base, le cas échéant.</w:t>
      </w:r>
    </w:p>
    <w:p w14:paraId="5F5ED11E" w14:textId="77777777" w:rsidR="0049652C" w:rsidRPr="00E2166D" w:rsidRDefault="0049652C" w:rsidP="003924ED">
      <w:pPr>
        <w:pStyle w:val="SingleTxtG"/>
        <w:ind w:left="2552"/>
        <w:rPr>
          <w:b/>
        </w:rPr>
      </w:pPr>
      <w:r w:rsidRPr="00E2166D">
        <w:rPr>
          <w:b/>
          <w:bCs/>
          <w:lang w:val="fr-FR"/>
        </w:rPr>
        <w:t>Dans le cas des VHE, les dispositions spéciales de l’annexe</w:t>
      </w:r>
      <w:r w:rsidR="003924ED">
        <w:rPr>
          <w:b/>
          <w:bCs/>
          <w:lang w:val="fr-FR"/>
        </w:rPr>
        <w:t> </w:t>
      </w:r>
      <w:r w:rsidRPr="00E2166D">
        <w:rPr>
          <w:b/>
          <w:bCs/>
          <w:lang w:val="fr-FR"/>
        </w:rPr>
        <w:t xml:space="preserve">8 du Règlement ONU </w:t>
      </w:r>
      <w:r w:rsidR="003924ED">
        <w:rPr>
          <w:b/>
          <w:bCs/>
          <w:lang w:val="fr-FR"/>
        </w:rPr>
        <w:t>n</w:t>
      </w:r>
      <w:r w:rsidR="003924ED" w:rsidRPr="003924ED">
        <w:rPr>
          <w:b/>
          <w:bCs/>
          <w:vertAlign w:val="superscript"/>
          <w:lang w:val="fr-FR"/>
        </w:rPr>
        <w:t>o</w:t>
      </w:r>
      <w:r w:rsidR="003924ED">
        <w:rPr>
          <w:b/>
          <w:bCs/>
          <w:lang w:val="fr-FR"/>
        </w:rPr>
        <w:t> </w:t>
      </w:r>
      <w:r w:rsidRPr="00E2166D">
        <w:rPr>
          <w:b/>
          <w:bCs/>
          <w:lang w:val="fr-FR"/>
        </w:rPr>
        <w:t>101 ou le calcul présenté dans l’annexe</w:t>
      </w:r>
      <w:r w:rsidR="003924ED">
        <w:rPr>
          <w:b/>
          <w:bCs/>
          <w:lang w:val="fr-FR"/>
        </w:rPr>
        <w:t> </w:t>
      </w:r>
      <w:r w:rsidRPr="00E2166D">
        <w:rPr>
          <w:b/>
          <w:bCs/>
          <w:lang w:val="fr-FR"/>
        </w:rPr>
        <w:t>8 du RTM ONU n</w:t>
      </w:r>
      <w:r w:rsidR="003924ED" w:rsidRPr="003924ED">
        <w:rPr>
          <w:b/>
          <w:bCs/>
          <w:vertAlign w:val="superscript"/>
          <w:lang w:val="fr-FR"/>
        </w:rPr>
        <w:t>o</w:t>
      </w:r>
      <w:r w:rsidR="003924ED">
        <w:rPr>
          <w:b/>
          <w:bCs/>
          <w:lang w:val="fr-FR"/>
        </w:rPr>
        <w:t> </w:t>
      </w:r>
      <w:r w:rsidRPr="00E2166D">
        <w:rPr>
          <w:b/>
          <w:bCs/>
          <w:lang w:val="fr-FR"/>
        </w:rPr>
        <w:t>15, selon le cas, doivent être appliqués.</w:t>
      </w:r>
    </w:p>
    <w:p w14:paraId="53895373" w14:textId="77777777" w:rsidR="0049652C" w:rsidRPr="00E2166D" w:rsidRDefault="0049652C" w:rsidP="003924ED">
      <w:pPr>
        <w:pStyle w:val="SingleTxtG"/>
        <w:ind w:left="2552"/>
      </w:pPr>
      <w:r w:rsidRPr="00E2166D">
        <w:rPr>
          <w:lang w:val="fr-FR"/>
        </w:rPr>
        <w:t>La valeur moyenne des émissions de CO</w:t>
      </w:r>
      <w:r w:rsidRPr="00CE7999">
        <w:rPr>
          <w:vertAlign w:val="subscript"/>
          <w:lang w:val="fr-FR"/>
        </w:rPr>
        <w:t>2</w:t>
      </w:r>
      <w:r w:rsidRPr="00E2166D">
        <w:rPr>
          <w:lang w:val="fr-FR"/>
        </w:rPr>
        <w:t xml:space="preserve"> se calcule comme suit</w:t>
      </w:r>
      <w:r w:rsidR="003924ED">
        <w:rPr>
          <w:lang w:val="fr-FR"/>
        </w:rPr>
        <w:t> </w:t>
      </w:r>
      <w:r w:rsidRPr="00E2166D">
        <w:rPr>
          <w:lang w:val="fr-FR"/>
        </w:rPr>
        <w:t>:</w:t>
      </w:r>
    </w:p>
    <w:p w14:paraId="56533DAA" w14:textId="77777777" w:rsidR="0049652C" w:rsidRPr="00E2166D" w:rsidRDefault="0049652C" w:rsidP="003924ED">
      <w:pPr>
        <w:pStyle w:val="SingleTxtG"/>
        <w:ind w:left="2552"/>
        <w:rPr>
          <w:lang w:eastAsia="nl-NL"/>
        </w:rPr>
      </w:pPr>
      <w:r w:rsidRPr="00E2166D">
        <w:rPr>
          <w:lang w:eastAsia="nl-NL"/>
        </w:rPr>
        <w:t>…. ».</w:t>
      </w:r>
    </w:p>
    <w:p w14:paraId="52718942" w14:textId="77777777" w:rsidR="0049652C" w:rsidRPr="00E2166D" w:rsidRDefault="003924ED" w:rsidP="003924ED">
      <w:pPr>
        <w:pStyle w:val="HChG"/>
      </w:pPr>
      <w:r>
        <w:rPr>
          <w:lang w:val="fr-FR"/>
        </w:rPr>
        <w:tab/>
      </w:r>
      <w:r w:rsidR="0049652C" w:rsidRPr="00E2166D">
        <w:rPr>
          <w:lang w:val="fr-FR"/>
        </w:rPr>
        <w:t>II.</w:t>
      </w:r>
      <w:r w:rsidR="0049652C" w:rsidRPr="00E2166D">
        <w:rPr>
          <w:lang w:val="fr-FR"/>
        </w:rPr>
        <w:tab/>
        <w:t>Justification</w:t>
      </w:r>
    </w:p>
    <w:p w14:paraId="68AB9565" w14:textId="77777777" w:rsidR="0049652C" w:rsidRPr="00E2166D" w:rsidRDefault="0049652C" w:rsidP="003924ED">
      <w:pPr>
        <w:pStyle w:val="SingleTxtG"/>
        <w:ind w:firstLine="567"/>
      </w:pPr>
      <w:r w:rsidRPr="00E2166D">
        <w:rPr>
          <w:lang w:val="fr-FR"/>
        </w:rPr>
        <w:t>Les dispositions relatives aux véhicules hybrides électriques (VHE) sont implicitement contenues dans le Règlement ONU n</w:t>
      </w:r>
      <w:r w:rsidR="003924ED" w:rsidRPr="003924ED">
        <w:rPr>
          <w:vertAlign w:val="superscript"/>
          <w:lang w:val="fr-FR"/>
        </w:rPr>
        <w:t>o</w:t>
      </w:r>
      <w:r w:rsidR="003924ED">
        <w:rPr>
          <w:lang w:val="fr-FR"/>
        </w:rPr>
        <w:t> </w:t>
      </w:r>
      <w:r w:rsidRPr="00E2166D">
        <w:rPr>
          <w:lang w:val="fr-FR"/>
        </w:rPr>
        <w:t>115. En effet, les essais de type I renvoient au Règlement ONU n</w:t>
      </w:r>
      <w:r w:rsidR="003924ED" w:rsidRPr="003924ED">
        <w:rPr>
          <w:vertAlign w:val="superscript"/>
          <w:lang w:val="fr-FR"/>
        </w:rPr>
        <w:t>o</w:t>
      </w:r>
      <w:r w:rsidR="003924ED">
        <w:rPr>
          <w:lang w:val="fr-FR"/>
        </w:rPr>
        <w:t> </w:t>
      </w:r>
      <w:r w:rsidRPr="00E2166D">
        <w:rPr>
          <w:lang w:val="fr-FR"/>
        </w:rPr>
        <w:t>83, qui définit à son tour des dispositions spéciales s’appliquant aux VHE. Le présent amendement précise que, pour les VHE, la procédure correcte pour l’essai de type</w:t>
      </w:r>
      <w:r w:rsidR="003924ED">
        <w:rPr>
          <w:lang w:val="fr-FR"/>
        </w:rPr>
        <w:t> </w:t>
      </w:r>
      <w:r w:rsidRPr="00E2166D">
        <w:rPr>
          <w:lang w:val="fr-FR"/>
        </w:rPr>
        <w:t>I doit tenir compte de l’annexe</w:t>
      </w:r>
      <w:r w:rsidR="003924ED">
        <w:rPr>
          <w:lang w:val="fr-FR"/>
        </w:rPr>
        <w:t> </w:t>
      </w:r>
      <w:r w:rsidRPr="00E2166D">
        <w:rPr>
          <w:lang w:val="fr-FR"/>
        </w:rPr>
        <w:t>14 du Règlement ONU n</w:t>
      </w:r>
      <w:r w:rsidR="003924ED" w:rsidRPr="003924ED">
        <w:rPr>
          <w:vertAlign w:val="superscript"/>
          <w:lang w:val="fr-FR"/>
        </w:rPr>
        <w:t>o</w:t>
      </w:r>
      <w:r w:rsidR="003924ED">
        <w:rPr>
          <w:lang w:val="fr-FR"/>
        </w:rPr>
        <w:t> </w:t>
      </w:r>
      <w:r w:rsidRPr="00E2166D">
        <w:rPr>
          <w:lang w:val="fr-FR"/>
        </w:rPr>
        <w:t>83.</w:t>
      </w:r>
    </w:p>
    <w:p w14:paraId="198F3D87" w14:textId="77777777" w:rsidR="0049652C" w:rsidRDefault="0049652C" w:rsidP="003924ED">
      <w:pPr>
        <w:pStyle w:val="SingleTxtG"/>
        <w:ind w:firstLine="567"/>
        <w:rPr>
          <w:lang w:val="fr-FR"/>
        </w:rPr>
      </w:pPr>
      <w:r w:rsidRPr="00E2166D">
        <w:rPr>
          <w:lang w:val="fr-FR"/>
        </w:rPr>
        <w:t>En outre, en ce qui concerne la mesure du CO</w:t>
      </w:r>
      <w:r w:rsidRPr="00E2166D">
        <w:rPr>
          <w:vertAlign w:val="subscript"/>
          <w:lang w:val="fr-FR"/>
        </w:rPr>
        <w:t>2</w:t>
      </w:r>
      <w:r w:rsidRPr="00E2166D">
        <w:rPr>
          <w:lang w:val="fr-FR"/>
        </w:rPr>
        <w:t>, le Règlement ONU n</w:t>
      </w:r>
      <w:r w:rsidR="003924ED" w:rsidRPr="003924ED">
        <w:rPr>
          <w:vertAlign w:val="superscript"/>
          <w:lang w:val="fr-FR"/>
        </w:rPr>
        <w:t>o</w:t>
      </w:r>
      <w:r w:rsidR="003924ED">
        <w:rPr>
          <w:lang w:val="fr-FR"/>
        </w:rPr>
        <w:t> </w:t>
      </w:r>
      <w:r w:rsidRPr="00E2166D">
        <w:rPr>
          <w:lang w:val="fr-FR"/>
        </w:rPr>
        <w:t xml:space="preserve">115 renvoie déjà au Règlement ONU </w:t>
      </w:r>
      <w:r w:rsidR="003924ED">
        <w:rPr>
          <w:lang w:val="fr-FR"/>
        </w:rPr>
        <w:t>n</w:t>
      </w:r>
      <w:r w:rsidR="003924ED" w:rsidRPr="003924ED">
        <w:rPr>
          <w:vertAlign w:val="superscript"/>
          <w:lang w:val="fr-FR"/>
        </w:rPr>
        <w:t>o</w:t>
      </w:r>
      <w:r w:rsidR="003924ED">
        <w:rPr>
          <w:lang w:val="fr-FR"/>
        </w:rPr>
        <w:t> </w:t>
      </w:r>
      <w:r w:rsidRPr="00E2166D">
        <w:rPr>
          <w:lang w:val="fr-FR"/>
        </w:rPr>
        <w:t xml:space="preserve">101 ou au RTM ONU </w:t>
      </w:r>
      <w:r w:rsidR="003924ED">
        <w:rPr>
          <w:lang w:val="fr-FR"/>
        </w:rPr>
        <w:t>n</w:t>
      </w:r>
      <w:r w:rsidR="003924ED" w:rsidRPr="003924ED">
        <w:rPr>
          <w:vertAlign w:val="superscript"/>
          <w:lang w:val="fr-FR"/>
        </w:rPr>
        <w:t>o</w:t>
      </w:r>
      <w:r w:rsidR="003924ED">
        <w:rPr>
          <w:lang w:val="fr-FR"/>
        </w:rPr>
        <w:t> </w:t>
      </w:r>
      <w:r w:rsidRPr="00E2166D">
        <w:rPr>
          <w:lang w:val="fr-FR"/>
        </w:rPr>
        <w:t xml:space="preserve">15, selon le cas. Cet amendement précise que pour les VHE, la procédure correcte doit prendre en compte l’annexe 8 du règlement ONU </w:t>
      </w:r>
      <w:r w:rsidR="003924ED">
        <w:rPr>
          <w:lang w:val="fr-FR"/>
        </w:rPr>
        <w:t>n</w:t>
      </w:r>
      <w:r w:rsidR="003924ED" w:rsidRPr="003924ED">
        <w:rPr>
          <w:vertAlign w:val="superscript"/>
          <w:lang w:val="fr-FR"/>
        </w:rPr>
        <w:t>o</w:t>
      </w:r>
      <w:r w:rsidR="003924ED">
        <w:rPr>
          <w:lang w:val="fr-FR"/>
        </w:rPr>
        <w:t> </w:t>
      </w:r>
      <w:r w:rsidRPr="00E2166D">
        <w:rPr>
          <w:lang w:val="fr-FR"/>
        </w:rPr>
        <w:t xml:space="preserve">101 ou l’annexe XX du RTM ONU </w:t>
      </w:r>
      <w:r w:rsidR="003924ED">
        <w:rPr>
          <w:lang w:val="fr-FR"/>
        </w:rPr>
        <w:t>n</w:t>
      </w:r>
      <w:r w:rsidR="003924ED" w:rsidRPr="003924ED">
        <w:rPr>
          <w:vertAlign w:val="superscript"/>
          <w:lang w:val="fr-FR"/>
        </w:rPr>
        <w:t>o</w:t>
      </w:r>
      <w:r w:rsidR="003924ED">
        <w:rPr>
          <w:lang w:val="fr-FR"/>
        </w:rPr>
        <w:t> </w:t>
      </w:r>
      <w:r w:rsidRPr="00E2166D">
        <w:rPr>
          <w:lang w:val="fr-FR"/>
        </w:rPr>
        <w:t>15, selon le cas.</w:t>
      </w:r>
    </w:p>
    <w:p w14:paraId="273824DC" w14:textId="77777777" w:rsidR="003924ED" w:rsidRPr="003924ED" w:rsidRDefault="003924ED" w:rsidP="003924E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24ED" w:rsidRPr="003924ED" w:rsidSect="002878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5074" w14:textId="77777777" w:rsidR="004A38AE" w:rsidRDefault="004A38AE" w:rsidP="00F95C08">
      <w:pPr>
        <w:spacing w:line="240" w:lineRule="auto"/>
      </w:pPr>
    </w:p>
  </w:endnote>
  <w:endnote w:type="continuationSeparator" w:id="0">
    <w:p w14:paraId="3D96BB40" w14:textId="77777777" w:rsidR="004A38AE" w:rsidRPr="00AC3823" w:rsidRDefault="004A38AE" w:rsidP="00AC3823">
      <w:pPr>
        <w:pStyle w:val="Pieddepage"/>
      </w:pPr>
    </w:p>
  </w:endnote>
  <w:endnote w:type="continuationNotice" w:id="1">
    <w:p w14:paraId="6DA1D854" w14:textId="77777777" w:rsidR="004A38AE" w:rsidRDefault="004A38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D576" w14:textId="77777777" w:rsidR="00287839" w:rsidRPr="00287839" w:rsidRDefault="00287839" w:rsidP="00287839">
    <w:pPr>
      <w:pStyle w:val="Pieddepage"/>
      <w:tabs>
        <w:tab w:val="right" w:pos="9638"/>
      </w:tabs>
    </w:pPr>
    <w:r w:rsidRPr="00287839">
      <w:rPr>
        <w:b/>
        <w:sz w:val="18"/>
      </w:rPr>
      <w:fldChar w:fldCharType="begin"/>
    </w:r>
    <w:r w:rsidRPr="00287839">
      <w:rPr>
        <w:b/>
        <w:sz w:val="18"/>
      </w:rPr>
      <w:instrText xml:space="preserve"> PAGE  \* MERGEFORMAT </w:instrText>
    </w:r>
    <w:r w:rsidRPr="00287839">
      <w:rPr>
        <w:b/>
        <w:sz w:val="18"/>
      </w:rPr>
      <w:fldChar w:fldCharType="separate"/>
    </w:r>
    <w:r w:rsidRPr="00287839">
      <w:rPr>
        <w:b/>
        <w:noProof/>
        <w:sz w:val="18"/>
      </w:rPr>
      <w:t>2</w:t>
    </w:r>
    <w:r w:rsidRPr="00287839">
      <w:rPr>
        <w:b/>
        <w:sz w:val="18"/>
      </w:rPr>
      <w:fldChar w:fldCharType="end"/>
    </w:r>
    <w:r>
      <w:rPr>
        <w:b/>
        <w:sz w:val="18"/>
      </w:rPr>
      <w:tab/>
    </w:r>
    <w:r>
      <w:t>GE.20-04340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9B8B" w14:textId="77777777" w:rsidR="00287839" w:rsidRPr="00287839" w:rsidRDefault="00287839" w:rsidP="00287839">
    <w:pPr>
      <w:pStyle w:val="Pieddepage"/>
      <w:tabs>
        <w:tab w:val="right" w:pos="9638"/>
      </w:tabs>
      <w:rPr>
        <w:b/>
        <w:sz w:val="18"/>
      </w:rPr>
    </w:pPr>
    <w:r>
      <w:t>GE.20-04340</w:t>
    </w:r>
    <w:r>
      <w:tab/>
    </w:r>
    <w:r w:rsidRPr="00287839">
      <w:rPr>
        <w:b/>
        <w:sz w:val="18"/>
      </w:rPr>
      <w:fldChar w:fldCharType="begin"/>
    </w:r>
    <w:r w:rsidRPr="00287839">
      <w:rPr>
        <w:b/>
        <w:sz w:val="18"/>
      </w:rPr>
      <w:instrText xml:space="preserve"> PAGE  \* MERGEFORMAT </w:instrText>
    </w:r>
    <w:r w:rsidRPr="00287839">
      <w:rPr>
        <w:b/>
        <w:sz w:val="18"/>
      </w:rPr>
      <w:fldChar w:fldCharType="separate"/>
    </w:r>
    <w:r w:rsidRPr="00287839">
      <w:rPr>
        <w:b/>
        <w:noProof/>
        <w:sz w:val="18"/>
      </w:rPr>
      <w:t>3</w:t>
    </w:r>
    <w:r w:rsidRPr="002878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29D0" w14:textId="77777777" w:rsidR="007F20FA" w:rsidRPr="00287839" w:rsidRDefault="00287839" w:rsidP="0028783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30255F7" wp14:editId="2BA89A3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20-04340  (F)    300320    010420</w:t>
    </w:r>
    <w:r>
      <w:rPr>
        <w:sz w:val="20"/>
      </w:rPr>
      <w:br/>
    </w:r>
    <w:r w:rsidRPr="00287839">
      <w:rPr>
        <w:rFonts w:ascii="C39T30Lfz" w:hAnsi="C39T30Lfz"/>
        <w:sz w:val="56"/>
      </w:rPr>
      <w:t></w:t>
    </w:r>
    <w:r w:rsidRPr="00287839">
      <w:rPr>
        <w:rFonts w:ascii="C39T30Lfz" w:hAnsi="C39T30Lfz"/>
        <w:sz w:val="56"/>
      </w:rPr>
      <w:t></w:t>
    </w:r>
    <w:r w:rsidRPr="00287839">
      <w:rPr>
        <w:rFonts w:ascii="C39T30Lfz" w:hAnsi="C39T30Lfz"/>
        <w:sz w:val="56"/>
      </w:rPr>
      <w:t></w:t>
    </w:r>
    <w:r w:rsidRPr="00287839">
      <w:rPr>
        <w:rFonts w:ascii="C39T30Lfz" w:hAnsi="C39T30Lfz"/>
        <w:sz w:val="56"/>
      </w:rPr>
      <w:t></w:t>
    </w:r>
    <w:r w:rsidRPr="00287839">
      <w:rPr>
        <w:rFonts w:ascii="C39T30Lfz" w:hAnsi="C39T30Lfz"/>
        <w:sz w:val="56"/>
      </w:rPr>
      <w:t></w:t>
    </w:r>
    <w:r w:rsidRPr="00287839">
      <w:rPr>
        <w:rFonts w:ascii="C39T30Lfz" w:hAnsi="C39T30Lfz"/>
        <w:sz w:val="56"/>
      </w:rPr>
      <w:t></w:t>
    </w:r>
    <w:r w:rsidRPr="00287839">
      <w:rPr>
        <w:rFonts w:ascii="C39T30Lfz" w:hAnsi="C39T30Lfz"/>
        <w:sz w:val="56"/>
      </w:rPr>
      <w:t></w:t>
    </w:r>
    <w:r w:rsidRPr="00287839">
      <w:rPr>
        <w:rFonts w:ascii="C39T30Lfz" w:hAnsi="C39T30Lfz"/>
        <w:sz w:val="56"/>
      </w:rPr>
      <w:t></w:t>
    </w:r>
    <w:r w:rsidRPr="0028783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E31976E" wp14:editId="4F8B5A8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20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6EF4" w14:textId="77777777" w:rsidR="004A38AE" w:rsidRPr="00AC3823" w:rsidRDefault="004A38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F062AE" w14:textId="77777777" w:rsidR="004A38AE" w:rsidRPr="00AC3823" w:rsidRDefault="004A38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C4926D" w14:textId="77777777" w:rsidR="004A38AE" w:rsidRPr="00AC3823" w:rsidRDefault="004A38AE">
      <w:pPr>
        <w:spacing w:line="240" w:lineRule="auto"/>
        <w:rPr>
          <w:sz w:val="2"/>
          <w:szCs w:val="2"/>
        </w:rPr>
      </w:pPr>
    </w:p>
  </w:footnote>
  <w:footnote w:id="2">
    <w:p w14:paraId="301D121C" w14:textId="77777777" w:rsidR="0049652C" w:rsidRPr="005E75BA" w:rsidRDefault="0049652C">
      <w:pPr>
        <w:pStyle w:val="Notedebasdepage"/>
        <w:rPr>
          <w:szCs w:val="18"/>
        </w:rPr>
      </w:pPr>
      <w:r>
        <w:rPr>
          <w:rStyle w:val="Appelnotedebasdep"/>
        </w:rPr>
        <w:tab/>
      </w:r>
      <w:r w:rsidRPr="0049652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5E75BA">
        <w:rPr>
          <w:szCs w:val="18"/>
        </w:rPr>
        <w:t>Conformément au programme de travail du Comité des transports intérieurs pour 2020 tel qu’il figure dans le projet de budget-programme pour 2020 (A/74/6 (titre V, chap. 20), par. 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E436" w14:textId="322C2A7C" w:rsidR="00287839" w:rsidRPr="00287839" w:rsidRDefault="00E30AB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A5EE" w14:textId="72162EBE" w:rsidR="00287839" w:rsidRPr="00287839" w:rsidRDefault="00E30AB8" w:rsidP="0028783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38A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7839"/>
    <w:rsid w:val="002D7C93"/>
    <w:rsid w:val="00305801"/>
    <w:rsid w:val="003916DE"/>
    <w:rsid w:val="003924ED"/>
    <w:rsid w:val="00421996"/>
    <w:rsid w:val="00441C3B"/>
    <w:rsid w:val="00446FE5"/>
    <w:rsid w:val="00452396"/>
    <w:rsid w:val="004837D8"/>
    <w:rsid w:val="0049652C"/>
    <w:rsid w:val="004A38AE"/>
    <w:rsid w:val="004E2EED"/>
    <w:rsid w:val="004E468C"/>
    <w:rsid w:val="005505B7"/>
    <w:rsid w:val="00573BE5"/>
    <w:rsid w:val="00586ED3"/>
    <w:rsid w:val="00596AA9"/>
    <w:rsid w:val="005B7EA0"/>
    <w:rsid w:val="005E75BA"/>
    <w:rsid w:val="006A186E"/>
    <w:rsid w:val="0071601D"/>
    <w:rsid w:val="007A62E6"/>
    <w:rsid w:val="007F20FA"/>
    <w:rsid w:val="0080684C"/>
    <w:rsid w:val="00871C75"/>
    <w:rsid w:val="008776DC"/>
    <w:rsid w:val="008E202F"/>
    <w:rsid w:val="009446C0"/>
    <w:rsid w:val="009705C8"/>
    <w:rsid w:val="009C1CF4"/>
    <w:rsid w:val="009F6B74"/>
    <w:rsid w:val="00A12E29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E7999"/>
    <w:rsid w:val="00D3439C"/>
    <w:rsid w:val="00DB1831"/>
    <w:rsid w:val="00DD3BFD"/>
    <w:rsid w:val="00DF6678"/>
    <w:rsid w:val="00E0299A"/>
    <w:rsid w:val="00E30AB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E3998"/>
  <w15:docId w15:val="{77B00A53-3A33-4221-A96D-DD9D4B2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594</Words>
  <Characters>3111</Characters>
  <Application>Microsoft Office Word</Application>
  <DocSecurity>0</DocSecurity>
  <Lines>77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ECE/TRANS/WP.29/GRPE/2020/11</vt:lpstr>
    </vt:vector>
  </TitlesOfParts>
  <Company>DCM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ECE/TRANS/WP.29/GRPE/2020/11</dc:title>
  <dc:subject/>
  <dc:creator>Christine CHAUTAGNAT</dc:creator>
  <cp:keywords/>
  <cp:lastModifiedBy>Christine Chautagnat</cp:lastModifiedBy>
  <cp:revision>3</cp:revision>
  <cp:lastPrinted>2020-04-01T07:12:00Z</cp:lastPrinted>
  <dcterms:created xsi:type="dcterms:W3CDTF">2020-04-01T07:12:00Z</dcterms:created>
  <dcterms:modified xsi:type="dcterms:W3CDTF">2020-04-01T07:12:00Z</dcterms:modified>
</cp:coreProperties>
</file>