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0FE45C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1CC8210" w14:textId="77777777" w:rsidR="00F35BAF" w:rsidRPr="00DB58B5" w:rsidRDefault="00F35BAF" w:rsidP="005239C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A69274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4D4288" w14:textId="77777777" w:rsidR="00F35BAF" w:rsidRPr="00DB58B5" w:rsidRDefault="005239C4" w:rsidP="005239C4">
            <w:pPr>
              <w:jc w:val="right"/>
            </w:pPr>
            <w:r w:rsidRPr="005239C4">
              <w:rPr>
                <w:sz w:val="40"/>
              </w:rPr>
              <w:t>ECE</w:t>
            </w:r>
            <w:r>
              <w:t>/TRANS/WP.29/GRPE/2020/8</w:t>
            </w:r>
          </w:p>
        </w:tc>
      </w:tr>
      <w:tr w:rsidR="00F35BAF" w:rsidRPr="00DB58B5" w14:paraId="54414494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5C8C6F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3848B10" wp14:editId="5ED7917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86482D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48BBAA5" w14:textId="77777777" w:rsidR="00F35BAF" w:rsidRDefault="005239C4" w:rsidP="00C97039">
            <w:pPr>
              <w:spacing w:before="240"/>
            </w:pPr>
            <w:r>
              <w:t>Distr. générale</w:t>
            </w:r>
          </w:p>
          <w:p w14:paraId="4F840CAE" w14:textId="77777777" w:rsidR="005239C4" w:rsidRDefault="005239C4" w:rsidP="005239C4">
            <w:pPr>
              <w:spacing w:line="240" w:lineRule="exact"/>
            </w:pPr>
            <w:r>
              <w:t>31 octobre 2019</w:t>
            </w:r>
          </w:p>
          <w:p w14:paraId="17E746A8" w14:textId="77777777" w:rsidR="005239C4" w:rsidRDefault="005239C4" w:rsidP="005239C4">
            <w:pPr>
              <w:spacing w:line="240" w:lineRule="exact"/>
            </w:pPr>
            <w:r>
              <w:t>Français</w:t>
            </w:r>
          </w:p>
          <w:p w14:paraId="1E8E4D89" w14:textId="77777777" w:rsidR="005239C4" w:rsidRPr="00DB58B5" w:rsidRDefault="005239C4" w:rsidP="005239C4">
            <w:pPr>
              <w:spacing w:line="240" w:lineRule="exact"/>
            </w:pPr>
            <w:r>
              <w:t>Original : anglais</w:t>
            </w:r>
          </w:p>
        </w:tc>
      </w:tr>
    </w:tbl>
    <w:p w14:paraId="66F0CA5D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3E90418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F2DC509" w14:textId="77777777" w:rsidR="005239C4" w:rsidRDefault="005239C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9ECB592" w14:textId="77777777" w:rsidR="005239C4" w:rsidRDefault="005239C4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la pollution et de l’énergie</w:t>
      </w:r>
    </w:p>
    <w:p w14:paraId="68FE90EE" w14:textId="77777777" w:rsidR="005239C4" w:rsidRDefault="00B77DDD" w:rsidP="00257168">
      <w:pPr>
        <w:spacing w:before="120" w:line="240" w:lineRule="exact"/>
        <w:rPr>
          <w:b/>
        </w:rPr>
      </w:pPr>
      <w:r w:rsidRPr="00031953">
        <w:rPr>
          <w:b/>
          <w:bCs/>
          <w:lang w:val="fr-FR"/>
        </w:rPr>
        <w:t>Quatre-vingtième</w:t>
      </w:r>
      <w:r w:rsidR="005239C4">
        <w:rPr>
          <w:b/>
        </w:rPr>
        <w:t xml:space="preserve"> session</w:t>
      </w:r>
    </w:p>
    <w:p w14:paraId="090AF413" w14:textId="77777777" w:rsidR="005239C4" w:rsidRDefault="005239C4" w:rsidP="00257168">
      <w:pPr>
        <w:spacing w:line="240" w:lineRule="exact"/>
      </w:pPr>
      <w:r>
        <w:t xml:space="preserve">Genève, </w:t>
      </w:r>
      <w:r w:rsidR="00B77DDD" w:rsidRPr="00031953">
        <w:rPr>
          <w:lang w:val="fr-FR"/>
        </w:rPr>
        <w:t>14-17 janvier 2020</w:t>
      </w:r>
    </w:p>
    <w:p w14:paraId="044228D0" w14:textId="77777777" w:rsidR="005239C4" w:rsidRDefault="005239C4" w:rsidP="00257168">
      <w:pPr>
        <w:spacing w:line="240" w:lineRule="exact"/>
      </w:pPr>
      <w:r>
        <w:t xml:space="preserve">Point </w:t>
      </w:r>
      <w:r w:rsidR="00B77DDD">
        <w:t>5</w:t>
      </w:r>
      <w:r>
        <w:t xml:space="preserve"> de l’ordre du jour</w:t>
      </w:r>
      <w:r w:rsidR="00B77DDD">
        <w:t xml:space="preserve"> provisoire</w:t>
      </w:r>
    </w:p>
    <w:p w14:paraId="792477F8" w14:textId="77777777" w:rsidR="005239C4" w:rsidRPr="00031953" w:rsidRDefault="005239C4" w:rsidP="005239C4">
      <w:pPr>
        <w:rPr>
          <w:rFonts w:eastAsia="MS Mincho"/>
          <w:b/>
          <w:bCs/>
          <w:lang w:val="fr-FR"/>
        </w:rPr>
      </w:pPr>
      <w:r w:rsidRPr="00031953">
        <w:rPr>
          <w:rFonts w:eastAsia="MS Mincho"/>
          <w:b/>
          <w:bCs/>
          <w:lang w:val="fr-FR"/>
        </w:rPr>
        <w:t>Règlements ONU n</w:t>
      </w:r>
      <w:r w:rsidRPr="00031953">
        <w:rPr>
          <w:rFonts w:eastAsia="MS Mincho"/>
          <w:b/>
          <w:bCs/>
          <w:vertAlign w:val="superscript"/>
          <w:lang w:val="fr-FR"/>
        </w:rPr>
        <w:t>os</w:t>
      </w:r>
      <w:r w:rsidRPr="00031953">
        <w:rPr>
          <w:rFonts w:eastAsia="MS Mincho"/>
          <w:b/>
          <w:bCs/>
          <w:lang w:val="fr-FR"/>
        </w:rPr>
        <w:t xml:space="preserve"> 24 (Émissions de polluants visibles, mesure de la puissance </w:t>
      </w:r>
      <w:r w:rsidR="00441322">
        <w:rPr>
          <w:rFonts w:eastAsia="MS Mincho"/>
          <w:b/>
          <w:bCs/>
          <w:lang w:val="fr-FR"/>
        </w:rPr>
        <w:br/>
      </w:r>
      <w:r w:rsidRPr="00031953">
        <w:rPr>
          <w:rFonts w:eastAsia="MS Mincho"/>
          <w:b/>
          <w:bCs/>
          <w:lang w:val="fr-FR"/>
        </w:rPr>
        <w:t xml:space="preserve">des moteurs à allumage par compression (fumées des moteurs diesel)), 85 (Mesure </w:t>
      </w:r>
      <w:r w:rsidR="00441322">
        <w:rPr>
          <w:rFonts w:eastAsia="MS Mincho"/>
          <w:b/>
          <w:bCs/>
          <w:lang w:val="fr-FR"/>
        </w:rPr>
        <w:br/>
      </w:r>
      <w:r w:rsidRPr="00031953">
        <w:rPr>
          <w:rFonts w:eastAsia="MS Mincho"/>
          <w:b/>
          <w:bCs/>
          <w:lang w:val="fr-FR"/>
        </w:rPr>
        <w:t>de la puissance nette), 115 (Systèmes d</w:t>
      </w:r>
      <w:r>
        <w:rPr>
          <w:rFonts w:eastAsia="MS Mincho"/>
          <w:b/>
          <w:bCs/>
          <w:lang w:val="fr-FR"/>
        </w:rPr>
        <w:t>’</w:t>
      </w:r>
      <w:r w:rsidRPr="00031953">
        <w:rPr>
          <w:rFonts w:eastAsia="MS Mincho"/>
          <w:b/>
          <w:bCs/>
          <w:lang w:val="fr-FR"/>
        </w:rPr>
        <w:t xml:space="preserve">adaptation au GPL et au GNC), </w:t>
      </w:r>
      <w:r w:rsidR="00441322">
        <w:rPr>
          <w:rFonts w:eastAsia="MS Mincho"/>
          <w:b/>
          <w:bCs/>
          <w:lang w:val="fr-FR"/>
        </w:rPr>
        <w:br/>
      </w:r>
      <w:r w:rsidRPr="00031953">
        <w:rPr>
          <w:rFonts w:eastAsia="MS Mincho"/>
          <w:b/>
          <w:bCs/>
          <w:lang w:val="fr-FR"/>
        </w:rPr>
        <w:t xml:space="preserve">133 (Aptitude au recyclage des véhicules automobiles) et 143 (Systèmes </w:t>
      </w:r>
      <w:r w:rsidR="00441322">
        <w:rPr>
          <w:rFonts w:eastAsia="MS Mincho"/>
          <w:b/>
          <w:bCs/>
          <w:lang w:val="fr-FR"/>
        </w:rPr>
        <w:br/>
      </w:r>
      <w:r w:rsidRPr="00031953">
        <w:rPr>
          <w:rFonts w:eastAsia="MS Mincho"/>
          <w:b/>
          <w:bCs/>
          <w:lang w:val="fr-FR"/>
        </w:rPr>
        <w:t>d</w:t>
      </w:r>
      <w:r>
        <w:rPr>
          <w:rFonts w:eastAsia="MS Mincho"/>
          <w:b/>
          <w:bCs/>
          <w:lang w:val="fr-FR"/>
        </w:rPr>
        <w:t>’</w:t>
      </w:r>
      <w:r w:rsidRPr="00031953">
        <w:rPr>
          <w:rFonts w:eastAsia="MS Mincho"/>
          <w:b/>
          <w:bCs/>
          <w:lang w:val="fr-FR"/>
        </w:rPr>
        <w:t>adaptation des moteurs de véhicules utilitaires lourds à la bicarburation)</w:t>
      </w:r>
    </w:p>
    <w:p w14:paraId="071B5F15" w14:textId="77777777" w:rsidR="005239C4" w:rsidRPr="00031953" w:rsidRDefault="005239C4" w:rsidP="00441322">
      <w:pPr>
        <w:pStyle w:val="HChG"/>
        <w:rPr>
          <w:lang w:val="fr-FR"/>
        </w:rPr>
      </w:pPr>
      <w:r w:rsidRPr="00031953">
        <w:rPr>
          <w:lang w:val="fr-FR"/>
        </w:rPr>
        <w:tab/>
      </w:r>
      <w:r w:rsidRPr="00031953">
        <w:rPr>
          <w:lang w:val="fr-FR"/>
        </w:rPr>
        <w:tab/>
        <w:t xml:space="preserve">Proposition de nouveau complément au texte initial </w:t>
      </w:r>
      <w:r w:rsidR="00441322">
        <w:rPr>
          <w:lang w:val="fr-FR"/>
        </w:rPr>
        <w:br/>
      </w:r>
      <w:r w:rsidRPr="00031953">
        <w:rPr>
          <w:lang w:val="fr-FR"/>
        </w:rPr>
        <w:t>du</w:t>
      </w:r>
      <w:r w:rsidRPr="00031953">
        <w:rPr>
          <w:bCs/>
          <w:lang w:val="fr-FR"/>
        </w:rPr>
        <w:t xml:space="preserve"> </w:t>
      </w:r>
      <w:bookmarkStart w:id="0" w:name="_Hlk24138342"/>
      <w:r w:rsidRPr="00031953">
        <w:rPr>
          <w:lang w:val="fr-FR"/>
        </w:rPr>
        <w:t>Règlement ONU n</w:t>
      </w:r>
      <w:r w:rsidRPr="00031953">
        <w:rPr>
          <w:vertAlign w:val="superscript"/>
          <w:lang w:val="fr-FR"/>
        </w:rPr>
        <w:t>o</w:t>
      </w:r>
      <w:r w:rsidRPr="00031953">
        <w:rPr>
          <w:lang w:val="fr-FR"/>
        </w:rPr>
        <w:t> 8</w:t>
      </w:r>
      <w:bookmarkEnd w:id="0"/>
      <w:r w:rsidRPr="00031953">
        <w:rPr>
          <w:lang w:val="fr-FR"/>
        </w:rPr>
        <w:t>5</w:t>
      </w:r>
      <w:r w:rsidRPr="00031953">
        <w:rPr>
          <w:bCs/>
          <w:lang w:val="fr-FR"/>
        </w:rPr>
        <w:t xml:space="preserve"> (</w:t>
      </w:r>
      <w:r w:rsidRPr="00031953">
        <w:rPr>
          <w:rFonts w:eastAsia="MS Mincho"/>
          <w:bCs/>
          <w:lang w:val="fr-FR"/>
        </w:rPr>
        <w:t>Mesure de la puissance nette</w:t>
      </w:r>
      <w:r w:rsidRPr="00031953">
        <w:rPr>
          <w:lang w:val="fr-FR"/>
        </w:rPr>
        <w:t>)</w:t>
      </w:r>
    </w:p>
    <w:p w14:paraId="401B5104" w14:textId="77777777" w:rsidR="005239C4" w:rsidRPr="00031953" w:rsidRDefault="005239C4" w:rsidP="00441322">
      <w:pPr>
        <w:pStyle w:val="H1G"/>
        <w:rPr>
          <w:lang w:val="fr-FR"/>
        </w:rPr>
      </w:pPr>
      <w:r w:rsidRPr="00031953">
        <w:rPr>
          <w:lang w:val="fr-FR"/>
        </w:rPr>
        <w:tab/>
      </w:r>
      <w:r w:rsidRPr="00031953">
        <w:rPr>
          <w:lang w:val="fr-FR"/>
        </w:rPr>
        <w:tab/>
        <w:t>Communication de l</w:t>
      </w:r>
      <w:r>
        <w:rPr>
          <w:lang w:val="fr-FR"/>
        </w:rPr>
        <w:t>’</w:t>
      </w:r>
      <w:r w:rsidRPr="00031953">
        <w:rPr>
          <w:lang w:val="fr-FR"/>
        </w:rPr>
        <w:t xml:space="preserve">expert de </w:t>
      </w:r>
      <w:bookmarkStart w:id="1" w:name="_Hlk24141781"/>
      <w:r w:rsidRPr="00031953">
        <w:rPr>
          <w:lang w:val="fr-FR"/>
        </w:rPr>
        <w:t>l</w:t>
      </w:r>
      <w:r>
        <w:rPr>
          <w:lang w:val="fr-FR"/>
        </w:rPr>
        <w:t>’</w:t>
      </w:r>
      <w:r w:rsidRPr="00031953">
        <w:rPr>
          <w:lang w:val="fr-FR"/>
        </w:rPr>
        <w:t xml:space="preserve">Organisation internationale </w:t>
      </w:r>
      <w:r w:rsidR="00441322">
        <w:rPr>
          <w:lang w:val="fr-FR"/>
        </w:rPr>
        <w:br/>
      </w:r>
      <w:r w:rsidRPr="00031953">
        <w:rPr>
          <w:lang w:val="fr-FR"/>
        </w:rPr>
        <w:t>des constructeurs d</w:t>
      </w:r>
      <w:r>
        <w:rPr>
          <w:lang w:val="fr-FR"/>
        </w:rPr>
        <w:t>’</w:t>
      </w:r>
      <w:r w:rsidRPr="00031953">
        <w:rPr>
          <w:lang w:val="fr-FR"/>
        </w:rPr>
        <w:t>automobiles</w:t>
      </w:r>
      <w:bookmarkEnd w:id="1"/>
      <w:r w:rsidR="00441322" w:rsidRPr="00441322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72FFDC9E" w14:textId="77777777" w:rsidR="00441322" w:rsidRDefault="005239C4" w:rsidP="00441322">
      <w:pPr>
        <w:pStyle w:val="SingleTxtG"/>
        <w:ind w:firstLine="567"/>
        <w:rPr>
          <w:lang w:val="fr-FR"/>
        </w:rPr>
      </w:pPr>
      <w:r w:rsidRPr="00031953">
        <w:rPr>
          <w:lang w:val="fr-FR"/>
        </w:rPr>
        <w:t>Le texte ci-après a été établi par l</w:t>
      </w:r>
      <w:r>
        <w:rPr>
          <w:lang w:val="fr-FR"/>
        </w:rPr>
        <w:t>’</w:t>
      </w:r>
      <w:r w:rsidRPr="00031953">
        <w:rPr>
          <w:lang w:val="fr-FR"/>
        </w:rPr>
        <w:t>expert de l</w:t>
      </w:r>
      <w:r>
        <w:rPr>
          <w:lang w:val="fr-FR"/>
        </w:rPr>
        <w:t>’</w:t>
      </w:r>
      <w:r w:rsidRPr="00031953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031953">
        <w:rPr>
          <w:lang w:val="fr-FR"/>
        </w:rPr>
        <w:t>automobiles (OICA). Il y est proposé d</w:t>
      </w:r>
      <w:r>
        <w:rPr>
          <w:lang w:val="fr-FR"/>
        </w:rPr>
        <w:t>’</w:t>
      </w:r>
      <w:r w:rsidRPr="00031953">
        <w:rPr>
          <w:lang w:val="fr-FR"/>
        </w:rPr>
        <w:t>autoriser l</w:t>
      </w:r>
      <w:r>
        <w:rPr>
          <w:lang w:val="fr-FR"/>
        </w:rPr>
        <w:t>’</w:t>
      </w:r>
      <w:r w:rsidRPr="00031953">
        <w:rPr>
          <w:lang w:val="fr-FR"/>
        </w:rPr>
        <w:t xml:space="preserve">utilisation des carburants de référence gazeux définis dans le </w:t>
      </w:r>
      <w:bookmarkStart w:id="2" w:name="_Hlk24140966"/>
      <w:r w:rsidRPr="00031953">
        <w:rPr>
          <w:lang w:val="fr-FR"/>
        </w:rPr>
        <w:t>Règlement ONU n</w:t>
      </w:r>
      <w:r w:rsidRPr="00031953">
        <w:rPr>
          <w:vertAlign w:val="superscript"/>
          <w:lang w:val="fr-FR"/>
        </w:rPr>
        <w:t>o</w:t>
      </w:r>
      <w:r w:rsidRPr="00031953">
        <w:rPr>
          <w:lang w:val="fr-FR"/>
        </w:rPr>
        <w:t> </w:t>
      </w:r>
      <w:bookmarkEnd w:id="2"/>
      <w:r w:rsidRPr="00031953">
        <w:rPr>
          <w:lang w:val="fr-FR"/>
        </w:rPr>
        <w:t>83 afin de faciliter les essais. Les modifications qu</w:t>
      </w:r>
      <w:r>
        <w:rPr>
          <w:lang w:val="fr-FR"/>
        </w:rPr>
        <w:t>’</w:t>
      </w:r>
      <w:r w:rsidRPr="00031953">
        <w:rPr>
          <w:lang w:val="fr-FR"/>
        </w:rPr>
        <w:t>il est proposé d</w:t>
      </w:r>
      <w:r>
        <w:rPr>
          <w:lang w:val="fr-FR"/>
        </w:rPr>
        <w:t>’</w:t>
      </w:r>
      <w:r w:rsidRPr="00031953">
        <w:rPr>
          <w:lang w:val="fr-FR"/>
        </w:rPr>
        <w:t xml:space="preserve">apporter au texte actuel du Règlement ONU </w:t>
      </w:r>
      <w:r w:rsidR="00E86210" w:rsidRPr="00E86210">
        <w:rPr>
          <w:rFonts w:eastAsia="MS Mincho"/>
          <w:szCs w:val="22"/>
          <w:lang w:val="fr-FR"/>
        </w:rPr>
        <w:t>n</w:t>
      </w:r>
      <w:r w:rsidR="00E86210" w:rsidRPr="00E86210">
        <w:rPr>
          <w:rFonts w:eastAsia="MS Mincho"/>
          <w:szCs w:val="22"/>
          <w:vertAlign w:val="superscript"/>
          <w:lang w:val="fr-FR"/>
        </w:rPr>
        <w:t>o</w:t>
      </w:r>
      <w:r w:rsidR="00E86210">
        <w:rPr>
          <w:lang w:val="fr-FR"/>
        </w:rPr>
        <w:t> </w:t>
      </w:r>
      <w:r w:rsidRPr="00031953">
        <w:rPr>
          <w:lang w:val="fr-FR"/>
        </w:rPr>
        <w:t xml:space="preserve">85 figurent en caractères gras pour les ajouts et biffés pour les suppressions. </w:t>
      </w:r>
    </w:p>
    <w:p w14:paraId="5CBF9541" w14:textId="77777777" w:rsidR="005239C4" w:rsidRPr="00031953" w:rsidRDefault="00441322" w:rsidP="002679FB">
      <w:pPr>
        <w:pStyle w:val="HChG"/>
        <w:rPr>
          <w:lang w:val="fr-FR"/>
        </w:rPr>
      </w:pPr>
      <w:r>
        <w:rPr>
          <w:lang w:val="fr-FR"/>
        </w:rPr>
        <w:br w:type="page"/>
      </w:r>
      <w:r w:rsidR="002679FB">
        <w:rPr>
          <w:lang w:val="fr-FR"/>
        </w:rPr>
        <w:lastRenderedPageBreak/>
        <w:tab/>
      </w:r>
      <w:r w:rsidR="005239C4" w:rsidRPr="00031953">
        <w:rPr>
          <w:lang w:val="fr-FR"/>
        </w:rPr>
        <w:t>I.</w:t>
      </w:r>
      <w:r w:rsidR="005239C4" w:rsidRPr="00031953">
        <w:rPr>
          <w:lang w:val="fr-FR"/>
        </w:rPr>
        <w:tab/>
        <w:t>Proposition</w:t>
      </w:r>
    </w:p>
    <w:p w14:paraId="3CCDC232" w14:textId="77777777" w:rsidR="005239C4" w:rsidRPr="00031953" w:rsidRDefault="005239C4" w:rsidP="002679FB">
      <w:pPr>
        <w:pStyle w:val="SingleTxtG"/>
        <w:rPr>
          <w:lang w:val="fr-FR" w:eastAsia="ja-JP"/>
        </w:rPr>
      </w:pPr>
      <w:r w:rsidRPr="002679FB">
        <w:rPr>
          <w:i/>
          <w:lang w:val="fr-FR"/>
        </w:rPr>
        <w:t>Paragraphe 5.2.3.3.1</w:t>
      </w:r>
      <w:r w:rsidRPr="00031953">
        <w:rPr>
          <w:lang w:val="fr-FR" w:eastAsia="ja-JP"/>
        </w:rPr>
        <w:t>, lire :</w:t>
      </w:r>
    </w:p>
    <w:p w14:paraId="3C9FBB00" w14:textId="77777777" w:rsidR="005239C4" w:rsidRPr="00031953" w:rsidRDefault="002679FB" w:rsidP="002679FB">
      <w:pPr>
        <w:pStyle w:val="SingleTxtG"/>
        <w:ind w:left="2268" w:hanging="1134"/>
        <w:rPr>
          <w:lang w:val="fr-FR" w:eastAsia="ja-JP"/>
        </w:rPr>
      </w:pPr>
      <w:r>
        <w:rPr>
          <w:lang w:val="fr-FR"/>
        </w:rPr>
        <w:t>« </w:t>
      </w:r>
      <w:r w:rsidR="005239C4" w:rsidRPr="00031953">
        <w:rPr>
          <w:lang w:val="fr-FR"/>
        </w:rPr>
        <w:t>5.2.3.3.1</w:t>
      </w:r>
      <w:r w:rsidR="005239C4" w:rsidRPr="00031953">
        <w:rPr>
          <w:lang w:val="fr-FR"/>
        </w:rPr>
        <w:tab/>
      </w:r>
      <w:r w:rsidR="005239C4" w:rsidRPr="00031953">
        <w:rPr>
          <w:lang w:val="fr-FR" w:eastAsia="ja-JP"/>
        </w:rPr>
        <w:t>Dans le cas d</w:t>
      </w:r>
      <w:r w:rsidR="005239C4">
        <w:rPr>
          <w:lang w:val="fr-FR" w:eastAsia="ja-JP"/>
        </w:rPr>
        <w:t>’</w:t>
      </w:r>
      <w:r w:rsidR="005239C4" w:rsidRPr="00031953">
        <w:rPr>
          <w:lang w:val="fr-FR" w:eastAsia="ja-JP"/>
        </w:rPr>
        <w:t>un moteur à alimentation auto-adaptable</w:t>
      </w:r>
      <w:r w:rsidR="00E86210">
        <w:rPr>
          <w:lang w:val="fr-FR" w:eastAsia="ja-JP"/>
        </w:rPr>
        <w:t> </w:t>
      </w:r>
      <w:r w:rsidR="005239C4" w:rsidRPr="00031953">
        <w:rPr>
          <w:lang w:val="fr-FR" w:eastAsia="ja-JP"/>
        </w:rPr>
        <w:t>:</w:t>
      </w:r>
    </w:p>
    <w:p w14:paraId="56D5C9BD" w14:textId="77777777" w:rsidR="005239C4" w:rsidRDefault="005239C4" w:rsidP="00697635">
      <w:pPr>
        <w:pStyle w:val="SingleTxtG"/>
        <w:ind w:left="2268"/>
        <w:rPr>
          <w:lang w:val="fr-FR" w:eastAsia="ja-JP"/>
        </w:rPr>
      </w:pPr>
      <w:r w:rsidRPr="00031953">
        <w:rPr>
          <w:lang w:val="fr-FR" w:eastAsia="ja-JP"/>
        </w:rPr>
        <w:t>Le carbur</w:t>
      </w:r>
      <w:bookmarkStart w:id="3" w:name="_GoBack"/>
      <w:bookmarkEnd w:id="3"/>
      <w:r w:rsidRPr="00031953">
        <w:rPr>
          <w:lang w:val="fr-FR" w:eastAsia="ja-JP"/>
        </w:rPr>
        <w:t>ant utilisé est celui qui est disponible sur le marché. En cas de contestation, on choisit l</w:t>
      </w:r>
      <w:r>
        <w:rPr>
          <w:lang w:val="fr-FR" w:eastAsia="ja-JP"/>
        </w:rPr>
        <w:t>’</w:t>
      </w:r>
      <w:r w:rsidRPr="00031953">
        <w:rPr>
          <w:lang w:val="fr-FR" w:eastAsia="ja-JP"/>
        </w:rPr>
        <w:t>un des carburants de référence définis à l</w:t>
      </w:r>
      <w:r>
        <w:rPr>
          <w:lang w:val="fr-FR" w:eastAsia="ja-JP"/>
        </w:rPr>
        <w:t>’</w:t>
      </w:r>
      <w:r w:rsidRPr="00031953">
        <w:rPr>
          <w:lang w:val="fr-FR" w:eastAsia="ja-JP"/>
        </w:rPr>
        <w:t>annexe 8</w:t>
      </w:r>
      <w:r w:rsidRPr="00031953">
        <w:rPr>
          <w:b/>
          <w:bCs/>
          <w:lang w:val="fr-FR" w:eastAsia="ja-JP"/>
        </w:rPr>
        <w:t xml:space="preserve"> </w:t>
      </w:r>
      <w:bookmarkStart w:id="4" w:name="_Hlk24142439"/>
      <w:r w:rsidRPr="00031953">
        <w:rPr>
          <w:b/>
          <w:bCs/>
          <w:lang w:val="fr-FR" w:eastAsia="ja-JP"/>
        </w:rPr>
        <w:t xml:space="preserve">ou, au choix du constructeur, </w:t>
      </w:r>
      <w:bookmarkEnd w:id="4"/>
      <w:r w:rsidRPr="00031953">
        <w:rPr>
          <w:b/>
          <w:bCs/>
          <w:lang w:val="fr-FR" w:eastAsia="ja-JP"/>
        </w:rPr>
        <w:t>l</w:t>
      </w:r>
      <w:r>
        <w:rPr>
          <w:b/>
          <w:bCs/>
          <w:lang w:val="fr-FR" w:eastAsia="ja-JP"/>
        </w:rPr>
        <w:t>’</w:t>
      </w:r>
      <w:r w:rsidRPr="00031953">
        <w:rPr>
          <w:b/>
          <w:bCs/>
          <w:lang w:val="fr-FR" w:eastAsia="ja-JP"/>
        </w:rPr>
        <w:t>un des carburants de référence définis au paragraphe 1.2 de l</w:t>
      </w:r>
      <w:r>
        <w:rPr>
          <w:b/>
          <w:bCs/>
          <w:lang w:val="fr-FR" w:eastAsia="ja-JP"/>
        </w:rPr>
        <w:t>’</w:t>
      </w:r>
      <w:r w:rsidRPr="00031953">
        <w:rPr>
          <w:b/>
          <w:bCs/>
          <w:lang w:val="fr-FR" w:eastAsia="ja-JP"/>
        </w:rPr>
        <w:t xml:space="preserve">annexe 10a </w:t>
      </w:r>
      <w:r>
        <w:rPr>
          <w:b/>
          <w:bCs/>
          <w:lang w:val="fr-FR" w:eastAsia="ja-JP"/>
        </w:rPr>
        <w:t>d</w:t>
      </w:r>
      <w:r w:rsidRPr="00031953">
        <w:rPr>
          <w:b/>
          <w:bCs/>
          <w:lang w:val="fr-FR" w:eastAsia="ja-JP"/>
        </w:rPr>
        <w:t xml:space="preserve">u </w:t>
      </w:r>
      <w:r w:rsidRPr="00031953">
        <w:rPr>
          <w:b/>
          <w:bCs/>
          <w:lang w:val="fr-FR"/>
        </w:rPr>
        <w:t>Règlement ONU n</w:t>
      </w:r>
      <w:r w:rsidRPr="00031953">
        <w:rPr>
          <w:b/>
          <w:bCs/>
          <w:vertAlign w:val="superscript"/>
          <w:lang w:val="fr-FR"/>
        </w:rPr>
        <w:t>o</w:t>
      </w:r>
      <w:r w:rsidRPr="00031953">
        <w:rPr>
          <w:b/>
          <w:bCs/>
          <w:lang w:val="fr-FR"/>
        </w:rPr>
        <w:t> </w:t>
      </w:r>
      <w:r w:rsidRPr="00031953">
        <w:rPr>
          <w:b/>
          <w:bCs/>
          <w:lang w:val="fr-FR" w:eastAsia="ja-JP"/>
        </w:rPr>
        <w:t>83 ou dans le tableau “Type</w:t>
      </w:r>
      <w:r w:rsidR="00C37499">
        <w:rPr>
          <w:b/>
          <w:bCs/>
          <w:lang w:val="fr-FR" w:eastAsia="ja-JP"/>
        </w:rPr>
        <w:t> </w:t>
      </w:r>
      <w:r w:rsidRPr="00031953">
        <w:rPr>
          <w:b/>
          <w:bCs/>
          <w:lang w:val="fr-FR" w:eastAsia="ja-JP"/>
        </w:rPr>
        <w:t>: Gaz naturel/biométhane” qui figure dans l</w:t>
      </w:r>
      <w:r>
        <w:rPr>
          <w:b/>
          <w:bCs/>
          <w:lang w:val="fr-FR" w:eastAsia="ja-JP"/>
        </w:rPr>
        <w:t>’</w:t>
      </w:r>
      <w:r w:rsidRPr="00031953">
        <w:rPr>
          <w:b/>
          <w:bCs/>
          <w:lang w:val="fr-FR" w:eastAsia="ja-JP"/>
        </w:rPr>
        <w:t xml:space="preserve">annexe 5 </w:t>
      </w:r>
      <w:r>
        <w:rPr>
          <w:b/>
          <w:bCs/>
          <w:lang w:val="fr-FR" w:eastAsia="ja-JP"/>
        </w:rPr>
        <w:t>d</w:t>
      </w:r>
      <w:r w:rsidRPr="00031953">
        <w:rPr>
          <w:b/>
          <w:bCs/>
          <w:lang w:val="fr-FR" w:eastAsia="ja-JP"/>
        </w:rPr>
        <w:t xml:space="preserve">u </w:t>
      </w:r>
      <w:r w:rsidRPr="00031953">
        <w:rPr>
          <w:b/>
          <w:bCs/>
          <w:lang w:val="fr-FR"/>
        </w:rPr>
        <w:t>Règlement ONU n</w:t>
      </w:r>
      <w:r w:rsidRPr="00031953">
        <w:rPr>
          <w:b/>
          <w:bCs/>
          <w:vertAlign w:val="superscript"/>
          <w:lang w:val="fr-FR"/>
        </w:rPr>
        <w:t>o</w:t>
      </w:r>
      <w:r w:rsidRPr="00031953">
        <w:rPr>
          <w:b/>
          <w:bCs/>
          <w:lang w:val="fr-FR"/>
        </w:rPr>
        <w:t> </w:t>
      </w:r>
      <w:r w:rsidRPr="00031953">
        <w:rPr>
          <w:b/>
          <w:bCs/>
          <w:lang w:val="fr-FR" w:eastAsia="ja-JP"/>
        </w:rPr>
        <w:t>49</w:t>
      </w:r>
      <w:r w:rsidR="00E86210">
        <w:rPr>
          <w:b/>
          <w:bCs/>
          <w:lang w:val="fr-FR" w:eastAsia="ja-JP"/>
        </w:rPr>
        <w:t> </w:t>
      </w:r>
      <w:r w:rsidRPr="00031953">
        <w:rPr>
          <w:b/>
          <w:bCs/>
          <w:lang w:val="fr-FR" w:eastAsia="ja-JP"/>
        </w:rPr>
        <w:t>;</w:t>
      </w:r>
      <w:r w:rsidR="00697635">
        <w:rPr>
          <w:b/>
          <w:bCs/>
          <w:lang w:val="fr-FR"/>
        </w:rPr>
        <w:t> »</w:t>
      </w:r>
      <w:r w:rsidR="00E86210">
        <w:rPr>
          <w:b/>
          <w:bCs/>
          <w:lang w:val="fr-FR"/>
        </w:rPr>
        <w:t> :</w:t>
      </w:r>
    </w:p>
    <w:p w14:paraId="62A93039" w14:textId="77777777" w:rsidR="005239C4" w:rsidRPr="00031953" w:rsidRDefault="005239C4" w:rsidP="00697635">
      <w:pPr>
        <w:pStyle w:val="SingleTxtG"/>
        <w:rPr>
          <w:i/>
          <w:lang w:val="fr-FR" w:eastAsia="ja-JP"/>
        </w:rPr>
      </w:pPr>
      <w:r w:rsidRPr="00031953">
        <w:rPr>
          <w:i/>
          <w:lang w:val="fr-FR"/>
        </w:rPr>
        <w:t>Paragraphe 5.2.3.3.2</w:t>
      </w:r>
      <w:r w:rsidRPr="00211C4F">
        <w:rPr>
          <w:lang w:val="fr-FR" w:eastAsia="ja-JP"/>
        </w:rPr>
        <w:t xml:space="preserve">, </w:t>
      </w:r>
      <w:r w:rsidRPr="00031953">
        <w:rPr>
          <w:lang w:val="fr-FR" w:eastAsia="ja-JP"/>
        </w:rPr>
        <w:t>lire :</w:t>
      </w:r>
      <w:r w:rsidRPr="00031953">
        <w:rPr>
          <w:lang w:val="fr-FR"/>
        </w:rPr>
        <w:t xml:space="preserve"> </w:t>
      </w:r>
    </w:p>
    <w:p w14:paraId="0FABEF60" w14:textId="77777777" w:rsidR="005239C4" w:rsidRPr="00031953" w:rsidRDefault="00697635" w:rsidP="00697635">
      <w:pPr>
        <w:pStyle w:val="SingleTxtG"/>
        <w:ind w:left="2268" w:hanging="1134"/>
        <w:rPr>
          <w:lang w:val="fr-FR" w:eastAsia="ja-JP"/>
        </w:rPr>
      </w:pPr>
      <w:r>
        <w:rPr>
          <w:lang w:val="fr-FR"/>
        </w:rPr>
        <w:t>« </w:t>
      </w:r>
      <w:r w:rsidR="005239C4" w:rsidRPr="00031953">
        <w:rPr>
          <w:lang w:val="fr-FR"/>
        </w:rPr>
        <w:t>5.2.3.3.2</w:t>
      </w:r>
      <w:r w:rsidR="005239C4" w:rsidRPr="00031953">
        <w:rPr>
          <w:lang w:val="fr-FR"/>
        </w:rPr>
        <w:tab/>
      </w:r>
      <w:r w:rsidR="005239C4" w:rsidRPr="00031953">
        <w:rPr>
          <w:lang w:val="fr-FR" w:eastAsia="ja-JP"/>
        </w:rPr>
        <w:t>Dans le cas d</w:t>
      </w:r>
      <w:r w:rsidR="005239C4">
        <w:rPr>
          <w:lang w:val="fr-FR" w:eastAsia="ja-JP"/>
        </w:rPr>
        <w:t>’</w:t>
      </w:r>
      <w:r w:rsidR="005239C4" w:rsidRPr="00031953">
        <w:rPr>
          <w:lang w:val="fr-FR" w:eastAsia="ja-JP"/>
        </w:rPr>
        <w:t>un moteur sans alimentation auto-adaptable :</w:t>
      </w:r>
    </w:p>
    <w:p w14:paraId="520AE23B" w14:textId="77777777" w:rsidR="005239C4" w:rsidRPr="00031953" w:rsidRDefault="005239C4" w:rsidP="00697635">
      <w:pPr>
        <w:pStyle w:val="SingleTxtG"/>
        <w:ind w:left="2268"/>
        <w:rPr>
          <w:lang w:val="fr-FR" w:eastAsia="ja-JP"/>
        </w:rPr>
      </w:pPr>
      <w:r w:rsidRPr="00031953">
        <w:rPr>
          <w:lang w:val="fr-FR" w:eastAsia="ja-JP"/>
        </w:rPr>
        <w:tab/>
        <w:t>Le carburant utilisé est un carburant disponible sur le marché, ayant un indice de Wobbe d</w:t>
      </w:r>
      <w:r>
        <w:rPr>
          <w:lang w:val="fr-FR" w:eastAsia="ja-JP"/>
        </w:rPr>
        <w:t>’</w:t>
      </w:r>
      <w:r w:rsidRPr="00031953">
        <w:rPr>
          <w:lang w:val="fr-FR" w:eastAsia="ja-JP"/>
        </w:rPr>
        <w:t>au moins 52,6 MJm</w:t>
      </w:r>
      <w:r w:rsidRPr="00031953">
        <w:rPr>
          <w:vertAlign w:val="superscript"/>
          <w:lang w:val="fr-FR" w:eastAsia="ja-JP"/>
        </w:rPr>
        <w:t>-3</w:t>
      </w:r>
      <w:r w:rsidRPr="00031953">
        <w:rPr>
          <w:lang w:val="fr-FR" w:eastAsia="ja-JP"/>
        </w:rPr>
        <w:t xml:space="preserve"> (4 °C, 101,3 kPa). En cas de contestation, on choisit </w:t>
      </w:r>
      <w:bookmarkStart w:id="5" w:name="_Hlk24142469"/>
      <w:r w:rsidRPr="00031953">
        <w:rPr>
          <w:lang w:val="fr-FR" w:eastAsia="ja-JP"/>
        </w:rPr>
        <w:t xml:space="preserve">le carburant de référence G20 défini </w:t>
      </w:r>
      <w:bookmarkEnd w:id="5"/>
      <w:r w:rsidRPr="00031953">
        <w:rPr>
          <w:lang w:val="fr-FR" w:eastAsia="ja-JP"/>
        </w:rPr>
        <w:t>à l</w:t>
      </w:r>
      <w:r>
        <w:rPr>
          <w:lang w:val="fr-FR" w:eastAsia="ja-JP"/>
        </w:rPr>
        <w:t>’</w:t>
      </w:r>
      <w:r w:rsidRPr="00031953">
        <w:rPr>
          <w:lang w:val="fr-FR" w:eastAsia="ja-JP"/>
        </w:rPr>
        <w:t>annexe 8</w:t>
      </w:r>
      <w:r w:rsidRPr="00031953">
        <w:rPr>
          <w:b/>
          <w:bCs/>
          <w:lang w:val="fr-FR" w:eastAsia="ja-JP"/>
        </w:rPr>
        <w:t xml:space="preserve"> ou, au choix du constructeur, le carburant de référence G20 défini au paragraphe 1.2 de l</w:t>
      </w:r>
      <w:r>
        <w:rPr>
          <w:b/>
          <w:bCs/>
          <w:lang w:val="fr-FR" w:eastAsia="ja-JP"/>
        </w:rPr>
        <w:t>’</w:t>
      </w:r>
      <w:r w:rsidRPr="00031953">
        <w:rPr>
          <w:b/>
          <w:bCs/>
          <w:lang w:val="fr-FR" w:eastAsia="ja-JP"/>
        </w:rPr>
        <w:t xml:space="preserve">annexe 10a </w:t>
      </w:r>
      <w:r>
        <w:rPr>
          <w:b/>
          <w:bCs/>
          <w:lang w:val="fr-FR" w:eastAsia="ja-JP"/>
        </w:rPr>
        <w:t>d</w:t>
      </w:r>
      <w:r w:rsidRPr="00031953">
        <w:rPr>
          <w:b/>
          <w:bCs/>
          <w:lang w:val="fr-FR" w:eastAsia="ja-JP"/>
        </w:rPr>
        <w:t>u Règlement ONU n</w:t>
      </w:r>
      <w:r w:rsidRPr="00031953">
        <w:rPr>
          <w:b/>
          <w:bCs/>
          <w:vertAlign w:val="superscript"/>
          <w:lang w:val="fr-FR" w:eastAsia="ja-JP"/>
        </w:rPr>
        <w:t>o</w:t>
      </w:r>
      <w:r w:rsidRPr="00031953">
        <w:rPr>
          <w:b/>
          <w:bCs/>
          <w:lang w:val="fr-FR" w:eastAsia="ja-JP"/>
        </w:rPr>
        <w:t> 83 ou dans le tableau “Type</w:t>
      </w:r>
      <w:r w:rsidR="00C37499">
        <w:rPr>
          <w:b/>
          <w:bCs/>
          <w:lang w:val="fr-FR" w:eastAsia="ja-JP"/>
        </w:rPr>
        <w:t> </w:t>
      </w:r>
      <w:r w:rsidRPr="00031953">
        <w:rPr>
          <w:b/>
          <w:bCs/>
          <w:lang w:val="fr-FR" w:eastAsia="ja-JP"/>
        </w:rPr>
        <w:t>: Gaz naturel/biométhane” qui figure dans l</w:t>
      </w:r>
      <w:r>
        <w:rPr>
          <w:b/>
          <w:bCs/>
          <w:lang w:val="fr-FR" w:eastAsia="ja-JP"/>
        </w:rPr>
        <w:t>’</w:t>
      </w:r>
      <w:r w:rsidRPr="00031953">
        <w:rPr>
          <w:b/>
          <w:bCs/>
          <w:lang w:val="fr-FR" w:eastAsia="ja-JP"/>
        </w:rPr>
        <w:t xml:space="preserve">annexe 5 </w:t>
      </w:r>
      <w:r>
        <w:rPr>
          <w:b/>
          <w:bCs/>
          <w:lang w:val="fr-FR" w:eastAsia="ja-JP"/>
        </w:rPr>
        <w:t>d</w:t>
      </w:r>
      <w:r w:rsidRPr="00031953">
        <w:rPr>
          <w:b/>
          <w:bCs/>
          <w:lang w:val="fr-FR" w:eastAsia="ja-JP"/>
        </w:rPr>
        <w:t>u Règlement ONU</w:t>
      </w:r>
      <w:r w:rsidR="00E86210">
        <w:rPr>
          <w:b/>
          <w:bCs/>
          <w:lang w:val="fr-FR" w:eastAsia="ja-JP"/>
        </w:rPr>
        <w:t> </w:t>
      </w:r>
      <w:r w:rsidRPr="00031953">
        <w:rPr>
          <w:b/>
          <w:bCs/>
          <w:lang w:val="fr-FR" w:eastAsia="ja-JP"/>
        </w:rPr>
        <w:t>n</w:t>
      </w:r>
      <w:r w:rsidRPr="00031953">
        <w:rPr>
          <w:b/>
          <w:bCs/>
          <w:vertAlign w:val="superscript"/>
          <w:lang w:val="fr-FR" w:eastAsia="ja-JP"/>
        </w:rPr>
        <w:t>o</w:t>
      </w:r>
      <w:r w:rsidRPr="00031953">
        <w:rPr>
          <w:b/>
          <w:bCs/>
          <w:lang w:val="fr-FR" w:eastAsia="ja-JP"/>
        </w:rPr>
        <w:t> 49</w:t>
      </w:r>
      <w:r w:rsidRPr="00031953">
        <w:rPr>
          <w:lang w:val="fr-FR" w:eastAsia="ja-JP"/>
        </w:rPr>
        <w:t>, c</w:t>
      </w:r>
      <w:r>
        <w:rPr>
          <w:lang w:val="fr-FR" w:eastAsia="ja-JP"/>
        </w:rPr>
        <w:t>’</w:t>
      </w:r>
      <w:r w:rsidRPr="00031953">
        <w:rPr>
          <w:lang w:val="fr-FR" w:eastAsia="ja-JP"/>
        </w:rPr>
        <w:t>est-à-dire le carburant de plus fort indice de Wobbe, ou</w:t>
      </w:r>
      <w:r w:rsidR="00697635">
        <w:rPr>
          <w:lang w:val="fr-FR" w:eastAsia="ja-JP"/>
        </w:rPr>
        <w:t> »</w:t>
      </w:r>
      <w:r w:rsidR="00E86210">
        <w:rPr>
          <w:lang w:val="fr-FR" w:eastAsia="ja-JP"/>
        </w:rPr>
        <w:t>.</w:t>
      </w:r>
    </w:p>
    <w:p w14:paraId="0695DFA8" w14:textId="77777777" w:rsidR="005239C4" w:rsidRPr="00031953" w:rsidRDefault="00697635" w:rsidP="00697635">
      <w:pPr>
        <w:pStyle w:val="HChG"/>
        <w:rPr>
          <w:lang w:val="fr-FR"/>
        </w:rPr>
      </w:pPr>
      <w:r>
        <w:rPr>
          <w:lang w:val="fr-FR"/>
        </w:rPr>
        <w:tab/>
      </w:r>
      <w:r w:rsidR="005239C4" w:rsidRPr="00031953">
        <w:rPr>
          <w:lang w:val="fr-FR"/>
        </w:rPr>
        <w:t>II.</w:t>
      </w:r>
      <w:r w:rsidR="005239C4" w:rsidRPr="00031953">
        <w:rPr>
          <w:lang w:val="fr-FR"/>
        </w:rPr>
        <w:tab/>
        <w:t>Justification</w:t>
      </w:r>
    </w:p>
    <w:p w14:paraId="3EB1EAED" w14:textId="77777777" w:rsidR="005239C4" w:rsidRPr="00031953" w:rsidRDefault="005239C4" w:rsidP="00697635">
      <w:pPr>
        <w:pStyle w:val="SingleTxtG"/>
        <w:rPr>
          <w:lang w:val="fr-FR"/>
        </w:rPr>
      </w:pPr>
      <w:r w:rsidRPr="00031953">
        <w:rPr>
          <w:lang w:val="fr-FR"/>
        </w:rPr>
        <w:t>1.</w:t>
      </w:r>
      <w:r w:rsidRPr="00031953">
        <w:rPr>
          <w:lang w:val="fr-FR"/>
        </w:rPr>
        <w:tab/>
        <w:t>Il n</w:t>
      </w:r>
      <w:r>
        <w:rPr>
          <w:lang w:val="fr-FR"/>
        </w:rPr>
        <w:t>’</w:t>
      </w:r>
      <w:r w:rsidRPr="00031953">
        <w:rPr>
          <w:lang w:val="fr-FR"/>
        </w:rPr>
        <w:t xml:space="preserve">y a pas de chevauchement entre les carburants de référence actuellement définis dans le Règlement ONU </w:t>
      </w:r>
      <w:r w:rsidR="00E86210" w:rsidRPr="00E86210">
        <w:rPr>
          <w:rFonts w:eastAsia="MS Mincho"/>
          <w:szCs w:val="22"/>
          <w:lang w:val="fr-FR"/>
        </w:rPr>
        <w:t>n</w:t>
      </w:r>
      <w:r w:rsidR="00E86210" w:rsidRPr="00E86210">
        <w:rPr>
          <w:rFonts w:eastAsia="MS Mincho"/>
          <w:szCs w:val="22"/>
          <w:vertAlign w:val="superscript"/>
          <w:lang w:val="fr-FR"/>
        </w:rPr>
        <w:t>o</w:t>
      </w:r>
      <w:r w:rsidR="00E86210">
        <w:rPr>
          <w:lang w:val="fr-FR"/>
        </w:rPr>
        <w:t> </w:t>
      </w:r>
      <w:r w:rsidRPr="00031953">
        <w:rPr>
          <w:lang w:val="fr-FR"/>
        </w:rPr>
        <w:t xml:space="preserve">85 et ceux qui le sont dans les Règlements </w:t>
      </w:r>
      <w:r w:rsidRPr="00031953">
        <w:rPr>
          <w:rFonts w:eastAsia="MS Mincho"/>
          <w:bCs/>
          <w:lang w:val="fr-FR"/>
        </w:rPr>
        <w:t xml:space="preserve">ONU </w:t>
      </w:r>
      <w:r w:rsidR="00E86210" w:rsidRPr="00E86210">
        <w:rPr>
          <w:rFonts w:eastAsia="MS Mincho"/>
          <w:bCs/>
          <w:szCs w:val="22"/>
          <w:lang w:val="fr-FR"/>
        </w:rPr>
        <w:t>n</w:t>
      </w:r>
      <w:r w:rsidR="00E86210" w:rsidRPr="00E86210">
        <w:rPr>
          <w:rFonts w:eastAsia="MS Mincho"/>
          <w:bCs/>
          <w:szCs w:val="22"/>
          <w:vertAlign w:val="superscript"/>
          <w:lang w:val="fr-FR"/>
        </w:rPr>
        <w:t>o</w:t>
      </w:r>
      <w:r w:rsidR="00E86210">
        <w:rPr>
          <w:rFonts w:eastAsia="MS Mincho"/>
          <w:bCs/>
          <w:lang w:val="fr-FR"/>
        </w:rPr>
        <w:t> </w:t>
      </w:r>
      <w:r w:rsidRPr="00031953">
        <w:rPr>
          <w:lang w:val="fr-FR"/>
        </w:rPr>
        <w:t xml:space="preserve">83 et </w:t>
      </w:r>
      <w:r w:rsidR="00E86210" w:rsidRPr="00E86210">
        <w:rPr>
          <w:rFonts w:eastAsia="MS Mincho"/>
          <w:szCs w:val="22"/>
          <w:lang w:val="fr-FR"/>
        </w:rPr>
        <w:t>n</w:t>
      </w:r>
      <w:r w:rsidR="00E86210" w:rsidRPr="00E86210">
        <w:rPr>
          <w:rFonts w:eastAsia="MS Mincho"/>
          <w:szCs w:val="22"/>
          <w:vertAlign w:val="superscript"/>
          <w:lang w:val="fr-FR"/>
        </w:rPr>
        <w:t>o</w:t>
      </w:r>
      <w:r w:rsidR="00E86210">
        <w:rPr>
          <w:lang w:val="fr-FR"/>
        </w:rPr>
        <w:t> </w:t>
      </w:r>
      <w:r w:rsidRPr="00031953">
        <w:rPr>
          <w:lang w:val="fr-FR"/>
        </w:rPr>
        <w:t>49 (voir ci-après)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848"/>
        <w:gridCol w:w="1284"/>
        <w:gridCol w:w="1335"/>
        <w:gridCol w:w="1477"/>
      </w:tblGrid>
      <w:tr w:rsidR="00697635" w:rsidRPr="00697635" w14:paraId="2F06EC3F" w14:textId="77777777" w:rsidTr="00697635">
        <w:trPr>
          <w:tblHeader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5718" w14:textId="77777777" w:rsidR="005239C4" w:rsidRPr="00697635" w:rsidRDefault="005239C4" w:rsidP="000D072C">
            <w:pPr>
              <w:spacing w:before="120" w:after="120"/>
              <w:ind w:right="113"/>
              <w:rPr>
                <w:i/>
                <w:sz w:val="16"/>
                <w:lang w:val="fr-FR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01B1E" w14:textId="77777777" w:rsidR="005239C4" w:rsidRPr="00697635" w:rsidRDefault="005239C4" w:rsidP="000D072C">
            <w:pPr>
              <w:spacing w:before="120" w:after="120"/>
              <w:ind w:right="113"/>
              <w:jc w:val="right"/>
              <w:rPr>
                <w:i/>
                <w:sz w:val="16"/>
                <w:lang w:val="fr-FR"/>
              </w:rPr>
            </w:pPr>
            <w:r w:rsidRPr="00697635">
              <w:rPr>
                <w:i/>
                <w:sz w:val="16"/>
                <w:lang w:val="fr-FR"/>
              </w:rPr>
              <w:t>G20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4136" w14:textId="77777777" w:rsidR="005239C4" w:rsidRPr="00697635" w:rsidRDefault="005239C4" w:rsidP="000D072C">
            <w:pPr>
              <w:spacing w:before="120" w:after="120"/>
              <w:ind w:right="113"/>
              <w:jc w:val="right"/>
              <w:rPr>
                <w:i/>
                <w:sz w:val="16"/>
                <w:lang w:val="fr-FR"/>
              </w:rPr>
            </w:pPr>
            <w:r w:rsidRPr="00697635">
              <w:rPr>
                <w:i/>
                <w:sz w:val="16"/>
                <w:lang w:val="fr-FR"/>
              </w:rPr>
              <w:t>G23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A35C" w14:textId="77777777" w:rsidR="005239C4" w:rsidRPr="00697635" w:rsidRDefault="005239C4" w:rsidP="000D072C">
            <w:pPr>
              <w:spacing w:before="120" w:after="120"/>
              <w:ind w:right="113"/>
              <w:jc w:val="right"/>
              <w:rPr>
                <w:i/>
                <w:sz w:val="16"/>
                <w:lang w:val="fr-FR"/>
              </w:rPr>
            </w:pPr>
            <w:r w:rsidRPr="00697635">
              <w:rPr>
                <w:i/>
                <w:sz w:val="16"/>
                <w:lang w:val="fr-FR"/>
              </w:rPr>
              <w:t>G25</w:t>
            </w:r>
          </w:p>
        </w:tc>
      </w:tr>
      <w:tr w:rsidR="00697635" w:rsidRPr="00697635" w14:paraId="67AFAA79" w14:textId="77777777" w:rsidTr="002D354A">
        <w:tc>
          <w:tcPr>
            <w:tcW w:w="2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A1EEF9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Composition</w:t>
            </w:r>
            <w:r w:rsidR="00C37499">
              <w:rPr>
                <w:lang w:val="fr-FR"/>
              </w:rPr>
              <w:t> </w:t>
            </w:r>
            <w:r w:rsidRPr="00697635">
              <w:rPr>
                <w:lang w:val="fr-FR"/>
              </w:rPr>
              <w:t xml:space="preserve">: </w:t>
            </w:r>
          </w:p>
          <w:p w14:paraId="5A59A83D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CH</w:t>
            </w:r>
            <w:r w:rsidRPr="00697635">
              <w:rPr>
                <w:vertAlign w:val="subscript"/>
                <w:lang w:val="fr-FR"/>
              </w:rPr>
              <w:t>4</w:t>
            </w:r>
          </w:p>
          <w:p w14:paraId="3C980793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N</w:t>
            </w:r>
            <w:r w:rsidRPr="00697635">
              <w:rPr>
                <w:vertAlign w:val="subscript"/>
                <w:lang w:val="fr-FR"/>
              </w:rPr>
              <w:t>2</w:t>
            </w:r>
          </w:p>
          <w:p w14:paraId="2F675CF5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Indice de Wobbe *</w:t>
            </w:r>
          </w:p>
          <w:p w14:paraId="2B65F294" w14:textId="77777777" w:rsidR="005239C4" w:rsidRPr="00697635" w:rsidRDefault="005239C4" w:rsidP="00697635">
            <w:pPr>
              <w:spacing w:before="40" w:after="120"/>
              <w:ind w:left="113" w:right="113"/>
              <w:rPr>
                <w:color w:val="FF0000"/>
                <w:lang w:val="fr-FR"/>
              </w:rPr>
            </w:pPr>
            <w:r w:rsidRPr="00697635">
              <w:rPr>
                <w:color w:val="FF0000"/>
                <w:lang w:val="fr-FR"/>
              </w:rPr>
              <w:t>+/- 2</w:t>
            </w:r>
            <w:r w:rsidR="00E86210">
              <w:rPr>
                <w:color w:val="FF0000"/>
                <w:lang w:val="fr-FR"/>
              </w:rPr>
              <w:t> </w:t>
            </w:r>
            <w:r w:rsidRPr="00697635">
              <w:rPr>
                <w:color w:val="FF0000"/>
                <w:lang w:val="fr-FR"/>
              </w:rPr>
              <w:t>%</w:t>
            </w:r>
          </w:p>
          <w:p w14:paraId="0117EDDD" w14:textId="77777777" w:rsidR="005239C4" w:rsidRPr="00697635" w:rsidRDefault="005239C4" w:rsidP="00697635">
            <w:pPr>
              <w:spacing w:before="40" w:after="120"/>
              <w:ind w:left="113" w:right="113"/>
              <w:rPr>
                <w:color w:val="00B050"/>
                <w:lang w:val="fr-FR"/>
              </w:rPr>
            </w:pPr>
            <w:r w:rsidRPr="00697635">
              <w:rPr>
                <w:color w:val="00B050"/>
                <w:lang w:val="fr-FR"/>
              </w:rPr>
              <w:t xml:space="preserve">Règlement ONU </w:t>
            </w:r>
            <w:r w:rsidR="00E86210" w:rsidRPr="00E86210">
              <w:rPr>
                <w:rFonts w:eastAsia="MS Mincho"/>
                <w:color w:val="00B050"/>
                <w:szCs w:val="22"/>
                <w:lang w:val="fr-FR"/>
              </w:rPr>
              <w:t>n</w:t>
            </w:r>
            <w:r w:rsidR="00E86210" w:rsidRPr="00E86210">
              <w:rPr>
                <w:rFonts w:eastAsia="MS Mincho"/>
                <w:color w:val="00B050"/>
                <w:szCs w:val="22"/>
                <w:vertAlign w:val="superscript"/>
                <w:lang w:val="fr-FR"/>
              </w:rPr>
              <w:t>o</w:t>
            </w:r>
            <w:r w:rsidR="00E86210">
              <w:rPr>
                <w:color w:val="00B050"/>
                <w:lang w:val="fr-FR"/>
              </w:rPr>
              <w:t> </w:t>
            </w:r>
            <w:r w:rsidRPr="00697635">
              <w:rPr>
                <w:color w:val="00B050"/>
                <w:lang w:val="fr-FR"/>
              </w:rPr>
              <w:t>83</w:t>
            </w:r>
          </w:p>
          <w:p w14:paraId="0E0CDF73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color w:val="00B050"/>
                <w:lang w:val="fr-FR"/>
              </w:rPr>
              <w:t xml:space="preserve">Règlement ONU </w:t>
            </w:r>
            <w:r w:rsidR="00E86210" w:rsidRPr="00E86210">
              <w:rPr>
                <w:rFonts w:eastAsia="MS Mincho"/>
                <w:color w:val="00B050"/>
                <w:szCs w:val="22"/>
                <w:lang w:val="fr-FR"/>
              </w:rPr>
              <w:t>n</w:t>
            </w:r>
            <w:r w:rsidR="00E86210" w:rsidRPr="00E86210">
              <w:rPr>
                <w:rFonts w:eastAsia="MS Mincho"/>
                <w:color w:val="00B050"/>
                <w:szCs w:val="22"/>
                <w:vertAlign w:val="superscript"/>
                <w:lang w:val="fr-FR"/>
              </w:rPr>
              <w:t>o</w:t>
            </w:r>
            <w:r w:rsidR="00E86210">
              <w:rPr>
                <w:color w:val="00B050"/>
                <w:lang w:val="fr-FR"/>
              </w:rPr>
              <w:t> </w:t>
            </w:r>
            <w:r w:rsidRPr="00697635">
              <w:rPr>
                <w:color w:val="00B050"/>
                <w:lang w:val="fr-FR"/>
              </w:rPr>
              <w:t>49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E5000B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</w:p>
          <w:p w14:paraId="523F6CFD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% vol</w:t>
            </w:r>
          </w:p>
          <w:p w14:paraId="664516F0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% vol</w:t>
            </w:r>
          </w:p>
          <w:p w14:paraId="038DE270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MJ/m</w:t>
            </w:r>
            <w:r w:rsidRPr="00697635">
              <w:rPr>
                <w:vertAlign w:val="superscript"/>
                <w:lang w:val="fr-FR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348FB7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</w:p>
          <w:p w14:paraId="7C7A660C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100</w:t>
            </w:r>
          </w:p>
          <w:p w14:paraId="7EA9E340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0</w:t>
            </w:r>
          </w:p>
          <w:p w14:paraId="5680090E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53,6 ± 2 %</w:t>
            </w:r>
          </w:p>
          <w:p w14:paraId="08E85334" w14:textId="77777777" w:rsidR="005239C4" w:rsidRPr="00697635" w:rsidRDefault="005239C4" w:rsidP="00697635">
            <w:pPr>
              <w:spacing w:before="40" w:after="120"/>
              <w:ind w:left="113" w:right="113"/>
              <w:rPr>
                <w:color w:val="FF0000"/>
                <w:lang w:val="fr-FR"/>
              </w:rPr>
            </w:pPr>
            <w:r w:rsidRPr="00697635">
              <w:rPr>
                <w:color w:val="FF0000"/>
                <w:lang w:val="fr-FR"/>
              </w:rPr>
              <w:t>52,5 – 54,7</w:t>
            </w:r>
          </w:p>
          <w:p w14:paraId="53CCA1B2" w14:textId="77777777" w:rsidR="005239C4" w:rsidRPr="00697635" w:rsidRDefault="005239C4" w:rsidP="00697635">
            <w:pPr>
              <w:spacing w:before="40" w:after="120"/>
              <w:ind w:left="113" w:right="113"/>
              <w:rPr>
                <w:color w:val="00B050"/>
                <w:lang w:val="fr-FR"/>
              </w:rPr>
            </w:pPr>
            <w:r w:rsidRPr="00697635">
              <w:rPr>
                <w:color w:val="00B050"/>
                <w:lang w:val="fr-FR"/>
              </w:rPr>
              <w:t>47,2 – 49,2</w:t>
            </w:r>
          </w:p>
          <w:p w14:paraId="6C63FF28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color w:val="00B050"/>
                <w:lang w:val="fr-FR"/>
              </w:rPr>
              <w:t>47,2 – 49,2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408509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</w:p>
          <w:p w14:paraId="6D3C8C80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92,5</w:t>
            </w:r>
          </w:p>
          <w:p w14:paraId="46E6E95C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7,5</w:t>
            </w:r>
          </w:p>
          <w:p w14:paraId="239346C4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48,2 + 2 %</w:t>
            </w:r>
          </w:p>
          <w:p w14:paraId="640E8699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color w:val="FF0000"/>
                <w:lang w:val="fr-FR"/>
              </w:rPr>
              <w:t>47,2 – 49.2</w:t>
            </w:r>
          </w:p>
        </w:tc>
        <w:tc>
          <w:tcPr>
            <w:tcW w:w="14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4E7AAB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</w:p>
          <w:p w14:paraId="09C4B8DB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86</w:t>
            </w:r>
          </w:p>
          <w:p w14:paraId="5AF46F04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14</w:t>
            </w:r>
          </w:p>
          <w:p w14:paraId="6E53D4E7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lang w:val="fr-FR"/>
              </w:rPr>
              <w:t>43,9 ± 2 %</w:t>
            </w:r>
          </w:p>
          <w:p w14:paraId="211B83B4" w14:textId="77777777" w:rsidR="005239C4" w:rsidRPr="00697635" w:rsidRDefault="005239C4" w:rsidP="00697635">
            <w:pPr>
              <w:spacing w:before="40" w:after="120"/>
              <w:ind w:left="113" w:right="113"/>
              <w:rPr>
                <w:color w:val="FF0000"/>
                <w:lang w:val="fr-FR"/>
              </w:rPr>
            </w:pPr>
            <w:r w:rsidRPr="00697635">
              <w:rPr>
                <w:color w:val="FF0000"/>
                <w:lang w:val="fr-FR"/>
              </w:rPr>
              <w:t>43,0 – 44,8</w:t>
            </w:r>
          </w:p>
          <w:p w14:paraId="37984584" w14:textId="77777777" w:rsidR="005239C4" w:rsidRPr="00697635" w:rsidRDefault="005239C4" w:rsidP="00697635">
            <w:pPr>
              <w:spacing w:before="40" w:after="120"/>
              <w:ind w:left="113" w:right="113"/>
              <w:rPr>
                <w:lang w:val="fr-FR"/>
              </w:rPr>
            </w:pPr>
            <w:r w:rsidRPr="00697635">
              <w:rPr>
                <w:color w:val="00B050"/>
                <w:lang w:val="fr-FR"/>
              </w:rPr>
              <w:t>38,2 – 40,6</w:t>
            </w:r>
          </w:p>
        </w:tc>
      </w:tr>
    </w:tbl>
    <w:p w14:paraId="592BD5C6" w14:textId="77777777" w:rsidR="00F9573C" w:rsidRDefault="005239C4" w:rsidP="00697635">
      <w:pPr>
        <w:pStyle w:val="SingleTxtG"/>
        <w:spacing w:before="120"/>
        <w:rPr>
          <w:lang w:val="fr-FR"/>
        </w:rPr>
      </w:pPr>
      <w:r w:rsidRPr="00031953">
        <w:rPr>
          <w:lang w:val="fr-FR"/>
        </w:rPr>
        <w:t>2.</w:t>
      </w:r>
      <w:r w:rsidRPr="00031953">
        <w:rPr>
          <w:lang w:val="fr-FR"/>
        </w:rPr>
        <w:tab/>
        <w:t>Si l</w:t>
      </w:r>
      <w:r>
        <w:rPr>
          <w:lang w:val="fr-FR"/>
        </w:rPr>
        <w:t>’</w:t>
      </w:r>
      <w:r w:rsidRPr="00031953">
        <w:rPr>
          <w:lang w:val="fr-FR"/>
        </w:rPr>
        <w:t xml:space="preserve">utilisation des carburants de référence </w:t>
      </w:r>
      <w:r>
        <w:rPr>
          <w:lang w:val="fr-FR"/>
        </w:rPr>
        <w:t>prévu</w:t>
      </w:r>
      <w:r w:rsidR="00FC0395">
        <w:rPr>
          <w:lang w:val="fr-FR"/>
        </w:rPr>
        <w:t>s</w:t>
      </w:r>
      <w:r>
        <w:rPr>
          <w:lang w:val="fr-FR"/>
        </w:rPr>
        <w:t xml:space="preserve"> pour les essais d’émissions</w:t>
      </w:r>
      <w:r w:rsidRPr="00031953">
        <w:rPr>
          <w:lang w:val="fr-FR"/>
        </w:rPr>
        <w:t xml:space="preserve"> était autorisée, </w:t>
      </w:r>
      <w:r>
        <w:rPr>
          <w:lang w:val="fr-FR"/>
        </w:rPr>
        <w:t>les services chargés des essais d’homologation</w:t>
      </w:r>
      <w:r w:rsidRPr="00031953">
        <w:rPr>
          <w:lang w:val="fr-FR"/>
        </w:rPr>
        <w:t xml:space="preserve"> ne serai</w:t>
      </w:r>
      <w:r>
        <w:rPr>
          <w:lang w:val="fr-FR"/>
        </w:rPr>
        <w:t>en</w:t>
      </w:r>
      <w:r w:rsidRPr="00031953">
        <w:rPr>
          <w:lang w:val="fr-FR"/>
        </w:rPr>
        <w:t xml:space="preserve">t plus </w:t>
      </w:r>
      <w:r>
        <w:rPr>
          <w:lang w:val="fr-FR"/>
        </w:rPr>
        <w:t xml:space="preserve">obligés de se procurer ni de stocker </w:t>
      </w:r>
      <w:r w:rsidRPr="00031953">
        <w:rPr>
          <w:lang w:val="fr-FR"/>
        </w:rPr>
        <w:t>deux sortes de carburants de référence.</w:t>
      </w:r>
    </w:p>
    <w:p w14:paraId="01B4E367" w14:textId="77777777" w:rsidR="008A70EC" w:rsidRPr="008A70EC" w:rsidRDefault="008A70EC" w:rsidP="008A70E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70EC" w:rsidRPr="008A70EC" w:rsidSect="005239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0B638" w14:textId="77777777" w:rsidR="00B141E9" w:rsidRDefault="00B141E9" w:rsidP="00F95C08">
      <w:pPr>
        <w:spacing w:line="240" w:lineRule="auto"/>
      </w:pPr>
    </w:p>
  </w:endnote>
  <w:endnote w:type="continuationSeparator" w:id="0">
    <w:p w14:paraId="33F9DADA" w14:textId="77777777" w:rsidR="00B141E9" w:rsidRPr="00AC3823" w:rsidRDefault="00B141E9" w:rsidP="00AC3823">
      <w:pPr>
        <w:pStyle w:val="Pieddepage"/>
      </w:pPr>
    </w:p>
  </w:endnote>
  <w:endnote w:type="continuationNotice" w:id="1">
    <w:p w14:paraId="279BE422" w14:textId="77777777" w:rsidR="00B141E9" w:rsidRDefault="00B141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6D24" w14:textId="77777777" w:rsidR="005239C4" w:rsidRPr="005239C4" w:rsidRDefault="005239C4" w:rsidP="005239C4">
    <w:pPr>
      <w:pStyle w:val="Pieddepage"/>
      <w:tabs>
        <w:tab w:val="right" w:pos="9638"/>
      </w:tabs>
    </w:pPr>
    <w:r w:rsidRPr="005239C4">
      <w:rPr>
        <w:b/>
        <w:sz w:val="18"/>
      </w:rPr>
      <w:fldChar w:fldCharType="begin"/>
    </w:r>
    <w:r w:rsidRPr="005239C4">
      <w:rPr>
        <w:b/>
        <w:sz w:val="18"/>
      </w:rPr>
      <w:instrText xml:space="preserve"> PAGE  \* MERGEFORMAT </w:instrText>
    </w:r>
    <w:r w:rsidRPr="005239C4">
      <w:rPr>
        <w:b/>
        <w:sz w:val="18"/>
      </w:rPr>
      <w:fldChar w:fldCharType="separate"/>
    </w:r>
    <w:r w:rsidRPr="005239C4">
      <w:rPr>
        <w:b/>
        <w:noProof/>
        <w:sz w:val="18"/>
      </w:rPr>
      <w:t>2</w:t>
    </w:r>
    <w:r w:rsidRPr="005239C4">
      <w:rPr>
        <w:b/>
        <w:sz w:val="18"/>
      </w:rPr>
      <w:fldChar w:fldCharType="end"/>
    </w:r>
    <w:r>
      <w:rPr>
        <w:b/>
        <w:sz w:val="18"/>
      </w:rPr>
      <w:tab/>
    </w:r>
    <w:r>
      <w:t>GE.19-18892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A4C4" w14:textId="77777777" w:rsidR="005239C4" w:rsidRPr="005239C4" w:rsidRDefault="005239C4" w:rsidP="005239C4">
    <w:pPr>
      <w:pStyle w:val="Pieddepage"/>
      <w:tabs>
        <w:tab w:val="right" w:pos="9638"/>
      </w:tabs>
      <w:rPr>
        <w:b/>
        <w:sz w:val="18"/>
      </w:rPr>
    </w:pPr>
    <w:r>
      <w:t>GE.19-18892</w:t>
    </w:r>
    <w:r>
      <w:tab/>
    </w:r>
    <w:r w:rsidRPr="005239C4">
      <w:rPr>
        <w:b/>
        <w:sz w:val="18"/>
      </w:rPr>
      <w:fldChar w:fldCharType="begin"/>
    </w:r>
    <w:r w:rsidRPr="005239C4">
      <w:rPr>
        <w:b/>
        <w:sz w:val="18"/>
      </w:rPr>
      <w:instrText xml:space="preserve"> PAGE  \* MERGEFORMAT </w:instrText>
    </w:r>
    <w:r w:rsidRPr="005239C4">
      <w:rPr>
        <w:b/>
        <w:sz w:val="18"/>
      </w:rPr>
      <w:fldChar w:fldCharType="separate"/>
    </w:r>
    <w:r w:rsidRPr="005239C4">
      <w:rPr>
        <w:b/>
        <w:noProof/>
        <w:sz w:val="18"/>
      </w:rPr>
      <w:t>3</w:t>
    </w:r>
    <w:r w:rsidRPr="005239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9003F" w14:textId="77777777" w:rsidR="007F20FA" w:rsidRPr="005239C4" w:rsidRDefault="005239C4" w:rsidP="005239C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422EF98A" wp14:editId="1F280D4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19-18892  (F)</w:t>
    </w:r>
    <w:r w:rsidR="00441322">
      <w:rPr>
        <w:sz w:val="20"/>
      </w:rPr>
      <w:t xml:space="preserve">    151119    271119</w:t>
    </w:r>
    <w:r>
      <w:rPr>
        <w:sz w:val="20"/>
      </w:rPr>
      <w:br/>
    </w:r>
    <w:r w:rsidRPr="005239C4">
      <w:rPr>
        <w:rFonts w:ascii="C39T30Lfz" w:hAnsi="C39T30Lfz"/>
        <w:sz w:val="56"/>
      </w:rPr>
      <w:t></w:t>
    </w:r>
    <w:r w:rsidRPr="005239C4">
      <w:rPr>
        <w:rFonts w:ascii="C39T30Lfz" w:hAnsi="C39T30Lfz"/>
        <w:sz w:val="56"/>
      </w:rPr>
      <w:t></w:t>
    </w:r>
    <w:r w:rsidRPr="005239C4">
      <w:rPr>
        <w:rFonts w:ascii="C39T30Lfz" w:hAnsi="C39T30Lfz"/>
        <w:sz w:val="56"/>
      </w:rPr>
      <w:t></w:t>
    </w:r>
    <w:r w:rsidRPr="005239C4">
      <w:rPr>
        <w:rFonts w:ascii="C39T30Lfz" w:hAnsi="C39T30Lfz"/>
        <w:sz w:val="56"/>
      </w:rPr>
      <w:t></w:t>
    </w:r>
    <w:r w:rsidRPr="005239C4">
      <w:rPr>
        <w:rFonts w:ascii="C39T30Lfz" w:hAnsi="C39T30Lfz"/>
        <w:sz w:val="56"/>
      </w:rPr>
      <w:t></w:t>
    </w:r>
    <w:r w:rsidRPr="005239C4">
      <w:rPr>
        <w:rFonts w:ascii="C39T30Lfz" w:hAnsi="C39T30Lfz"/>
        <w:sz w:val="56"/>
      </w:rPr>
      <w:t></w:t>
    </w:r>
    <w:r w:rsidRPr="005239C4">
      <w:rPr>
        <w:rFonts w:ascii="C39T30Lfz" w:hAnsi="C39T30Lfz"/>
        <w:sz w:val="56"/>
      </w:rPr>
      <w:t></w:t>
    </w:r>
    <w:r w:rsidRPr="005239C4">
      <w:rPr>
        <w:rFonts w:ascii="C39T30Lfz" w:hAnsi="C39T30Lfz"/>
        <w:sz w:val="56"/>
      </w:rPr>
      <w:t></w:t>
    </w:r>
    <w:r w:rsidRPr="005239C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E9351EF" wp14:editId="54BB2D8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PE/2020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A9539" w14:textId="77777777" w:rsidR="00B141E9" w:rsidRPr="00AC3823" w:rsidRDefault="00B141E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3508C9" w14:textId="77777777" w:rsidR="00B141E9" w:rsidRPr="00AC3823" w:rsidRDefault="00B141E9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50F5B2" w14:textId="77777777" w:rsidR="00B141E9" w:rsidRPr="00AC3823" w:rsidRDefault="00B141E9">
      <w:pPr>
        <w:spacing w:line="240" w:lineRule="auto"/>
        <w:rPr>
          <w:sz w:val="2"/>
          <w:szCs w:val="2"/>
        </w:rPr>
      </w:pPr>
    </w:p>
  </w:footnote>
  <w:footnote w:id="2">
    <w:p w14:paraId="2BCF00AB" w14:textId="77777777" w:rsidR="00441322" w:rsidRPr="00441322" w:rsidRDefault="00441322">
      <w:pPr>
        <w:pStyle w:val="Notedebasdepage"/>
      </w:pPr>
      <w:r>
        <w:rPr>
          <w:rStyle w:val="Appelnotedebasdep"/>
        </w:rPr>
        <w:tab/>
      </w:r>
      <w:r w:rsidRPr="00441322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856CF2">
        <w:rPr>
          <w:lang w:val="fr-FR"/>
        </w:rPr>
        <w:t>Conformément au programme de travail du Comité des transports intérieurs pour 2020 tel qu’il figure dans le projet de budget-programme pour 2020 (A/74/6 (partie V, sect. 20), par 20.37), le Forum mondial a pour mission d’élaborer, d’harmoniser et de mettre à jour les Règlements ONU en vue d’améliorer les caractéristiques fonctionnelles des véhicules.</w:t>
      </w:r>
      <w:r>
        <w:rPr>
          <w:lang w:val="fr-FR"/>
        </w:rPr>
        <w:t xml:space="preserve"> </w:t>
      </w:r>
      <w:r w:rsidRPr="00727211">
        <w:rPr>
          <w:lang w:val="fr-FR"/>
        </w:rPr>
        <w:t>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8399D" w14:textId="635B4C5A" w:rsidR="005239C4" w:rsidRPr="005239C4" w:rsidRDefault="00125C7A">
    <w:pPr>
      <w:pStyle w:val="En-tte"/>
    </w:pPr>
    <w:r>
      <w:fldChar w:fldCharType="begin"/>
    </w:r>
    <w:r>
      <w:instrText xml:space="preserve"> TITLE  \* MERGEFO</w:instrText>
    </w:r>
    <w:r>
      <w:instrText xml:space="preserve">RMAT </w:instrText>
    </w:r>
    <w:r>
      <w:fldChar w:fldCharType="separate"/>
    </w:r>
    <w:r>
      <w:t>ECE/TRANS/WP.29/GRPE/2020/8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AD06" w14:textId="7CDF054E" w:rsidR="005239C4" w:rsidRPr="005239C4" w:rsidRDefault="00125C7A" w:rsidP="005239C4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ECE/TRANS/WP.29/GRPE/2020/8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41E9"/>
    <w:rsid w:val="00017F94"/>
    <w:rsid w:val="00023842"/>
    <w:rsid w:val="000334F9"/>
    <w:rsid w:val="00045FEB"/>
    <w:rsid w:val="0007796D"/>
    <w:rsid w:val="000B7790"/>
    <w:rsid w:val="000D072C"/>
    <w:rsid w:val="00111F2F"/>
    <w:rsid w:val="00125C7A"/>
    <w:rsid w:val="0014365E"/>
    <w:rsid w:val="00143C66"/>
    <w:rsid w:val="00176178"/>
    <w:rsid w:val="001C126F"/>
    <w:rsid w:val="001F525A"/>
    <w:rsid w:val="00211C4F"/>
    <w:rsid w:val="00223272"/>
    <w:rsid w:val="0024779E"/>
    <w:rsid w:val="00257168"/>
    <w:rsid w:val="002679FB"/>
    <w:rsid w:val="002744B8"/>
    <w:rsid w:val="002832AC"/>
    <w:rsid w:val="002D354A"/>
    <w:rsid w:val="002D7C93"/>
    <w:rsid w:val="00305801"/>
    <w:rsid w:val="003916DE"/>
    <w:rsid w:val="00421996"/>
    <w:rsid w:val="00441322"/>
    <w:rsid w:val="00441C3B"/>
    <w:rsid w:val="00446FE5"/>
    <w:rsid w:val="00452396"/>
    <w:rsid w:val="004837D8"/>
    <w:rsid w:val="004E2EED"/>
    <w:rsid w:val="004E468C"/>
    <w:rsid w:val="005239C4"/>
    <w:rsid w:val="005505B7"/>
    <w:rsid w:val="00573BE5"/>
    <w:rsid w:val="00586ED3"/>
    <w:rsid w:val="00596AA9"/>
    <w:rsid w:val="00697635"/>
    <w:rsid w:val="0071601D"/>
    <w:rsid w:val="007A62E6"/>
    <w:rsid w:val="007F20FA"/>
    <w:rsid w:val="0080684C"/>
    <w:rsid w:val="00871C75"/>
    <w:rsid w:val="008776DC"/>
    <w:rsid w:val="00880991"/>
    <w:rsid w:val="008A70E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141E9"/>
    <w:rsid w:val="00B45F2E"/>
    <w:rsid w:val="00B765F7"/>
    <w:rsid w:val="00B77DDD"/>
    <w:rsid w:val="00BA0CA9"/>
    <w:rsid w:val="00C02897"/>
    <w:rsid w:val="00C37499"/>
    <w:rsid w:val="00C41ED4"/>
    <w:rsid w:val="00C97039"/>
    <w:rsid w:val="00D3439C"/>
    <w:rsid w:val="00DB1831"/>
    <w:rsid w:val="00DD3BFD"/>
    <w:rsid w:val="00DF6678"/>
    <w:rsid w:val="00E0299A"/>
    <w:rsid w:val="00E85C74"/>
    <w:rsid w:val="00E86210"/>
    <w:rsid w:val="00EA6547"/>
    <w:rsid w:val="00EF2E22"/>
    <w:rsid w:val="00F35BAF"/>
    <w:rsid w:val="00F660DF"/>
    <w:rsid w:val="00F94664"/>
    <w:rsid w:val="00F9573C"/>
    <w:rsid w:val="00F95C08"/>
    <w:rsid w:val="00FA5460"/>
    <w:rsid w:val="00F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DAE3B"/>
  <w15:docId w15:val="{F3F42363-482E-492D-8BC0-583CCE69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ECE/TRANS/WP.29/GRPE/2020/8</vt:lpstr>
    </vt:vector>
  </TitlesOfParts>
  <Company>DCM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ECE/TRANS/WP.29/GRPE/2020/8</dc:title>
  <dc:subject/>
  <dc:creator>Valerie BERTIN</dc:creator>
  <cp:keywords/>
  <cp:lastModifiedBy>Valerie Bertin</cp:lastModifiedBy>
  <cp:revision>3</cp:revision>
  <cp:lastPrinted>2019-11-27T10:21:00Z</cp:lastPrinted>
  <dcterms:created xsi:type="dcterms:W3CDTF">2019-11-27T10:21:00Z</dcterms:created>
  <dcterms:modified xsi:type="dcterms:W3CDTF">2019-11-27T10:21:00Z</dcterms:modified>
</cp:coreProperties>
</file>