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4CBB02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248F7F3" w14:textId="77777777" w:rsidR="002D5AAC" w:rsidRDefault="002D5AAC" w:rsidP="00F177D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45CD16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7DA8275" w14:textId="77777777" w:rsidR="002D5AAC" w:rsidRDefault="00F177DA" w:rsidP="00F177DA">
            <w:pPr>
              <w:jc w:val="right"/>
            </w:pPr>
            <w:r w:rsidRPr="00F177DA">
              <w:rPr>
                <w:sz w:val="40"/>
              </w:rPr>
              <w:t>ECE</w:t>
            </w:r>
            <w:r>
              <w:t>/TRANS/WP.29/GRE/2020/18</w:t>
            </w:r>
          </w:p>
        </w:tc>
      </w:tr>
      <w:tr w:rsidR="002D5AAC" w:rsidRPr="00196014" w14:paraId="600D7C5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308B8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3B09AA" wp14:editId="2DEE7D6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264791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386BEDA" w14:textId="77777777" w:rsidR="002D5AAC" w:rsidRDefault="00F177D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35473F4" w14:textId="77777777" w:rsidR="00F177DA" w:rsidRDefault="00F177DA" w:rsidP="00F177D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July 2020</w:t>
            </w:r>
          </w:p>
          <w:p w14:paraId="39F151C6" w14:textId="77777777" w:rsidR="00F177DA" w:rsidRDefault="00F177DA" w:rsidP="00F177D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9DAF59D" w14:textId="77777777" w:rsidR="00F177DA" w:rsidRPr="008D53B6" w:rsidRDefault="00F177DA" w:rsidP="00F177D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0675266" w14:textId="77777777" w:rsidR="00F177DA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6D0C928" w14:textId="77777777" w:rsidR="00F177DA" w:rsidRPr="007C51D9" w:rsidRDefault="00F177DA" w:rsidP="00F177DA">
      <w:pPr>
        <w:spacing w:before="120"/>
        <w:rPr>
          <w:sz w:val="28"/>
          <w:szCs w:val="28"/>
        </w:rPr>
      </w:pPr>
      <w:r w:rsidRPr="007C51D9">
        <w:rPr>
          <w:sz w:val="28"/>
          <w:szCs w:val="28"/>
        </w:rPr>
        <w:t>Комитет по внутреннему транспорту</w:t>
      </w:r>
    </w:p>
    <w:p w14:paraId="62C1BC8D" w14:textId="77777777" w:rsidR="00F177DA" w:rsidRPr="00790253" w:rsidRDefault="00F177DA" w:rsidP="00F177DA">
      <w:pPr>
        <w:spacing w:before="120"/>
        <w:rPr>
          <w:b/>
          <w:sz w:val="24"/>
          <w:szCs w:val="24"/>
        </w:rPr>
      </w:pPr>
      <w:r w:rsidRPr="00790253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790253">
        <w:rPr>
          <w:b/>
          <w:bCs/>
          <w:sz w:val="24"/>
          <w:szCs w:val="24"/>
        </w:rPr>
        <w:br/>
      </w:r>
      <w:r w:rsidRPr="00790253">
        <w:rPr>
          <w:b/>
          <w:bCs/>
          <w:sz w:val="24"/>
          <w:szCs w:val="24"/>
        </w:rPr>
        <w:t>в области транспортных средств</w:t>
      </w:r>
    </w:p>
    <w:p w14:paraId="3D6B5E32" w14:textId="77777777" w:rsidR="00F177DA" w:rsidRPr="00196014" w:rsidRDefault="00F177DA" w:rsidP="00F177DA">
      <w:pPr>
        <w:spacing w:before="120" w:after="120"/>
        <w:rPr>
          <w:b/>
          <w:bCs/>
          <w:szCs w:val="20"/>
        </w:rPr>
      </w:pPr>
      <w:r w:rsidRPr="00196014">
        <w:rPr>
          <w:b/>
          <w:bCs/>
          <w:szCs w:val="20"/>
        </w:rPr>
        <w:t xml:space="preserve">Рабочая группа по вопросам освещения и световой </w:t>
      </w:r>
      <w:r w:rsidR="00790253" w:rsidRPr="00196014">
        <w:rPr>
          <w:b/>
          <w:bCs/>
          <w:szCs w:val="20"/>
        </w:rPr>
        <w:br/>
      </w:r>
      <w:r w:rsidRPr="00196014">
        <w:rPr>
          <w:b/>
          <w:bCs/>
          <w:szCs w:val="20"/>
        </w:rPr>
        <w:t>сигнализации</w:t>
      </w:r>
    </w:p>
    <w:p w14:paraId="5B098293" w14:textId="77777777" w:rsidR="00F177DA" w:rsidRPr="00196014" w:rsidRDefault="00F177DA" w:rsidP="00F177DA">
      <w:pPr>
        <w:ind w:right="1134"/>
        <w:rPr>
          <w:b/>
          <w:szCs w:val="20"/>
        </w:rPr>
      </w:pPr>
      <w:r w:rsidRPr="00196014">
        <w:rPr>
          <w:b/>
          <w:bCs/>
          <w:szCs w:val="20"/>
        </w:rPr>
        <w:t>Восемьдесят третья сессия</w:t>
      </w:r>
    </w:p>
    <w:p w14:paraId="16E31626" w14:textId="77777777" w:rsidR="00F177DA" w:rsidRPr="00196014" w:rsidRDefault="00F177DA" w:rsidP="00790253">
      <w:pPr>
        <w:ind w:right="1134"/>
        <w:rPr>
          <w:szCs w:val="20"/>
        </w:rPr>
      </w:pPr>
      <w:r w:rsidRPr="00196014">
        <w:rPr>
          <w:szCs w:val="20"/>
        </w:rPr>
        <w:t>Женева, 19</w:t>
      </w:r>
      <w:r w:rsidR="00790253" w:rsidRPr="00196014">
        <w:rPr>
          <w:szCs w:val="20"/>
        </w:rPr>
        <w:t>–</w:t>
      </w:r>
      <w:r w:rsidRPr="00196014">
        <w:rPr>
          <w:szCs w:val="20"/>
        </w:rPr>
        <w:t>23 октября 2020 года</w:t>
      </w:r>
    </w:p>
    <w:p w14:paraId="20D573FE" w14:textId="77777777" w:rsidR="00F177DA" w:rsidRPr="00196014" w:rsidRDefault="00F177DA" w:rsidP="00790253">
      <w:pPr>
        <w:rPr>
          <w:szCs w:val="20"/>
        </w:rPr>
      </w:pPr>
      <w:r w:rsidRPr="00196014">
        <w:rPr>
          <w:szCs w:val="20"/>
        </w:rPr>
        <w:t xml:space="preserve">Пункт </w:t>
      </w:r>
      <w:r w:rsidRPr="00196014">
        <w:rPr>
          <w:bCs/>
          <w:szCs w:val="20"/>
        </w:rPr>
        <w:t>7 b</w:t>
      </w:r>
      <w:r w:rsidRPr="00196014">
        <w:rPr>
          <w:szCs w:val="20"/>
        </w:rPr>
        <w:t>) предварительной повестки дн</w:t>
      </w:r>
      <w:r w:rsidR="00790253" w:rsidRPr="00196014">
        <w:rPr>
          <w:szCs w:val="20"/>
        </w:rPr>
        <w:t>я</w:t>
      </w:r>
    </w:p>
    <w:p w14:paraId="37CF95FD" w14:textId="77777777" w:rsidR="00F177DA" w:rsidRPr="00196014" w:rsidRDefault="00F177DA" w:rsidP="00790253">
      <w:pPr>
        <w:ind w:right="1467"/>
        <w:rPr>
          <w:b/>
          <w:bCs/>
          <w:szCs w:val="20"/>
        </w:rPr>
      </w:pPr>
      <w:r w:rsidRPr="00196014">
        <w:rPr>
          <w:b/>
          <w:bCs/>
          <w:color w:val="333333"/>
          <w:szCs w:val="20"/>
        </w:rPr>
        <w:t>Другие правила ООН:</w:t>
      </w:r>
      <w:r w:rsidRPr="00196014">
        <w:rPr>
          <w:b/>
          <w:bCs/>
          <w:szCs w:val="20"/>
        </w:rPr>
        <w:t xml:space="preserve"> </w:t>
      </w:r>
    </w:p>
    <w:p w14:paraId="31B9E606" w14:textId="77777777" w:rsidR="00F177DA" w:rsidRPr="00196014" w:rsidRDefault="00F177DA" w:rsidP="00790253">
      <w:pPr>
        <w:ind w:right="1467"/>
        <w:rPr>
          <w:bCs/>
          <w:szCs w:val="20"/>
        </w:rPr>
      </w:pPr>
      <w:r w:rsidRPr="00196014">
        <w:rPr>
          <w:b/>
          <w:bCs/>
          <w:color w:val="333333"/>
          <w:szCs w:val="20"/>
        </w:rPr>
        <w:t xml:space="preserve">Правила № 65 ООН (специальные </w:t>
      </w:r>
      <w:r w:rsidR="00790253" w:rsidRPr="00196014">
        <w:rPr>
          <w:b/>
          <w:bCs/>
          <w:color w:val="333333"/>
          <w:szCs w:val="20"/>
        </w:rPr>
        <w:br/>
      </w:r>
      <w:r w:rsidRPr="00196014">
        <w:rPr>
          <w:b/>
          <w:bCs/>
          <w:color w:val="333333"/>
          <w:szCs w:val="20"/>
        </w:rPr>
        <w:t>предупреждающие огни)</w:t>
      </w:r>
    </w:p>
    <w:p w14:paraId="43BA4939" w14:textId="77777777" w:rsidR="00F177DA" w:rsidRPr="0061728D" w:rsidRDefault="00F177DA" w:rsidP="00790253">
      <w:pPr>
        <w:pStyle w:val="HChG"/>
      </w:pPr>
      <w:r w:rsidRPr="0061728D">
        <w:tab/>
      </w:r>
      <w:r w:rsidR="00790253">
        <w:tab/>
      </w:r>
      <w:r w:rsidRPr="0061728D">
        <w:t xml:space="preserve">Предложение по дополнению [11] к первоначальному варианту Правил № 65 ООН </w:t>
      </w:r>
      <w:r w:rsidR="00790253">
        <w:br/>
      </w:r>
      <w:r w:rsidRPr="0061728D">
        <w:t xml:space="preserve">(специальные предупреждающие огни) </w:t>
      </w:r>
    </w:p>
    <w:p w14:paraId="5C97EFC4" w14:textId="77777777" w:rsidR="00F177DA" w:rsidRPr="00E80E08" w:rsidRDefault="00790253" w:rsidP="00790253">
      <w:pPr>
        <w:pStyle w:val="H1G"/>
        <w:rPr>
          <w:szCs w:val="24"/>
        </w:rPr>
      </w:pPr>
      <w:r>
        <w:tab/>
      </w:r>
      <w:r>
        <w:tab/>
      </w:r>
      <w:r w:rsidR="00F177DA" w:rsidRPr="0061728D">
        <w:t>Представлено экспертом от Международной группы экспертов по</w:t>
      </w:r>
      <w:r>
        <w:t> </w:t>
      </w:r>
      <w:r w:rsidR="00F177DA" w:rsidRPr="0061728D">
        <w:t>вопросам автомобильного освещения и</w:t>
      </w:r>
      <w:r>
        <w:t> </w:t>
      </w:r>
      <w:r w:rsidR="00F177DA" w:rsidRPr="0061728D">
        <w:t>световой сигнализации (БРГ)</w:t>
      </w:r>
      <w:r w:rsidR="00F177DA" w:rsidRPr="00790253">
        <w:rPr>
          <w:b w:val="0"/>
          <w:bCs/>
          <w:sz w:val="20"/>
        </w:rPr>
        <w:footnoteReference w:customMarkFollows="1" w:id="1"/>
        <w:t>*</w:t>
      </w:r>
    </w:p>
    <w:p w14:paraId="4BD606CC" w14:textId="77777777" w:rsidR="00790253" w:rsidRDefault="00790253" w:rsidP="00790253">
      <w:pPr>
        <w:pStyle w:val="SingleTxtG"/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F177DA" w:rsidRPr="00E80E08">
        <w:rPr>
          <w:shd w:val="clear" w:color="auto" w:fill="FFFFFF"/>
        </w:rPr>
        <w:t xml:space="preserve">Воспроизведенный ниже текст был подготовлен экспертом </w:t>
      </w:r>
      <w:r w:rsidR="00F177DA">
        <w:rPr>
          <w:shd w:val="clear" w:color="auto" w:fill="FFFFFF"/>
        </w:rPr>
        <w:t xml:space="preserve">от </w:t>
      </w:r>
      <w:r w:rsidR="00F177DA" w:rsidRPr="00E80E08">
        <w:rPr>
          <w:shd w:val="clear" w:color="auto" w:fill="FFFFFF"/>
        </w:rPr>
        <w:t xml:space="preserve">Международной группы экспертов по </w:t>
      </w:r>
      <w:r w:rsidR="00F177DA">
        <w:rPr>
          <w:shd w:val="clear" w:color="auto" w:fill="FFFFFF"/>
        </w:rPr>
        <w:t xml:space="preserve">вопросам </w:t>
      </w:r>
      <w:r w:rsidR="00F177DA" w:rsidRPr="00E80E08">
        <w:rPr>
          <w:shd w:val="clear" w:color="auto" w:fill="FFFFFF"/>
        </w:rPr>
        <w:t>автомобильно</w:t>
      </w:r>
      <w:r w:rsidR="00F177DA">
        <w:rPr>
          <w:shd w:val="clear" w:color="auto" w:fill="FFFFFF"/>
        </w:rPr>
        <w:t>го</w:t>
      </w:r>
      <w:r w:rsidR="00F177DA" w:rsidRPr="00E80E08">
        <w:rPr>
          <w:shd w:val="clear" w:color="auto" w:fill="FFFFFF"/>
        </w:rPr>
        <w:t xml:space="preserve"> освещени</w:t>
      </w:r>
      <w:r w:rsidR="00F177DA">
        <w:rPr>
          <w:shd w:val="clear" w:color="auto" w:fill="FFFFFF"/>
        </w:rPr>
        <w:t>я</w:t>
      </w:r>
      <w:r w:rsidR="00F177DA" w:rsidRPr="00E80E08">
        <w:rPr>
          <w:shd w:val="clear" w:color="auto" w:fill="FFFFFF"/>
        </w:rPr>
        <w:t xml:space="preserve"> и световой сигнализации (БРГ) с целью исправления некоторых давн</w:t>
      </w:r>
      <w:r w:rsidR="00F177DA">
        <w:rPr>
          <w:shd w:val="clear" w:color="auto" w:fill="FFFFFF"/>
        </w:rPr>
        <w:t>их</w:t>
      </w:r>
      <w:r w:rsidR="00F177DA" w:rsidRPr="00E80E08">
        <w:rPr>
          <w:shd w:val="clear" w:color="auto" w:fill="FFFFFF"/>
        </w:rPr>
        <w:t xml:space="preserve"> редакционных ошибок, которые могут </w:t>
      </w:r>
      <w:r w:rsidR="00F177DA">
        <w:rPr>
          <w:shd w:val="clear" w:color="auto" w:fill="FFFFFF"/>
        </w:rPr>
        <w:t xml:space="preserve">создать </w:t>
      </w:r>
      <w:r w:rsidR="00F177DA" w:rsidRPr="00E80E08">
        <w:rPr>
          <w:shd w:val="clear" w:color="auto" w:fill="FFFFFF"/>
        </w:rPr>
        <w:t>путаниц</w:t>
      </w:r>
      <w:r w:rsidR="00F177DA">
        <w:rPr>
          <w:shd w:val="clear" w:color="auto" w:fill="FFFFFF"/>
        </w:rPr>
        <w:t>у</w:t>
      </w:r>
      <w:r w:rsidR="00F177DA" w:rsidRPr="00E80E08">
        <w:rPr>
          <w:shd w:val="clear" w:color="auto" w:fill="FFFFFF"/>
        </w:rPr>
        <w:t xml:space="preserve">, а также уточнения определения </w:t>
      </w:r>
      <w:r>
        <w:rPr>
          <w:shd w:val="clear" w:color="auto" w:fill="FFFFFF"/>
        </w:rPr>
        <w:t>«</w:t>
      </w:r>
      <w:r w:rsidR="00F177DA">
        <w:rPr>
          <w:shd w:val="clear" w:color="auto" w:fill="FFFFFF"/>
        </w:rPr>
        <w:t>продолжительности свечения</w:t>
      </w:r>
      <w:r>
        <w:rPr>
          <w:shd w:val="clear" w:color="auto" w:fill="FFFFFF"/>
        </w:rPr>
        <w:t>»</w:t>
      </w:r>
      <w:r w:rsidR="00F177DA" w:rsidRPr="00E80E08">
        <w:rPr>
          <w:shd w:val="clear" w:color="auto" w:fill="FFFFFF"/>
        </w:rPr>
        <w:t xml:space="preserve"> для группы вспышек.</w:t>
      </w:r>
      <w:r w:rsidR="00F177DA" w:rsidRPr="00E80E08">
        <w:t xml:space="preserve"> </w:t>
      </w:r>
      <w:r w:rsidR="00F177DA">
        <w:t>Настоящее предложение основано на документе ECE</w:t>
      </w:r>
      <w:r w:rsidR="00F177DA" w:rsidRPr="00E80E08">
        <w:t>/</w:t>
      </w:r>
      <w:r w:rsidR="00F177DA">
        <w:t>TRANS</w:t>
      </w:r>
      <w:r w:rsidR="00F177DA" w:rsidRPr="00E80E08">
        <w:t>/</w:t>
      </w:r>
      <w:r>
        <w:br/>
      </w:r>
      <w:r w:rsidR="00F177DA">
        <w:t>WP</w:t>
      </w:r>
      <w:r w:rsidR="00F177DA" w:rsidRPr="00E80E08">
        <w:t>.29/</w:t>
      </w:r>
      <w:r w:rsidR="00F177DA">
        <w:t>GRE</w:t>
      </w:r>
      <w:r w:rsidR="00F177DA" w:rsidRPr="00E80E08">
        <w:t>/2019/17</w:t>
      </w:r>
      <w:r w:rsidR="00F177DA">
        <w:t xml:space="preserve"> и включает предложение Польши, содержащееся в неофициальном документе </w:t>
      </w:r>
      <w:r w:rsidR="00F177DA" w:rsidRPr="00974B25">
        <w:t>GRE</w:t>
      </w:r>
      <w:r w:rsidR="00F177DA" w:rsidRPr="00E80E08">
        <w:t xml:space="preserve">-82-09. </w:t>
      </w:r>
      <w:r w:rsidR="00F177DA" w:rsidRPr="0054493F">
        <w:rPr>
          <w:shd w:val="clear" w:color="auto" w:fill="FFFFFF"/>
        </w:rPr>
        <w:t>Изменения</w:t>
      </w:r>
      <w:r w:rsidR="00F177DA" w:rsidRPr="0061728D">
        <w:rPr>
          <w:shd w:val="clear" w:color="auto" w:fill="FFFFFF"/>
        </w:rPr>
        <w:t xml:space="preserve"> </w:t>
      </w:r>
      <w:r w:rsidR="00F177DA" w:rsidRPr="0054493F">
        <w:rPr>
          <w:shd w:val="clear" w:color="auto" w:fill="FFFFFF"/>
        </w:rPr>
        <w:t>к</w:t>
      </w:r>
      <w:r w:rsidR="00F177DA" w:rsidRPr="0061728D">
        <w:rPr>
          <w:shd w:val="clear" w:color="auto" w:fill="FFFFFF"/>
        </w:rPr>
        <w:t xml:space="preserve"> </w:t>
      </w:r>
      <w:r w:rsidR="00F177DA" w:rsidRPr="0054493F">
        <w:rPr>
          <w:shd w:val="clear" w:color="auto" w:fill="FFFFFF"/>
        </w:rPr>
        <w:t>действующему</w:t>
      </w:r>
      <w:r w:rsidR="00F177DA" w:rsidRPr="0061728D">
        <w:rPr>
          <w:shd w:val="clear" w:color="auto" w:fill="FFFFFF"/>
        </w:rPr>
        <w:t xml:space="preserve"> </w:t>
      </w:r>
      <w:r w:rsidR="00F177DA" w:rsidRPr="0054493F">
        <w:rPr>
          <w:shd w:val="clear" w:color="auto" w:fill="FFFFFF"/>
        </w:rPr>
        <w:t>тексту</w:t>
      </w:r>
      <w:r w:rsidR="00F177DA" w:rsidRPr="0061728D">
        <w:rPr>
          <w:shd w:val="clear" w:color="auto" w:fill="FFFFFF"/>
        </w:rPr>
        <w:t xml:space="preserve"> </w:t>
      </w:r>
      <w:r w:rsidR="00F177DA">
        <w:rPr>
          <w:shd w:val="clear" w:color="auto" w:fill="FFFFFF"/>
        </w:rPr>
        <w:t xml:space="preserve">Правил ООН </w:t>
      </w:r>
      <w:r w:rsidR="00F177DA" w:rsidRPr="0054493F">
        <w:rPr>
          <w:shd w:val="clear" w:color="auto" w:fill="FFFFFF"/>
        </w:rPr>
        <w:t>выделены</w:t>
      </w:r>
      <w:r w:rsidR="00F177DA" w:rsidRPr="0061728D">
        <w:rPr>
          <w:shd w:val="clear" w:color="auto" w:fill="FFFFFF"/>
        </w:rPr>
        <w:t xml:space="preserve"> </w:t>
      </w:r>
      <w:r w:rsidR="00F177DA" w:rsidRPr="0054493F">
        <w:rPr>
          <w:shd w:val="clear" w:color="auto" w:fill="FFFFFF"/>
        </w:rPr>
        <w:t>жирным</w:t>
      </w:r>
      <w:r w:rsidR="00F177DA" w:rsidRPr="0061728D">
        <w:rPr>
          <w:shd w:val="clear" w:color="auto" w:fill="FFFFFF"/>
        </w:rPr>
        <w:t xml:space="preserve"> </w:t>
      </w:r>
      <w:r w:rsidR="00F177DA" w:rsidRPr="0054493F">
        <w:rPr>
          <w:shd w:val="clear" w:color="auto" w:fill="FFFFFF"/>
        </w:rPr>
        <w:t>шрифтом</w:t>
      </w:r>
      <w:r w:rsidR="00F177DA" w:rsidRPr="0061728D">
        <w:rPr>
          <w:shd w:val="clear" w:color="auto" w:fill="FFFFFF"/>
        </w:rPr>
        <w:t xml:space="preserve"> </w:t>
      </w:r>
      <w:r w:rsidR="00F177DA" w:rsidRPr="0054493F">
        <w:rPr>
          <w:shd w:val="clear" w:color="auto" w:fill="FFFFFF"/>
        </w:rPr>
        <w:t>в</w:t>
      </w:r>
      <w:r w:rsidR="00F177DA" w:rsidRPr="0061728D">
        <w:rPr>
          <w:shd w:val="clear" w:color="auto" w:fill="FFFFFF"/>
        </w:rPr>
        <w:t xml:space="preserve"> </w:t>
      </w:r>
      <w:r w:rsidR="00F177DA" w:rsidRPr="0054493F">
        <w:rPr>
          <w:shd w:val="clear" w:color="auto" w:fill="FFFFFF"/>
        </w:rPr>
        <w:t>случае</w:t>
      </w:r>
      <w:r w:rsidR="00F177DA" w:rsidRPr="0061728D">
        <w:rPr>
          <w:shd w:val="clear" w:color="auto" w:fill="FFFFFF"/>
        </w:rPr>
        <w:t xml:space="preserve"> </w:t>
      </w:r>
      <w:r w:rsidR="00F177DA" w:rsidRPr="0054493F">
        <w:rPr>
          <w:shd w:val="clear" w:color="auto" w:fill="FFFFFF"/>
        </w:rPr>
        <w:t>новых</w:t>
      </w:r>
      <w:r w:rsidR="00F177DA" w:rsidRPr="0061728D">
        <w:rPr>
          <w:shd w:val="clear" w:color="auto" w:fill="FFFFFF"/>
        </w:rPr>
        <w:t xml:space="preserve"> </w:t>
      </w:r>
      <w:r w:rsidR="00F177DA" w:rsidRPr="0054493F">
        <w:rPr>
          <w:shd w:val="clear" w:color="auto" w:fill="FFFFFF"/>
        </w:rPr>
        <w:t>положений</w:t>
      </w:r>
      <w:r w:rsidR="00F177DA" w:rsidRPr="0061728D">
        <w:rPr>
          <w:shd w:val="clear" w:color="auto" w:fill="FFFFFF"/>
        </w:rPr>
        <w:t xml:space="preserve"> </w:t>
      </w:r>
      <w:r w:rsidR="00F177DA" w:rsidRPr="0054493F">
        <w:rPr>
          <w:shd w:val="clear" w:color="auto" w:fill="FFFFFF"/>
        </w:rPr>
        <w:t>или</w:t>
      </w:r>
      <w:r w:rsidR="00F177DA" w:rsidRPr="0061728D">
        <w:rPr>
          <w:shd w:val="clear" w:color="auto" w:fill="FFFFFF"/>
        </w:rPr>
        <w:t xml:space="preserve"> </w:t>
      </w:r>
      <w:r w:rsidR="00F177DA" w:rsidRPr="0054493F">
        <w:rPr>
          <w:shd w:val="clear" w:color="auto" w:fill="FFFFFF"/>
        </w:rPr>
        <w:t>зачеркиванием</w:t>
      </w:r>
      <w:r w:rsidR="00F177DA" w:rsidRPr="0061728D">
        <w:rPr>
          <w:shd w:val="clear" w:color="auto" w:fill="FFFFFF"/>
        </w:rPr>
        <w:t xml:space="preserve"> </w:t>
      </w:r>
      <w:r w:rsidR="00F177DA" w:rsidRPr="0054493F">
        <w:rPr>
          <w:shd w:val="clear" w:color="auto" w:fill="FFFFFF"/>
        </w:rPr>
        <w:t>в</w:t>
      </w:r>
      <w:r w:rsidR="00F177DA" w:rsidRPr="0061728D">
        <w:rPr>
          <w:shd w:val="clear" w:color="auto" w:fill="FFFFFF"/>
        </w:rPr>
        <w:t xml:space="preserve"> </w:t>
      </w:r>
      <w:r w:rsidR="00F177DA" w:rsidRPr="0054493F">
        <w:rPr>
          <w:shd w:val="clear" w:color="auto" w:fill="FFFFFF"/>
        </w:rPr>
        <w:t>случае</w:t>
      </w:r>
      <w:r w:rsidR="00F177DA" w:rsidRPr="0061728D">
        <w:rPr>
          <w:shd w:val="clear" w:color="auto" w:fill="FFFFFF"/>
        </w:rPr>
        <w:t xml:space="preserve"> </w:t>
      </w:r>
      <w:r w:rsidR="00F177DA" w:rsidRPr="0054493F">
        <w:rPr>
          <w:shd w:val="clear" w:color="auto" w:fill="FFFFFF"/>
        </w:rPr>
        <w:t>исключенных</w:t>
      </w:r>
      <w:r w:rsidR="00F177DA" w:rsidRPr="0061728D">
        <w:rPr>
          <w:shd w:val="clear" w:color="auto" w:fill="FFFFFF"/>
        </w:rPr>
        <w:t xml:space="preserve"> </w:t>
      </w:r>
      <w:r w:rsidR="00F177DA" w:rsidRPr="0054493F">
        <w:rPr>
          <w:shd w:val="clear" w:color="auto" w:fill="FFFFFF"/>
        </w:rPr>
        <w:t>элементов</w:t>
      </w:r>
      <w:r w:rsidR="00F177DA" w:rsidRPr="0061728D">
        <w:rPr>
          <w:shd w:val="clear" w:color="auto" w:fill="FFFFFF"/>
        </w:rPr>
        <w:t>.</w:t>
      </w:r>
    </w:p>
    <w:p w14:paraId="6CCF9CB8" w14:textId="77777777" w:rsidR="00790253" w:rsidRDefault="00790253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73BC2C29" w14:textId="77777777" w:rsidR="00F177DA" w:rsidRPr="00525E6C" w:rsidRDefault="00790253" w:rsidP="00790253">
      <w:pPr>
        <w:pStyle w:val="HChG"/>
      </w:pPr>
      <w:r>
        <w:lastRenderedPageBreak/>
        <w:tab/>
      </w:r>
      <w:r w:rsidR="00F177DA" w:rsidRPr="00525E6C">
        <w:t>I.</w:t>
      </w:r>
      <w:r w:rsidR="00F177DA" w:rsidRPr="00525E6C">
        <w:tab/>
      </w:r>
      <w:r w:rsidR="00F177DA">
        <w:t>Предложение</w:t>
      </w:r>
    </w:p>
    <w:p w14:paraId="14F721B3" w14:textId="77777777" w:rsidR="00F177DA" w:rsidRPr="00E80E08" w:rsidRDefault="00F177DA" w:rsidP="00F177DA">
      <w:pPr>
        <w:pStyle w:val="SingleTxtG"/>
      </w:pPr>
      <w:r w:rsidRPr="00E80E08">
        <w:rPr>
          <w:i/>
          <w:iCs/>
        </w:rPr>
        <w:t>Пункт</w:t>
      </w:r>
      <w:r w:rsidRPr="00E80E08">
        <w:rPr>
          <w:i/>
          <w:iCs/>
          <w:lang w:eastAsia="ja-JP"/>
        </w:rPr>
        <w:t xml:space="preserve"> 1.3</w:t>
      </w:r>
      <w:r w:rsidRPr="00E80E08">
        <w:rPr>
          <w:lang w:eastAsia="ja-JP"/>
        </w:rPr>
        <w:t xml:space="preserve"> исправить следующим образом</w:t>
      </w:r>
      <w:r w:rsidRPr="00E80E08">
        <w:t>:</w:t>
      </w:r>
    </w:p>
    <w:p w14:paraId="67D48CCB" w14:textId="77777777" w:rsidR="00F177DA" w:rsidRPr="00E80E08" w:rsidRDefault="00F177DA" w:rsidP="00F177DA">
      <w:pPr>
        <w:pStyle w:val="SingleTxtG"/>
        <w:ind w:left="2268" w:hanging="1134"/>
      </w:pPr>
      <w:r w:rsidRPr="00E80E08">
        <w:rPr>
          <w:iCs/>
        </w:rPr>
        <w:t>«1.3</w:t>
      </w:r>
      <w:r w:rsidRPr="00E80E08">
        <w:rPr>
          <w:iCs/>
        </w:rPr>
        <w:tab/>
      </w:r>
      <w:r w:rsidR="00790253" w:rsidRPr="00790253">
        <w:t>“</w:t>
      </w:r>
      <w:r w:rsidRPr="00E80E08">
        <w:rPr>
          <w:i/>
        </w:rPr>
        <w:t xml:space="preserve">частота </w:t>
      </w:r>
      <w:r w:rsidRPr="00FF1F0A">
        <w:rPr>
          <w:i/>
        </w:rPr>
        <w:t>f</w:t>
      </w:r>
      <w:r w:rsidR="00790253" w:rsidRPr="00790253">
        <w:t>”</w:t>
      </w:r>
      <w:r w:rsidRPr="00E80E08">
        <w:t xml:space="preserve"> представляет собой число вспышек или групп вспышек </w:t>
      </w:r>
      <w:r w:rsidRPr="00E80E08">
        <w:br/>
        <w:t xml:space="preserve">(см. пункт 5 приложения </w:t>
      </w:r>
      <w:r w:rsidRPr="00E80E08">
        <w:rPr>
          <w:strike/>
        </w:rPr>
        <w:t>5</w:t>
      </w:r>
      <w:r w:rsidRPr="00E80E08">
        <w:rPr>
          <w:b/>
          <w:bCs/>
        </w:rPr>
        <w:t>6</w:t>
      </w:r>
      <w:r w:rsidRPr="00E80E08">
        <w:t>) в течение одной секунды;».</w:t>
      </w:r>
    </w:p>
    <w:p w14:paraId="602A2D7F" w14:textId="77777777" w:rsidR="00F177DA" w:rsidRPr="00790253" w:rsidRDefault="00F177DA" w:rsidP="00790253">
      <w:pPr>
        <w:pStyle w:val="SingleTxtG"/>
        <w:ind w:left="2268" w:hanging="1134"/>
        <w:rPr>
          <w:rFonts w:ascii="Arial" w:eastAsia="MS Mincho" w:hAnsi="Arial" w:cs="Arial"/>
          <w:b/>
          <w:bCs/>
          <w:kern w:val="20"/>
          <w:lang w:eastAsia="ja-JP"/>
        </w:rPr>
      </w:pPr>
      <w:r w:rsidRPr="00790253">
        <w:rPr>
          <w:i/>
          <w:kern w:val="20"/>
          <w:lang w:eastAsia="it-IT"/>
        </w:rPr>
        <w:t>Пункт 1.4</w:t>
      </w:r>
      <w:r w:rsidRPr="00790253">
        <w:rPr>
          <w:rFonts w:ascii="Arial" w:hAnsi="Arial" w:cs="Arial"/>
          <w:i/>
          <w:iCs/>
          <w:kern w:val="20"/>
        </w:rPr>
        <w:t xml:space="preserve"> </w:t>
      </w:r>
      <w:r w:rsidRPr="00790253">
        <w:rPr>
          <w:kern w:val="20"/>
        </w:rPr>
        <w:t>изменить следующим образом:</w:t>
      </w:r>
    </w:p>
    <w:p w14:paraId="4D20549A" w14:textId="77777777" w:rsidR="00F177DA" w:rsidRPr="00790253" w:rsidRDefault="00F177DA" w:rsidP="00790253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20"/>
        </w:rPr>
      </w:pPr>
      <w:r w:rsidRPr="00790253">
        <w:rPr>
          <w:spacing w:val="0"/>
          <w:w w:val="100"/>
          <w:kern w:val="20"/>
        </w:rPr>
        <w:t>«1.4</w:t>
      </w:r>
      <w:r w:rsidRPr="00790253">
        <w:rPr>
          <w:spacing w:val="0"/>
          <w:w w:val="100"/>
          <w:kern w:val="20"/>
        </w:rPr>
        <w:tab/>
      </w:r>
      <w:r w:rsidR="00790253" w:rsidRPr="00790253">
        <w:rPr>
          <w:spacing w:val="0"/>
          <w:w w:val="100"/>
          <w:kern w:val="20"/>
        </w:rPr>
        <w:t>“</w:t>
      </w:r>
      <w:r w:rsidRPr="00790253">
        <w:rPr>
          <w:i/>
          <w:spacing w:val="0"/>
          <w:w w:val="100"/>
          <w:kern w:val="20"/>
        </w:rPr>
        <w:t>продолжительность свечения</w:t>
      </w:r>
      <w:r w:rsidR="00790253" w:rsidRPr="00790253">
        <w:rPr>
          <w:spacing w:val="0"/>
          <w:w w:val="100"/>
          <w:kern w:val="20"/>
        </w:rPr>
        <w:t>”</w:t>
      </w:r>
      <w:r w:rsidRPr="00790253">
        <w:rPr>
          <w:i/>
          <w:spacing w:val="0"/>
          <w:w w:val="100"/>
          <w:kern w:val="20"/>
        </w:rPr>
        <w:t xml:space="preserve"> </w:t>
      </w:r>
      <w:r w:rsidRPr="00790253">
        <w:rPr>
          <w:spacing w:val="0"/>
          <w:w w:val="100"/>
          <w:kern w:val="20"/>
          <w:lang w:val="en-US"/>
        </w:rPr>
        <w:t>t</w:t>
      </w:r>
      <w:r w:rsidRPr="00790253">
        <w:rPr>
          <w:spacing w:val="0"/>
          <w:w w:val="100"/>
          <w:kern w:val="20"/>
          <w:vertAlign w:val="subscript"/>
          <w:lang w:val="en-US"/>
        </w:rPr>
        <w:t>H</w:t>
      </w:r>
      <w:r w:rsidRPr="00790253">
        <w:rPr>
          <w:spacing w:val="0"/>
          <w:w w:val="100"/>
          <w:kern w:val="20"/>
        </w:rPr>
        <w:t xml:space="preserve"> означает период времени, в течение которого сила света вспышки превышает десятую долю максимальной величины (пиковое значение) </w:t>
      </w:r>
      <w:r w:rsidRPr="00790253">
        <w:rPr>
          <w:spacing w:val="0"/>
          <w:w w:val="100"/>
          <w:kern w:val="20"/>
          <w:lang w:val="en-US"/>
        </w:rPr>
        <w:t>J</w:t>
      </w:r>
      <w:r w:rsidRPr="00790253">
        <w:rPr>
          <w:spacing w:val="0"/>
          <w:w w:val="100"/>
          <w:kern w:val="20"/>
          <w:vertAlign w:val="subscript"/>
          <w:lang w:val="en-US"/>
        </w:rPr>
        <w:t>m</w:t>
      </w:r>
      <w:r w:rsidRPr="00790253">
        <w:rPr>
          <w:spacing w:val="0"/>
          <w:w w:val="100"/>
          <w:kern w:val="20"/>
        </w:rPr>
        <w:t>;</w:t>
      </w:r>
      <w:r w:rsidRPr="00790253">
        <w:rPr>
          <w:b/>
          <w:bCs/>
          <w:spacing w:val="0"/>
          <w:w w:val="100"/>
          <w:kern w:val="20"/>
        </w:rPr>
        <w:t xml:space="preserve"> в случае группы из нескольких вспышек </w:t>
      </w:r>
      <w:r w:rsidR="00790253" w:rsidRPr="00790253">
        <w:rPr>
          <w:b/>
          <w:bCs/>
          <w:spacing w:val="0"/>
          <w:w w:val="100"/>
          <w:kern w:val="20"/>
        </w:rPr>
        <w:t>“</w:t>
      </w:r>
      <w:r w:rsidRPr="00790253">
        <w:rPr>
          <w:b/>
          <w:bCs/>
          <w:iCs/>
          <w:spacing w:val="0"/>
          <w:w w:val="100"/>
          <w:kern w:val="20"/>
        </w:rPr>
        <w:t>продолжительность свечения</w:t>
      </w:r>
      <w:r w:rsidR="00790253" w:rsidRPr="00790253">
        <w:rPr>
          <w:b/>
          <w:bCs/>
          <w:iCs/>
          <w:spacing w:val="0"/>
          <w:w w:val="100"/>
          <w:kern w:val="20"/>
        </w:rPr>
        <w:t>”</w:t>
      </w:r>
      <w:r w:rsidRPr="00790253">
        <w:rPr>
          <w:b/>
          <w:bCs/>
          <w:spacing w:val="0"/>
          <w:w w:val="100"/>
          <w:kern w:val="20"/>
        </w:rPr>
        <w:t xml:space="preserve"> измеряют</w:t>
      </w:r>
      <w:r w:rsidRPr="00790253">
        <w:rPr>
          <w:spacing w:val="0"/>
          <w:w w:val="100"/>
          <w:kern w:val="20"/>
        </w:rPr>
        <w:t xml:space="preserve"> </w:t>
      </w:r>
      <w:r w:rsidRPr="00790253">
        <w:rPr>
          <w:b/>
          <w:bCs/>
          <w:spacing w:val="0"/>
          <w:w w:val="100"/>
          <w:kern w:val="20"/>
        </w:rPr>
        <w:t>от начала первой вспышки в группе до конца последней вспышки в той же группе;</w:t>
      </w:r>
      <w:r w:rsidRPr="00790253">
        <w:rPr>
          <w:spacing w:val="0"/>
          <w:w w:val="100"/>
          <w:kern w:val="20"/>
        </w:rPr>
        <w:t>»</w:t>
      </w:r>
    </w:p>
    <w:p w14:paraId="6C5A6E43" w14:textId="77777777" w:rsidR="00F177DA" w:rsidRPr="00790253" w:rsidRDefault="00F177DA" w:rsidP="00790253">
      <w:pPr>
        <w:pStyle w:val="SingleTxtG"/>
        <w:ind w:left="2268" w:hanging="1134"/>
        <w:rPr>
          <w:rFonts w:ascii="Arial" w:eastAsia="MS Mincho" w:hAnsi="Arial" w:cs="Arial"/>
          <w:b/>
          <w:bCs/>
          <w:kern w:val="20"/>
          <w:lang w:eastAsia="ja-JP"/>
        </w:rPr>
      </w:pPr>
      <w:r w:rsidRPr="00790253">
        <w:rPr>
          <w:i/>
          <w:kern w:val="20"/>
          <w:lang w:eastAsia="it-IT"/>
        </w:rPr>
        <w:t>Пункт 1.5</w:t>
      </w:r>
      <w:r w:rsidRPr="00790253">
        <w:rPr>
          <w:rFonts w:ascii="Arial" w:hAnsi="Arial" w:cs="Arial"/>
          <w:i/>
          <w:iCs/>
          <w:kern w:val="20"/>
        </w:rPr>
        <w:t xml:space="preserve"> </w:t>
      </w:r>
      <w:r w:rsidRPr="00790253">
        <w:rPr>
          <w:kern w:val="20"/>
        </w:rPr>
        <w:t>изменить следующим образом:</w:t>
      </w:r>
    </w:p>
    <w:p w14:paraId="6444E3C5" w14:textId="77777777" w:rsidR="00F177DA" w:rsidRPr="00790253" w:rsidRDefault="00F177DA" w:rsidP="00790253">
      <w:pPr>
        <w:pStyle w:val="SingleTxtG"/>
        <w:ind w:left="2268" w:hanging="1134"/>
        <w:rPr>
          <w:kern w:val="20"/>
        </w:rPr>
      </w:pPr>
      <w:r w:rsidRPr="00790253">
        <w:rPr>
          <w:kern w:val="20"/>
        </w:rPr>
        <w:t>«1.5</w:t>
      </w:r>
      <w:r w:rsidRPr="00790253">
        <w:rPr>
          <w:kern w:val="20"/>
        </w:rPr>
        <w:tab/>
      </w:r>
      <w:r w:rsidR="00790253" w:rsidRPr="00790253">
        <w:rPr>
          <w:kern w:val="20"/>
        </w:rPr>
        <w:t>“</w:t>
      </w:r>
      <w:r w:rsidRPr="00790253">
        <w:rPr>
          <w:i/>
          <w:kern w:val="20"/>
        </w:rPr>
        <w:t>продолжительность мерцания</w:t>
      </w:r>
      <w:r w:rsidR="00790253" w:rsidRPr="00790253">
        <w:rPr>
          <w:kern w:val="20"/>
        </w:rPr>
        <w:t>”</w:t>
      </w:r>
      <w:r w:rsidRPr="00790253">
        <w:rPr>
          <w:kern w:val="20"/>
        </w:rPr>
        <w:t xml:space="preserve"> </w:t>
      </w:r>
      <w:r w:rsidRPr="00790253">
        <w:rPr>
          <w:kern w:val="20"/>
          <w:lang w:val="en-US"/>
        </w:rPr>
        <w:t>t</w:t>
      </w:r>
      <w:r w:rsidRPr="00790253">
        <w:rPr>
          <w:kern w:val="20"/>
          <w:vertAlign w:val="subscript"/>
          <w:lang w:val="en-US"/>
        </w:rPr>
        <w:t>D</w:t>
      </w:r>
      <w:r w:rsidRPr="00790253">
        <w:rPr>
          <w:kern w:val="20"/>
        </w:rPr>
        <w:t xml:space="preserve"> означает период времени, в течение которого сила вспышки составляет менее одной сотой максимальной величины (пикового значения) </w:t>
      </w:r>
      <w:r w:rsidRPr="00790253">
        <w:rPr>
          <w:kern w:val="20"/>
          <w:lang w:val="en-US"/>
        </w:rPr>
        <w:t>J</w:t>
      </w:r>
      <w:r w:rsidRPr="00790253">
        <w:rPr>
          <w:kern w:val="20"/>
          <w:vertAlign w:val="subscript"/>
          <w:lang w:val="en-US"/>
        </w:rPr>
        <w:t>m</w:t>
      </w:r>
      <w:r w:rsidRPr="00790253">
        <w:rPr>
          <w:kern w:val="20"/>
        </w:rPr>
        <w:t xml:space="preserve">, но не более 10 кд. Для группы </w:t>
      </w:r>
      <w:r w:rsidRPr="00790253">
        <w:rPr>
          <w:b/>
          <w:bCs/>
          <w:kern w:val="20"/>
        </w:rPr>
        <w:t>из нескольких</w:t>
      </w:r>
      <w:r w:rsidRPr="00790253">
        <w:rPr>
          <w:kern w:val="20"/>
        </w:rPr>
        <w:t xml:space="preserve"> вспышек </w:t>
      </w:r>
      <w:r w:rsidR="00790253" w:rsidRPr="00790253">
        <w:rPr>
          <w:kern w:val="20"/>
        </w:rPr>
        <w:t>“</w:t>
      </w:r>
      <w:r w:rsidRPr="00790253">
        <w:rPr>
          <w:kern w:val="20"/>
        </w:rPr>
        <w:t>продолжительность мерцания</w:t>
      </w:r>
      <w:r w:rsidR="00790253" w:rsidRPr="00900227">
        <w:rPr>
          <w:kern w:val="20"/>
        </w:rPr>
        <w:t>”</w:t>
      </w:r>
      <w:r w:rsidRPr="00790253">
        <w:rPr>
          <w:kern w:val="20"/>
        </w:rPr>
        <w:t xml:space="preserve"> </w:t>
      </w:r>
      <w:r w:rsidRPr="00790253">
        <w:rPr>
          <w:strike/>
          <w:kern w:val="20"/>
        </w:rPr>
        <w:t>определяется</w:t>
      </w:r>
      <w:r w:rsidRPr="00790253">
        <w:rPr>
          <w:kern w:val="20"/>
        </w:rPr>
        <w:t xml:space="preserve"> </w:t>
      </w:r>
      <w:r w:rsidRPr="00790253">
        <w:rPr>
          <w:b/>
          <w:bCs/>
          <w:kern w:val="20"/>
        </w:rPr>
        <w:t>измеряют</w:t>
      </w:r>
      <w:r w:rsidRPr="00790253">
        <w:rPr>
          <w:kern w:val="20"/>
        </w:rPr>
        <w:t xml:space="preserve"> от </w:t>
      </w:r>
      <w:r w:rsidRPr="00790253">
        <w:rPr>
          <w:b/>
          <w:bCs/>
          <w:kern w:val="20"/>
        </w:rPr>
        <w:t>конца</w:t>
      </w:r>
      <w:r w:rsidRPr="00790253">
        <w:rPr>
          <w:kern w:val="20"/>
        </w:rPr>
        <w:t xml:space="preserve"> последней вспышки одной группы до </w:t>
      </w:r>
      <w:r w:rsidRPr="00790253">
        <w:rPr>
          <w:b/>
          <w:bCs/>
          <w:kern w:val="20"/>
        </w:rPr>
        <w:t>начала</w:t>
      </w:r>
      <w:r w:rsidRPr="00790253">
        <w:rPr>
          <w:kern w:val="20"/>
        </w:rPr>
        <w:t xml:space="preserve"> первой вспышки следующей группы;»</w:t>
      </w:r>
    </w:p>
    <w:p w14:paraId="41E2D7E7" w14:textId="77777777" w:rsidR="00F177DA" w:rsidRPr="00790253" w:rsidRDefault="00F177DA" w:rsidP="00790253">
      <w:pPr>
        <w:pStyle w:val="SingleTxtG"/>
        <w:rPr>
          <w:iCs/>
          <w:kern w:val="20"/>
        </w:rPr>
      </w:pPr>
      <w:r w:rsidRPr="00790253">
        <w:rPr>
          <w:i/>
          <w:iCs/>
          <w:kern w:val="20"/>
        </w:rPr>
        <w:t>Пункт</w:t>
      </w:r>
      <w:r w:rsidRPr="00790253">
        <w:rPr>
          <w:i/>
          <w:iCs/>
          <w:kern w:val="20"/>
          <w:lang w:eastAsia="ja-JP"/>
        </w:rPr>
        <w:t xml:space="preserve"> 2.2.5 </w:t>
      </w:r>
      <w:r w:rsidRPr="00790253">
        <w:rPr>
          <w:kern w:val="20"/>
          <w:lang w:eastAsia="ja-JP"/>
        </w:rPr>
        <w:t>исправить следующим образом</w:t>
      </w:r>
      <w:r w:rsidRPr="00790253">
        <w:rPr>
          <w:kern w:val="20"/>
        </w:rPr>
        <w:t>:</w:t>
      </w:r>
    </w:p>
    <w:p w14:paraId="3681A2DE" w14:textId="77777777" w:rsidR="00F177DA" w:rsidRPr="00790253" w:rsidRDefault="00F177DA" w:rsidP="00790253">
      <w:pPr>
        <w:pStyle w:val="SingleTxtG"/>
        <w:ind w:left="2268" w:hanging="1134"/>
        <w:rPr>
          <w:iCs/>
          <w:kern w:val="20"/>
        </w:rPr>
      </w:pPr>
      <w:r w:rsidRPr="00790253">
        <w:rPr>
          <w:iCs/>
          <w:kern w:val="20"/>
        </w:rPr>
        <w:t>«2.2.5</w:t>
      </w:r>
      <w:r w:rsidRPr="00790253">
        <w:rPr>
          <w:iCs/>
          <w:kern w:val="20"/>
        </w:rPr>
        <w:tab/>
      </w:r>
      <w:r w:rsidRPr="00790253">
        <w:rPr>
          <w:kern w:val="20"/>
        </w:rPr>
        <w:t>два образца огней, в принципе одного цвета для номинального напряжения 12 вольт, и, возможно, еще два образца для любого другого номинального напряжения, если одновременно либо впоследствии подается заявка на официальное утверждение специальных предупреждающих огней с другими номинальными напряжениями; в этом случае достаточно провести испытания в соответствии с пунктом </w:t>
      </w:r>
      <w:r w:rsidRPr="00790253">
        <w:rPr>
          <w:strike/>
          <w:kern w:val="20"/>
        </w:rPr>
        <w:t xml:space="preserve">5.5 </w:t>
      </w:r>
      <w:r w:rsidRPr="00790253">
        <w:rPr>
          <w:b/>
          <w:bCs/>
          <w:kern w:val="20"/>
        </w:rPr>
        <w:t>5.6</w:t>
      </w:r>
      <w:r w:rsidRPr="00790253">
        <w:rPr>
          <w:kern w:val="20"/>
        </w:rPr>
        <w:t xml:space="preserve"> ниже;»</w:t>
      </w:r>
      <w:r w:rsidRPr="00790253">
        <w:rPr>
          <w:iCs/>
          <w:kern w:val="20"/>
        </w:rPr>
        <w:t xml:space="preserve"> </w:t>
      </w:r>
    </w:p>
    <w:p w14:paraId="2651F258" w14:textId="77777777" w:rsidR="00F177DA" w:rsidRPr="00790253" w:rsidRDefault="00F177DA" w:rsidP="00790253">
      <w:pPr>
        <w:pStyle w:val="SingleTxtG"/>
        <w:rPr>
          <w:iCs/>
          <w:kern w:val="20"/>
        </w:rPr>
      </w:pPr>
      <w:r w:rsidRPr="00790253">
        <w:rPr>
          <w:i/>
          <w:iCs/>
          <w:kern w:val="20"/>
        </w:rPr>
        <w:t>Приложение 5, пункт 7.1</w:t>
      </w:r>
      <w:r w:rsidRPr="00790253">
        <w:rPr>
          <w:iCs/>
          <w:kern w:val="20"/>
        </w:rPr>
        <w:t xml:space="preserve"> исправить следующим образом:</w:t>
      </w:r>
    </w:p>
    <w:p w14:paraId="30CAEFB0" w14:textId="77777777" w:rsidR="00F177DA" w:rsidRPr="00790253" w:rsidRDefault="00F177DA" w:rsidP="00790253">
      <w:pPr>
        <w:pStyle w:val="SingleTxtG"/>
        <w:ind w:left="2276" w:right="1138" w:hanging="1138"/>
        <w:rPr>
          <w:kern w:val="20"/>
        </w:rPr>
      </w:pPr>
      <w:r w:rsidRPr="00790253">
        <w:rPr>
          <w:iCs/>
          <w:kern w:val="20"/>
        </w:rPr>
        <w:t>«</w:t>
      </w:r>
      <w:r w:rsidRPr="00790253">
        <w:rPr>
          <w:kern w:val="20"/>
        </w:rPr>
        <w:t>7.1</w:t>
      </w:r>
      <w:r w:rsidRPr="00790253">
        <w:rPr>
          <w:kern w:val="20"/>
        </w:rPr>
        <w:tab/>
        <w:t xml:space="preserve">Частота, </w:t>
      </w:r>
      <w:r w:rsidR="00900227" w:rsidRPr="00900227">
        <w:rPr>
          <w:kern w:val="20"/>
        </w:rPr>
        <w:t>“</w:t>
      </w:r>
      <w:r w:rsidRPr="00790253">
        <w:rPr>
          <w:kern w:val="20"/>
        </w:rPr>
        <w:t>продолжительность свечения</w:t>
      </w:r>
      <w:r w:rsidR="00900227" w:rsidRPr="00900227">
        <w:rPr>
          <w:kern w:val="20"/>
        </w:rPr>
        <w:t>”</w:t>
      </w:r>
      <w:r w:rsidRPr="00790253">
        <w:rPr>
          <w:kern w:val="20"/>
        </w:rPr>
        <w:t xml:space="preserve"> и </w:t>
      </w:r>
      <w:r w:rsidR="00900227" w:rsidRPr="00900227">
        <w:rPr>
          <w:kern w:val="20"/>
        </w:rPr>
        <w:t>“</w:t>
      </w:r>
      <w:r w:rsidRPr="00790253">
        <w:rPr>
          <w:kern w:val="20"/>
        </w:rPr>
        <w:t>продолжительность мерцания</w:t>
      </w:r>
      <w:r w:rsidR="00900227" w:rsidRPr="00900227">
        <w:rPr>
          <w:kern w:val="20"/>
        </w:rPr>
        <w:t>”</w:t>
      </w:r>
      <w:r w:rsidRPr="00790253">
        <w:rPr>
          <w:kern w:val="20"/>
        </w:rPr>
        <w:t xml:space="preserve"> должны соответствовать значениям, указанным в приведенной ниже таблице: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3968"/>
      </w:tblGrid>
      <w:tr w:rsidR="00F177DA" w:rsidRPr="0042647B" w14:paraId="7AF51E23" w14:textId="77777777" w:rsidTr="00386019">
        <w:trPr>
          <w:tblHeader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A04FB" w14:textId="77777777" w:rsidR="00F177DA" w:rsidRPr="0042647B" w:rsidRDefault="00F177DA" w:rsidP="00386019">
            <w:pPr>
              <w:spacing w:before="80" w:after="80" w:line="200" w:lineRule="exact"/>
              <w:ind w:right="113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C7E0D6A" w14:textId="77777777" w:rsidR="00F177DA" w:rsidRPr="0042647B" w:rsidRDefault="00F177DA" w:rsidP="00386019">
            <w:pPr>
              <w:spacing w:before="80" w:after="80" w:line="200" w:lineRule="exact"/>
              <w:ind w:right="113"/>
              <w:rPr>
                <w:i/>
              </w:rPr>
            </w:pPr>
          </w:p>
        </w:tc>
        <w:tc>
          <w:tcPr>
            <w:tcW w:w="3968" w:type="dxa"/>
            <w:shd w:val="clear" w:color="auto" w:fill="auto"/>
            <w:vAlign w:val="bottom"/>
          </w:tcPr>
          <w:p w14:paraId="4AD57BA4" w14:textId="77777777" w:rsidR="00F177DA" w:rsidRPr="0042647B" w:rsidRDefault="00F177DA" w:rsidP="00386019">
            <w:pPr>
              <w:spacing w:before="80" w:after="80" w:line="200" w:lineRule="exact"/>
              <w:ind w:left="288" w:right="115"/>
              <w:rPr>
                <w:i/>
              </w:rPr>
            </w:pPr>
            <w:r w:rsidRPr="0042647B">
              <w:rPr>
                <w:i/>
                <w:sz w:val="16"/>
              </w:rPr>
              <w:t xml:space="preserve">Синий </w:t>
            </w:r>
            <w:r w:rsidRPr="0042647B">
              <w:rPr>
                <w:i/>
                <w:strike/>
                <w:sz w:val="16"/>
              </w:rPr>
              <w:t>или</w:t>
            </w:r>
            <w:r w:rsidRPr="0042647B">
              <w:rPr>
                <w:b/>
                <w:i/>
                <w:sz w:val="16"/>
              </w:rPr>
              <w:t>,</w:t>
            </w:r>
            <w:r w:rsidRPr="0042647B">
              <w:rPr>
                <w:i/>
                <w:sz w:val="16"/>
              </w:rPr>
              <w:t xml:space="preserve"> автожелтый </w:t>
            </w:r>
            <w:r w:rsidRPr="0042647B">
              <w:rPr>
                <w:b/>
                <w:bCs/>
                <w:i/>
                <w:sz w:val="16"/>
              </w:rPr>
              <w:t>или красный</w:t>
            </w:r>
            <w:r w:rsidRPr="0042647B">
              <w:rPr>
                <w:i/>
                <w:sz w:val="16"/>
              </w:rPr>
              <w:t xml:space="preserve"> цвет</w:t>
            </w:r>
          </w:p>
        </w:tc>
      </w:tr>
      <w:tr w:rsidR="00F177DA" w:rsidRPr="0042647B" w14:paraId="7279526E" w14:textId="77777777" w:rsidTr="00386019">
        <w:trPr>
          <w:cantSplit/>
        </w:trPr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8922392" w14:textId="77777777" w:rsidR="00F177DA" w:rsidRPr="0042647B" w:rsidRDefault="00F177DA" w:rsidP="00386019">
            <w:pPr>
              <w:spacing w:before="40" w:line="220" w:lineRule="exact"/>
              <w:ind w:right="113"/>
            </w:pPr>
            <w:r w:rsidRPr="0042647B"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14:paraId="096B5F73" w14:textId="77777777" w:rsidR="00F177DA" w:rsidRPr="0042647B" w:rsidRDefault="00F177DA" w:rsidP="00386019">
            <w:pPr>
              <w:spacing w:before="40" w:line="220" w:lineRule="exact"/>
              <w:ind w:right="113"/>
            </w:pP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</w:tcPr>
          <w:p w14:paraId="77397639" w14:textId="77777777" w:rsidR="00F177DA" w:rsidRPr="0042647B" w:rsidRDefault="00F177DA" w:rsidP="00386019">
            <w:pPr>
              <w:spacing w:before="80" w:after="80" w:line="200" w:lineRule="exact"/>
              <w:ind w:left="288" w:right="115"/>
              <w:rPr>
                <w:i/>
              </w:rPr>
            </w:pPr>
            <w:r w:rsidRPr="0042647B">
              <w:rPr>
                <w:i/>
                <w:sz w:val="16"/>
              </w:rPr>
              <w:t>система вращения или источники проблескового света</w:t>
            </w:r>
            <w:r>
              <w:rPr>
                <w:i/>
                <w:sz w:val="16"/>
              </w:rPr>
              <w:t xml:space="preserve"> </w:t>
            </w:r>
            <w:r w:rsidRPr="0042647B">
              <w:rPr>
                <w:i/>
                <w:sz w:val="16"/>
              </w:rPr>
              <w:t xml:space="preserve">(категории </w:t>
            </w:r>
            <w:r w:rsidRPr="00BA0DA9">
              <w:rPr>
                <w:i/>
                <w:sz w:val="16"/>
              </w:rPr>
              <w:t>T</w:t>
            </w:r>
            <w:r w:rsidRPr="0042647B">
              <w:rPr>
                <w:i/>
                <w:sz w:val="16"/>
              </w:rPr>
              <w:t xml:space="preserve"> и </w:t>
            </w:r>
            <w:r w:rsidRPr="00BA0DA9">
              <w:rPr>
                <w:i/>
                <w:sz w:val="16"/>
              </w:rPr>
              <w:t>X</w:t>
            </w:r>
            <w:r w:rsidRPr="0042647B">
              <w:rPr>
                <w:i/>
              </w:rPr>
              <w:t>)</w:t>
            </w:r>
          </w:p>
        </w:tc>
      </w:tr>
      <w:tr w:rsidR="00F177DA" w:rsidRPr="00A43CB5" w14:paraId="055F0B78" w14:textId="77777777" w:rsidTr="00386019">
        <w:trPr>
          <w:cantSplit/>
        </w:trPr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5C2B31" w14:textId="77777777" w:rsidR="00F177DA" w:rsidRPr="00A43CB5" w:rsidRDefault="00F177DA" w:rsidP="00386019">
            <w:pPr>
              <w:spacing w:before="40" w:line="220" w:lineRule="exact"/>
              <w:ind w:left="115" w:right="115"/>
            </w:pPr>
            <w:r w:rsidRPr="00BA0DA9">
              <w:t>Частота f (Гц)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1F1B98F" w14:textId="77777777" w:rsidR="00F177DA" w:rsidRPr="00A43CB5" w:rsidRDefault="00F177DA" w:rsidP="00386019">
            <w:pPr>
              <w:spacing w:before="40" w:line="220" w:lineRule="exact"/>
              <w:ind w:right="113"/>
            </w:pPr>
            <w:r>
              <w:tab/>
            </w:r>
            <w:r w:rsidRPr="00BA0DA9">
              <w:t>макс.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1689D15" w14:textId="77777777" w:rsidR="00F177DA" w:rsidRPr="00382093" w:rsidRDefault="00F177DA" w:rsidP="00386019">
            <w:pPr>
              <w:spacing w:before="40" w:line="220" w:lineRule="exact"/>
              <w:ind w:left="115" w:right="115"/>
              <w:jc w:val="center"/>
            </w:pPr>
            <w:r w:rsidRPr="00382093">
              <w:t>4</w:t>
            </w:r>
            <w:r>
              <w:t>,</w:t>
            </w:r>
            <w:r w:rsidRPr="00382093">
              <w:t>0</w:t>
            </w:r>
          </w:p>
        </w:tc>
      </w:tr>
      <w:tr w:rsidR="00F177DA" w:rsidRPr="00A43CB5" w14:paraId="5374276D" w14:textId="77777777" w:rsidTr="00386019">
        <w:trPr>
          <w:cantSplit/>
        </w:trPr>
        <w:tc>
          <w:tcPr>
            <w:tcW w:w="2127" w:type="dxa"/>
            <w:vMerge/>
            <w:shd w:val="clear" w:color="auto" w:fill="auto"/>
            <w:vAlign w:val="bottom"/>
          </w:tcPr>
          <w:p w14:paraId="2A47B018" w14:textId="77777777" w:rsidR="00F177DA" w:rsidRPr="00A43CB5" w:rsidRDefault="00F177DA" w:rsidP="00386019">
            <w:pPr>
              <w:spacing w:before="40" w:line="220" w:lineRule="exact"/>
              <w:ind w:right="113"/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B3B56B9" w14:textId="77777777" w:rsidR="00F177DA" w:rsidRPr="00A43CB5" w:rsidRDefault="00F177DA" w:rsidP="00386019">
            <w:pPr>
              <w:spacing w:before="40" w:line="220" w:lineRule="exact"/>
              <w:ind w:right="113"/>
            </w:pPr>
            <w:r>
              <w:tab/>
            </w:r>
            <w:r w:rsidRPr="00BA0DA9">
              <w:t>мин.</w:t>
            </w:r>
          </w:p>
        </w:tc>
        <w:tc>
          <w:tcPr>
            <w:tcW w:w="3968" w:type="dxa"/>
            <w:shd w:val="clear" w:color="auto" w:fill="auto"/>
            <w:vAlign w:val="bottom"/>
          </w:tcPr>
          <w:p w14:paraId="4E7AAE0E" w14:textId="77777777" w:rsidR="00F177DA" w:rsidRPr="00382093" w:rsidRDefault="00F177DA" w:rsidP="00386019">
            <w:pPr>
              <w:spacing w:before="40" w:line="220" w:lineRule="exact"/>
              <w:ind w:left="115" w:right="115"/>
              <w:jc w:val="center"/>
            </w:pPr>
            <w:r>
              <w:t>2,</w:t>
            </w:r>
            <w:r w:rsidRPr="00382093">
              <w:t>0</w:t>
            </w:r>
          </w:p>
        </w:tc>
      </w:tr>
      <w:tr w:rsidR="00F177DA" w:rsidRPr="00A43CB5" w14:paraId="46303FCE" w14:textId="77777777" w:rsidTr="00386019">
        <w:trPr>
          <w:cantSplit/>
        </w:trPr>
        <w:tc>
          <w:tcPr>
            <w:tcW w:w="2127" w:type="dxa"/>
            <w:shd w:val="clear" w:color="auto" w:fill="auto"/>
            <w:vAlign w:val="bottom"/>
          </w:tcPr>
          <w:p w14:paraId="2A19605C" w14:textId="77777777" w:rsidR="00F177DA" w:rsidRPr="00A43CB5" w:rsidRDefault="00900227" w:rsidP="00386019">
            <w:pPr>
              <w:spacing w:before="40" w:line="220" w:lineRule="exact"/>
              <w:ind w:left="115" w:right="115"/>
            </w:pPr>
            <w:r>
              <w:rPr>
                <w:lang w:val="en-US"/>
              </w:rPr>
              <w:t>“</w:t>
            </w:r>
            <w:r w:rsidR="00F177DA" w:rsidRPr="00BA0DA9">
              <w:t>продолжительность свечения</w:t>
            </w:r>
            <w:r>
              <w:rPr>
                <w:lang w:val="en-US"/>
              </w:rPr>
              <w:t>”</w:t>
            </w:r>
            <w:r w:rsidR="00F177DA">
              <w:t xml:space="preserve"> </w:t>
            </w:r>
            <w:r w:rsidR="00F177DA" w:rsidRPr="00BA0DA9">
              <w:t>t</w:t>
            </w:r>
            <w:r w:rsidR="00F177DA" w:rsidRPr="000811AE">
              <w:rPr>
                <w:vertAlign w:val="subscript"/>
              </w:rPr>
              <w:t>H</w:t>
            </w:r>
            <w:r w:rsidR="00F177DA" w:rsidRPr="00BA0DA9">
              <w:t xml:space="preserve"> (s)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A926225" w14:textId="77777777" w:rsidR="00F177DA" w:rsidRPr="00A43CB5" w:rsidRDefault="00F177DA" w:rsidP="00386019">
            <w:pPr>
              <w:spacing w:before="40" w:line="220" w:lineRule="exact"/>
              <w:ind w:right="113"/>
            </w:pPr>
            <w:r>
              <w:tab/>
            </w:r>
            <w:r w:rsidRPr="00BA0DA9">
              <w:t>макс.</w:t>
            </w:r>
          </w:p>
        </w:tc>
        <w:tc>
          <w:tcPr>
            <w:tcW w:w="3968" w:type="dxa"/>
            <w:shd w:val="clear" w:color="auto" w:fill="auto"/>
            <w:vAlign w:val="bottom"/>
          </w:tcPr>
          <w:p w14:paraId="4CCBEC2C" w14:textId="77777777" w:rsidR="00F177DA" w:rsidRPr="00382093" w:rsidRDefault="00F177DA" w:rsidP="00386019">
            <w:pPr>
              <w:spacing w:before="40" w:line="220" w:lineRule="exact"/>
              <w:ind w:left="115" w:right="115"/>
              <w:jc w:val="center"/>
            </w:pPr>
            <w:r>
              <w:t>0,</w:t>
            </w:r>
            <w:r w:rsidRPr="00382093">
              <w:t>4/f</w:t>
            </w:r>
          </w:p>
        </w:tc>
      </w:tr>
      <w:tr w:rsidR="00F177DA" w:rsidRPr="00A43CB5" w14:paraId="72C38584" w14:textId="77777777" w:rsidTr="00386019">
        <w:trPr>
          <w:cantSplit/>
        </w:trPr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40CAA49" w14:textId="77777777" w:rsidR="00F177DA" w:rsidRPr="00A43CB5" w:rsidRDefault="00900227" w:rsidP="00386019">
            <w:pPr>
              <w:spacing w:before="40" w:line="220" w:lineRule="exact"/>
              <w:ind w:left="115" w:right="115"/>
            </w:pPr>
            <w:r>
              <w:rPr>
                <w:lang w:val="en-US"/>
              </w:rPr>
              <w:t>“</w:t>
            </w:r>
            <w:r w:rsidR="00F177DA" w:rsidRPr="00BA0DA9">
              <w:t>продолжительность мерцания</w:t>
            </w:r>
            <w:r>
              <w:rPr>
                <w:lang w:val="en-US"/>
              </w:rPr>
              <w:t>”</w:t>
            </w:r>
            <w:r w:rsidR="00F177DA" w:rsidRPr="00BA0DA9">
              <w:t xml:space="preserve"> t</w:t>
            </w:r>
            <w:r w:rsidR="00F177DA" w:rsidRPr="000811AE">
              <w:rPr>
                <w:vertAlign w:val="subscript"/>
              </w:rPr>
              <w:t>D</w:t>
            </w:r>
            <w:r w:rsidR="00F177DA" w:rsidRPr="00BA0DA9">
              <w:t xml:space="preserve"> (s)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4ED944D" w14:textId="77777777" w:rsidR="00F177DA" w:rsidRPr="00A43CB5" w:rsidRDefault="00F177DA" w:rsidP="00386019">
            <w:pPr>
              <w:spacing w:before="40" w:line="220" w:lineRule="exact"/>
              <w:ind w:right="113"/>
            </w:pPr>
            <w:r>
              <w:tab/>
            </w:r>
            <w:r w:rsidRPr="00BA0DA9">
              <w:t>мин.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95F2963" w14:textId="77777777" w:rsidR="00F177DA" w:rsidRPr="00382093" w:rsidRDefault="00F177DA" w:rsidP="00386019">
            <w:pPr>
              <w:spacing w:before="40" w:line="220" w:lineRule="exact"/>
              <w:ind w:left="115" w:right="115"/>
              <w:jc w:val="center"/>
            </w:pPr>
            <w:r w:rsidRPr="00382093">
              <w:t>0</w:t>
            </w:r>
            <w:r>
              <w:t>,</w:t>
            </w:r>
            <w:r w:rsidRPr="00382093">
              <w:t>1</w:t>
            </w:r>
          </w:p>
        </w:tc>
      </w:tr>
    </w:tbl>
    <w:p w14:paraId="51E60EE4" w14:textId="77777777" w:rsidR="00F177DA" w:rsidRPr="00900227" w:rsidRDefault="00900227" w:rsidP="00F177DA">
      <w:pPr>
        <w:pStyle w:val="SingleTxtG"/>
        <w:ind w:left="542"/>
        <w:jc w:val="right"/>
        <w:rPr>
          <w:b/>
          <w:sz w:val="28"/>
        </w:rPr>
      </w:pPr>
      <w:r>
        <w:rPr>
          <w:iCs/>
        </w:rPr>
        <w:t>»</w:t>
      </w:r>
    </w:p>
    <w:p w14:paraId="01D61713" w14:textId="77777777" w:rsidR="00F177DA" w:rsidRDefault="00F177DA" w:rsidP="00F177DA">
      <w:pPr>
        <w:pStyle w:val="HChG"/>
      </w:pPr>
      <w:r w:rsidRPr="00525E6C">
        <w:tab/>
        <w:t>II.</w:t>
      </w:r>
      <w:r w:rsidRPr="00525E6C">
        <w:tab/>
      </w:r>
      <w:r>
        <w:t>Обоснование</w:t>
      </w:r>
    </w:p>
    <w:p w14:paraId="0D3FEA01" w14:textId="77777777" w:rsidR="00F177DA" w:rsidRPr="007F68A3" w:rsidRDefault="00F177DA" w:rsidP="007F68A3">
      <w:pPr>
        <w:spacing w:after="120"/>
        <w:ind w:left="1134" w:right="1134"/>
        <w:jc w:val="both"/>
        <w:rPr>
          <w:bCs/>
          <w:szCs w:val="20"/>
        </w:rPr>
      </w:pPr>
      <w:r w:rsidRPr="007F68A3">
        <w:rPr>
          <w:rFonts w:eastAsia="Times New Roman" w:cs="Times New Roman"/>
          <w:bCs/>
          <w:szCs w:val="20"/>
        </w:rPr>
        <w:t>1.</w:t>
      </w:r>
      <w:r w:rsidRPr="007F68A3">
        <w:rPr>
          <w:rFonts w:eastAsia="Times New Roman" w:cs="Times New Roman"/>
          <w:bCs/>
          <w:szCs w:val="20"/>
        </w:rPr>
        <w:tab/>
      </w:r>
      <w:r w:rsidRPr="007F68A3">
        <w:rPr>
          <w:bCs/>
          <w:szCs w:val="20"/>
          <w:lang w:eastAsia="it-IT"/>
        </w:rPr>
        <w:t>Результаты недавнего анализа содержания Правил № 65 ООН свидетельствуют о некоторых давних редакционных ошибках, которые не отражаются на технических требованиях, но могут создать путаницу.</w:t>
      </w:r>
    </w:p>
    <w:p w14:paraId="6800E162" w14:textId="77777777" w:rsidR="00F177DA" w:rsidRPr="007F68A3" w:rsidRDefault="00F177DA" w:rsidP="007F68A3">
      <w:pPr>
        <w:spacing w:after="120"/>
        <w:ind w:left="1134" w:right="1134"/>
        <w:jc w:val="both"/>
        <w:rPr>
          <w:bCs/>
          <w:szCs w:val="20"/>
        </w:rPr>
      </w:pPr>
      <w:r w:rsidRPr="007F68A3">
        <w:rPr>
          <w:rFonts w:eastAsia="Times New Roman" w:cs="Times New Roman"/>
          <w:bCs/>
          <w:szCs w:val="20"/>
        </w:rPr>
        <w:t>2.</w:t>
      </w:r>
      <w:r w:rsidRPr="007F68A3">
        <w:rPr>
          <w:rFonts w:eastAsia="Times New Roman" w:cs="Times New Roman"/>
          <w:bCs/>
          <w:szCs w:val="20"/>
        </w:rPr>
        <w:tab/>
      </w:r>
      <w:r w:rsidRPr="007F68A3">
        <w:rPr>
          <w:szCs w:val="20"/>
        </w:rPr>
        <w:t xml:space="preserve">Первоначально настоящее предложение было рассмотрено на восемьдесят первой сессии Рабочей группы по вопросам освещения и световой сигнализации (GRE) в качестве неофициального документа GRE-81-05. В конце дискуссии БРГ было </w:t>
      </w:r>
      <w:r w:rsidRPr="007F68A3">
        <w:rPr>
          <w:szCs w:val="20"/>
        </w:rPr>
        <w:lastRenderedPageBreak/>
        <w:t>предложено подготовить официальный документ с отражением согласованных вариантов усовершенствования текста для рассмотрения на следующей сессии</w:t>
      </w:r>
      <w:r w:rsidRPr="007F68A3">
        <w:rPr>
          <w:bCs/>
          <w:szCs w:val="20"/>
        </w:rPr>
        <w:t xml:space="preserve">. </w:t>
      </w:r>
    </w:p>
    <w:p w14:paraId="04D36634" w14:textId="77777777" w:rsidR="00F177DA" w:rsidRPr="007F68A3" w:rsidRDefault="00F177DA" w:rsidP="007F68A3">
      <w:pPr>
        <w:spacing w:after="120"/>
        <w:ind w:left="1134" w:right="1134"/>
        <w:jc w:val="both"/>
        <w:rPr>
          <w:bCs/>
          <w:szCs w:val="20"/>
        </w:rPr>
      </w:pPr>
      <w:r w:rsidRPr="007F68A3">
        <w:rPr>
          <w:rFonts w:eastAsia="Times New Roman" w:cs="Times New Roman"/>
          <w:bCs/>
          <w:szCs w:val="20"/>
        </w:rPr>
        <w:t>3.</w:t>
      </w:r>
      <w:r w:rsidRPr="007F68A3">
        <w:rPr>
          <w:rFonts w:eastAsia="Times New Roman" w:cs="Times New Roman"/>
          <w:bCs/>
          <w:szCs w:val="20"/>
        </w:rPr>
        <w:tab/>
      </w:r>
      <w:r w:rsidRPr="007F68A3">
        <w:rPr>
          <w:bCs/>
          <w:szCs w:val="20"/>
        </w:rPr>
        <w:t xml:space="preserve">Пересмотренное предложение БРГ было обсуждено на восемьдесят второй сессии GRE в качестве документа ECE/TRANS/WP.29/GRE/2019/17. На той же сессии GRE также рассмотрела предложение Польши об </w:t>
      </w:r>
      <w:r w:rsidRPr="007F68A3">
        <w:rPr>
          <w:color w:val="333333"/>
          <w:szCs w:val="20"/>
          <w:shd w:val="clear" w:color="auto" w:fill="FFFFFF"/>
        </w:rPr>
        <w:t xml:space="preserve">уточнения определения </w:t>
      </w:r>
      <w:r w:rsidR="009B4BB4" w:rsidRPr="007F68A3">
        <w:rPr>
          <w:color w:val="333333"/>
          <w:szCs w:val="20"/>
          <w:shd w:val="clear" w:color="auto" w:fill="FFFFFF"/>
        </w:rPr>
        <w:t>«</w:t>
      </w:r>
      <w:r w:rsidRPr="007F68A3">
        <w:rPr>
          <w:color w:val="333333"/>
          <w:szCs w:val="20"/>
          <w:shd w:val="clear" w:color="auto" w:fill="FFFFFF"/>
        </w:rPr>
        <w:t>продолжительности свечения</w:t>
      </w:r>
      <w:r w:rsidR="009B4BB4" w:rsidRPr="007F68A3">
        <w:rPr>
          <w:color w:val="333333"/>
          <w:szCs w:val="20"/>
          <w:shd w:val="clear" w:color="auto" w:fill="FFFFFF"/>
        </w:rPr>
        <w:t>»</w:t>
      </w:r>
      <w:r w:rsidRPr="007F68A3">
        <w:rPr>
          <w:color w:val="333333"/>
          <w:szCs w:val="20"/>
          <w:shd w:val="clear" w:color="auto" w:fill="FFFFFF"/>
        </w:rPr>
        <w:t xml:space="preserve"> для группы вспышек</w:t>
      </w:r>
      <w:r w:rsidRPr="007F68A3">
        <w:rPr>
          <w:bCs/>
          <w:szCs w:val="20"/>
        </w:rPr>
        <w:t xml:space="preserve"> (GRE-82-09). </w:t>
      </w:r>
    </w:p>
    <w:p w14:paraId="3D049BE1" w14:textId="77777777" w:rsidR="00F177DA" w:rsidRPr="007F68A3" w:rsidRDefault="00F177DA" w:rsidP="007F68A3">
      <w:pPr>
        <w:spacing w:after="120"/>
        <w:ind w:left="1134" w:right="1134"/>
        <w:jc w:val="both"/>
        <w:rPr>
          <w:bCs/>
          <w:szCs w:val="20"/>
        </w:rPr>
      </w:pPr>
      <w:r w:rsidRPr="007F68A3">
        <w:rPr>
          <w:rFonts w:eastAsia="Times New Roman" w:cs="Times New Roman"/>
          <w:bCs/>
          <w:szCs w:val="20"/>
        </w:rPr>
        <w:t>4.</w:t>
      </w:r>
      <w:r w:rsidRPr="007F68A3">
        <w:rPr>
          <w:rFonts w:eastAsia="Times New Roman" w:cs="Times New Roman"/>
          <w:bCs/>
          <w:szCs w:val="20"/>
        </w:rPr>
        <w:tab/>
      </w:r>
      <w:r w:rsidRPr="007F68A3">
        <w:rPr>
          <w:bCs/>
          <w:szCs w:val="20"/>
        </w:rPr>
        <w:t>GRE одобрила поправки к документу ECE/TRANS/WP.29/GRE/2019/17, предложенные БРГ, но решила отложить их передачу Всемирному форуму (WP.29) в ожидании пересмотренного предложения, предусматривающего их объединение с предложением Польши (ECE/TRANS/WP.29/GRE/82, пункт 39). По этой причине предполагается обсудить лишь ту часть предложения, которая касается пунктов 1.4 и</w:t>
      </w:r>
      <w:r w:rsidR="00C75664">
        <w:rPr>
          <w:bCs/>
          <w:szCs w:val="20"/>
        </w:rPr>
        <w:t> </w:t>
      </w:r>
      <w:r w:rsidRPr="007F68A3">
        <w:rPr>
          <w:bCs/>
          <w:szCs w:val="20"/>
        </w:rPr>
        <w:t>1.5. Остальной текст предложения передается в секретариат для удобства.</w:t>
      </w:r>
    </w:p>
    <w:p w14:paraId="74DCC90C" w14:textId="77777777" w:rsidR="00F177DA" w:rsidRPr="007F68A3" w:rsidRDefault="00F177DA" w:rsidP="007F68A3">
      <w:pPr>
        <w:pStyle w:val="Paragraphedeliste"/>
        <w:spacing w:after="120"/>
        <w:ind w:left="1134" w:right="1134"/>
        <w:contextualSpacing w:val="0"/>
        <w:jc w:val="both"/>
        <w:rPr>
          <w:bCs/>
          <w:i/>
          <w:iCs/>
          <w:u w:val="single"/>
          <w:lang w:val="ru-RU"/>
        </w:rPr>
      </w:pPr>
      <w:r w:rsidRPr="007F68A3">
        <w:rPr>
          <w:bCs/>
          <w:i/>
          <w:iCs/>
          <w:u w:val="single"/>
          <w:lang w:val="ru-RU"/>
        </w:rPr>
        <w:t>Дополнительные обоснования для внесения поправок в пункты 1.4 и 1.5</w:t>
      </w:r>
    </w:p>
    <w:p w14:paraId="5519C80B" w14:textId="77777777" w:rsidR="00F177DA" w:rsidRPr="007F68A3" w:rsidRDefault="00F177DA" w:rsidP="007F68A3">
      <w:pPr>
        <w:spacing w:after="120"/>
        <w:ind w:left="1134" w:right="1134"/>
        <w:jc w:val="both"/>
        <w:rPr>
          <w:bCs/>
          <w:szCs w:val="20"/>
        </w:rPr>
      </w:pPr>
      <w:r w:rsidRPr="007F68A3">
        <w:rPr>
          <w:rFonts w:eastAsia="Times New Roman" w:cs="Times New Roman"/>
          <w:bCs/>
          <w:szCs w:val="20"/>
        </w:rPr>
        <w:t>5.</w:t>
      </w:r>
      <w:r w:rsidRPr="007F68A3">
        <w:rPr>
          <w:rFonts w:eastAsia="Times New Roman" w:cs="Times New Roman"/>
          <w:bCs/>
          <w:szCs w:val="20"/>
        </w:rPr>
        <w:tab/>
      </w:r>
      <w:r w:rsidRPr="007F68A3">
        <w:rPr>
          <w:bCs/>
          <w:szCs w:val="20"/>
        </w:rPr>
        <w:t>Нынешнее определение не адаптировано к тому случаю, когда одна вспышка включает несколько вспышек. Оно может быть истолковано в качестве общей «продолжительности свечения» только каждой из вспышек в группе (без учета промежутков времени между вспышками). Данная поправка нацелена на уточнение этого определения и исключение проблем с толкованием.</w:t>
      </w:r>
    </w:p>
    <w:p w14:paraId="591C4368" w14:textId="77777777" w:rsidR="00F177DA" w:rsidRPr="007F68A3" w:rsidRDefault="00F177DA" w:rsidP="007F68A3">
      <w:pPr>
        <w:spacing w:after="120"/>
        <w:ind w:left="1134" w:right="1134"/>
        <w:jc w:val="both"/>
        <w:rPr>
          <w:bCs/>
          <w:szCs w:val="20"/>
        </w:rPr>
      </w:pPr>
      <w:r w:rsidRPr="007F68A3">
        <w:rPr>
          <w:rFonts w:eastAsia="Times New Roman" w:cs="Times New Roman"/>
          <w:bCs/>
          <w:szCs w:val="20"/>
        </w:rPr>
        <w:t>6.</w:t>
      </w:r>
      <w:r w:rsidRPr="007F68A3">
        <w:rPr>
          <w:rFonts w:eastAsia="Times New Roman" w:cs="Times New Roman"/>
          <w:bCs/>
          <w:szCs w:val="20"/>
        </w:rPr>
        <w:tab/>
      </w:r>
      <w:r w:rsidRPr="007F68A3">
        <w:rPr>
          <w:bCs/>
          <w:szCs w:val="20"/>
        </w:rPr>
        <w:t>Определение «продолжительности свечения» в настоящее время аналогично определению «продолжительности мерцания» и учитывает те случаи, когда речь идет о группе вспышек. Что касается группы из нескольких вспышек, то сейчас уже совершенно ясно, когда следует начинать и когда следует завершать измерение «продолжительности свечения» и «продолжительности мерцания».</w:t>
      </w:r>
    </w:p>
    <w:p w14:paraId="2C52DED3" w14:textId="77777777" w:rsidR="00E12C5F" w:rsidRPr="007F68A3" w:rsidRDefault="009B4BB4" w:rsidP="007F68A3">
      <w:pPr>
        <w:spacing w:before="240"/>
        <w:ind w:left="1134" w:right="1134"/>
        <w:jc w:val="center"/>
        <w:rPr>
          <w:szCs w:val="20"/>
        </w:rPr>
      </w:pPr>
      <w:r w:rsidRPr="007F68A3">
        <w:rPr>
          <w:bCs/>
          <w:szCs w:val="20"/>
          <w:u w:val="single"/>
        </w:rPr>
        <w:tab/>
      </w:r>
      <w:r w:rsidRPr="007F68A3">
        <w:rPr>
          <w:bCs/>
          <w:szCs w:val="20"/>
          <w:u w:val="single"/>
        </w:rPr>
        <w:tab/>
      </w:r>
      <w:r w:rsidRPr="007F68A3">
        <w:rPr>
          <w:bCs/>
          <w:szCs w:val="20"/>
          <w:u w:val="single"/>
        </w:rPr>
        <w:tab/>
      </w:r>
      <w:r w:rsidRPr="007F68A3">
        <w:rPr>
          <w:bCs/>
          <w:szCs w:val="20"/>
          <w:u w:val="single"/>
        </w:rPr>
        <w:tab/>
      </w:r>
    </w:p>
    <w:sectPr w:rsidR="00E12C5F" w:rsidRPr="007F68A3" w:rsidSect="00F177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1C3C6" w14:textId="77777777" w:rsidR="0089296B" w:rsidRPr="00A312BC" w:rsidRDefault="0089296B" w:rsidP="00A312BC"/>
  </w:endnote>
  <w:endnote w:type="continuationSeparator" w:id="0">
    <w:p w14:paraId="09EF3C93" w14:textId="77777777" w:rsidR="0089296B" w:rsidRPr="00A312BC" w:rsidRDefault="0089296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78C93" w14:textId="77777777" w:rsidR="00F177DA" w:rsidRPr="00F177DA" w:rsidRDefault="00F177DA">
    <w:pPr>
      <w:pStyle w:val="Pieddepage"/>
    </w:pPr>
    <w:r w:rsidRPr="00F177DA">
      <w:rPr>
        <w:b/>
        <w:sz w:val="18"/>
      </w:rPr>
      <w:fldChar w:fldCharType="begin"/>
    </w:r>
    <w:r w:rsidRPr="00F177DA">
      <w:rPr>
        <w:b/>
        <w:sz w:val="18"/>
      </w:rPr>
      <w:instrText xml:space="preserve"> PAGE  \* MERGEFORMAT </w:instrText>
    </w:r>
    <w:r w:rsidRPr="00F177DA">
      <w:rPr>
        <w:b/>
        <w:sz w:val="18"/>
      </w:rPr>
      <w:fldChar w:fldCharType="separate"/>
    </w:r>
    <w:r w:rsidRPr="00F177DA">
      <w:rPr>
        <w:b/>
        <w:noProof/>
        <w:sz w:val="18"/>
      </w:rPr>
      <w:t>2</w:t>
    </w:r>
    <w:r w:rsidRPr="00F177DA">
      <w:rPr>
        <w:b/>
        <w:sz w:val="18"/>
      </w:rPr>
      <w:fldChar w:fldCharType="end"/>
    </w:r>
    <w:r>
      <w:rPr>
        <w:b/>
        <w:sz w:val="18"/>
      </w:rPr>
      <w:tab/>
    </w:r>
    <w:r>
      <w:t>GE.20-10241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F6B05" w14:textId="77777777" w:rsidR="00F177DA" w:rsidRPr="00F177DA" w:rsidRDefault="00F177DA" w:rsidP="00F177DA">
    <w:pPr>
      <w:pStyle w:val="Pieddepage"/>
      <w:tabs>
        <w:tab w:val="clear" w:pos="9639"/>
        <w:tab w:val="right" w:pos="9638"/>
      </w:tabs>
      <w:rPr>
        <w:b/>
        <w:sz w:val="18"/>
      </w:rPr>
    </w:pPr>
    <w:r>
      <w:t>GE.20-10241</w:t>
    </w:r>
    <w:r>
      <w:tab/>
    </w:r>
    <w:r w:rsidRPr="00F177DA">
      <w:rPr>
        <w:b/>
        <w:sz w:val="18"/>
      </w:rPr>
      <w:fldChar w:fldCharType="begin"/>
    </w:r>
    <w:r w:rsidRPr="00F177DA">
      <w:rPr>
        <w:b/>
        <w:sz w:val="18"/>
      </w:rPr>
      <w:instrText xml:space="preserve"> PAGE  \* MERGEFORMAT </w:instrText>
    </w:r>
    <w:r w:rsidRPr="00F177DA">
      <w:rPr>
        <w:b/>
        <w:sz w:val="18"/>
      </w:rPr>
      <w:fldChar w:fldCharType="separate"/>
    </w:r>
    <w:r w:rsidRPr="00F177DA">
      <w:rPr>
        <w:b/>
        <w:noProof/>
        <w:sz w:val="18"/>
      </w:rPr>
      <w:t>3</w:t>
    </w:r>
    <w:r w:rsidRPr="00F177D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6EC9D" w14:textId="77777777" w:rsidR="00042B72" w:rsidRPr="00F177DA" w:rsidRDefault="00F177DA" w:rsidP="00F177D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B729FD3" wp14:editId="776A543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20-10241  (R)</w:t>
    </w:r>
    <w:r>
      <w:rPr>
        <w:lang w:val="fr-CH"/>
      </w:rPr>
      <w:t xml:space="preserve">  110820  190820</w:t>
    </w:r>
    <w:r>
      <w:br/>
    </w:r>
    <w:r w:rsidRPr="00F177DA">
      <w:rPr>
        <w:rFonts w:ascii="C39T30Lfz" w:hAnsi="C39T30Lfz"/>
        <w:kern w:val="14"/>
        <w:sz w:val="56"/>
      </w:rPr>
      <w:t></w:t>
    </w:r>
    <w:r w:rsidRPr="00F177DA">
      <w:rPr>
        <w:rFonts w:ascii="C39T30Lfz" w:hAnsi="C39T30Lfz"/>
        <w:kern w:val="14"/>
        <w:sz w:val="56"/>
      </w:rPr>
      <w:t></w:t>
    </w:r>
    <w:r w:rsidRPr="00F177DA">
      <w:rPr>
        <w:rFonts w:ascii="C39T30Lfz" w:hAnsi="C39T30Lfz"/>
        <w:kern w:val="14"/>
        <w:sz w:val="56"/>
      </w:rPr>
      <w:t></w:t>
    </w:r>
    <w:r w:rsidRPr="00F177DA">
      <w:rPr>
        <w:rFonts w:ascii="C39T30Lfz" w:hAnsi="C39T30Lfz"/>
        <w:kern w:val="14"/>
        <w:sz w:val="56"/>
      </w:rPr>
      <w:t></w:t>
    </w:r>
    <w:r w:rsidRPr="00F177DA">
      <w:rPr>
        <w:rFonts w:ascii="C39T30Lfz" w:hAnsi="C39T30Lfz"/>
        <w:kern w:val="14"/>
        <w:sz w:val="56"/>
      </w:rPr>
      <w:t></w:t>
    </w:r>
    <w:r w:rsidRPr="00F177DA">
      <w:rPr>
        <w:rFonts w:ascii="C39T30Lfz" w:hAnsi="C39T30Lfz"/>
        <w:kern w:val="14"/>
        <w:sz w:val="56"/>
      </w:rPr>
      <w:t></w:t>
    </w:r>
    <w:r w:rsidRPr="00F177DA">
      <w:rPr>
        <w:rFonts w:ascii="C39T30Lfz" w:hAnsi="C39T30Lfz"/>
        <w:kern w:val="14"/>
        <w:sz w:val="56"/>
      </w:rPr>
      <w:t></w:t>
    </w:r>
    <w:r w:rsidRPr="00F177DA">
      <w:rPr>
        <w:rFonts w:ascii="C39T30Lfz" w:hAnsi="C39T30Lfz"/>
        <w:kern w:val="14"/>
        <w:sz w:val="56"/>
      </w:rPr>
      <w:t></w:t>
    </w:r>
    <w:r w:rsidRPr="00F177DA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8E4F55D" wp14:editId="52A59EF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C8E64" w14:textId="77777777" w:rsidR="0089296B" w:rsidRPr="001075E9" w:rsidRDefault="0089296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C3DA65" w14:textId="77777777" w:rsidR="0089296B" w:rsidRDefault="0089296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6CF5932" w14:textId="77777777" w:rsidR="00F177DA" w:rsidRPr="007E5C8F" w:rsidRDefault="00F177DA" w:rsidP="00F177DA">
      <w:pPr>
        <w:pStyle w:val="Notedebasdepage"/>
      </w:pPr>
      <w:r>
        <w:tab/>
      </w:r>
      <w:r w:rsidRPr="00790253">
        <w:rPr>
          <w:rStyle w:val="Appelnotedebasdep"/>
          <w:sz w:val="20"/>
          <w:vertAlign w:val="baseline"/>
        </w:rPr>
        <w:t>*</w:t>
      </w:r>
      <w:r w:rsidRPr="007C51D9">
        <w:rPr>
          <w:sz w:val="20"/>
        </w:rPr>
        <w:tab/>
      </w:r>
      <w:r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Организации Объединенных Наций в целях улучшения характеристик транспортных средств. Настоящий</w:t>
      </w:r>
      <w:r w:rsidRPr="007C51D9">
        <w:rPr>
          <w:lang w:val="en-US"/>
        </w:rPr>
        <w:t xml:space="preserve"> </w:t>
      </w:r>
      <w:r>
        <w:t>документ</w:t>
      </w:r>
      <w:r w:rsidRPr="007C51D9">
        <w:rPr>
          <w:lang w:val="en-US"/>
        </w:rPr>
        <w:t xml:space="preserve"> </w:t>
      </w:r>
      <w:r>
        <w:t>представлен</w:t>
      </w:r>
      <w:r w:rsidRPr="007C51D9">
        <w:rPr>
          <w:lang w:val="en-US"/>
        </w:rPr>
        <w:t xml:space="preserve"> </w:t>
      </w:r>
      <w:r>
        <w:t>в</w:t>
      </w:r>
      <w:r w:rsidRPr="007C51D9">
        <w:rPr>
          <w:lang w:val="en-US"/>
        </w:rPr>
        <w:t xml:space="preserve"> </w:t>
      </w:r>
      <w:r>
        <w:t>соответствии</w:t>
      </w:r>
      <w:r w:rsidRPr="007C51D9">
        <w:rPr>
          <w:lang w:val="en-US"/>
        </w:rPr>
        <w:t xml:space="preserve"> </w:t>
      </w:r>
      <w:r>
        <w:t>с</w:t>
      </w:r>
      <w:r w:rsidRPr="007C51D9">
        <w:rPr>
          <w:lang w:val="en-US"/>
        </w:rPr>
        <w:t xml:space="preserve"> </w:t>
      </w:r>
      <w:r>
        <w:t>этим</w:t>
      </w:r>
      <w:r w:rsidRPr="007C51D9">
        <w:rPr>
          <w:lang w:val="en-US"/>
        </w:rPr>
        <w:t xml:space="preserve"> </w:t>
      </w:r>
      <w:r>
        <w:t>мандатом</w:t>
      </w:r>
      <w:r w:rsidRPr="007C51D9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9A013" w14:textId="7917017E" w:rsidR="00F177DA" w:rsidRPr="00F177DA" w:rsidRDefault="00BA1378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911766">
      <w:t>ECE/TRANS/WP.29/GRE/2020/18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8A86A" w14:textId="7F52EAA1" w:rsidR="00F177DA" w:rsidRPr="00F177DA" w:rsidRDefault="00BA1378" w:rsidP="00F177DA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11766">
      <w:t>ECE/TRANS/WP.29/GRE/2020/18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144B0" w14:textId="77777777" w:rsidR="00F177DA" w:rsidRDefault="00F177DA" w:rsidP="00F177DA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D7136"/>
    <w:multiLevelType w:val="hybridMultilevel"/>
    <w:tmpl w:val="C87E2824"/>
    <w:lvl w:ilvl="0" w:tplc="FA7E3CA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6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734D"/>
    <w:rsid w:val="0014152F"/>
    <w:rsid w:val="00180183"/>
    <w:rsid w:val="0018024D"/>
    <w:rsid w:val="0018649F"/>
    <w:rsid w:val="00196014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35A9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0E40"/>
    <w:rsid w:val="006F35EE"/>
    <w:rsid w:val="007021FF"/>
    <w:rsid w:val="00712895"/>
    <w:rsid w:val="00734ACB"/>
    <w:rsid w:val="00757357"/>
    <w:rsid w:val="00790253"/>
    <w:rsid w:val="00792497"/>
    <w:rsid w:val="007F68A3"/>
    <w:rsid w:val="00806737"/>
    <w:rsid w:val="00825F8D"/>
    <w:rsid w:val="00834B71"/>
    <w:rsid w:val="0086445C"/>
    <w:rsid w:val="0089296B"/>
    <w:rsid w:val="00894693"/>
    <w:rsid w:val="008A08D7"/>
    <w:rsid w:val="008A37C8"/>
    <w:rsid w:val="008B6909"/>
    <w:rsid w:val="008D53B6"/>
    <w:rsid w:val="008F7609"/>
    <w:rsid w:val="00900227"/>
    <w:rsid w:val="00906890"/>
    <w:rsid w:val="00911766"/>
    <w:rsid w:val="00911BE4"/>
    <w:rsid w:val="00951972"/>
    <w:rsid w:val="009608F3"/>
    <w:rsid w:val="009A24AC"/>
    <w:rsid w:val="009B4BB4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94DE6"/>
    <w:rsid w:val="00BA1378"/>
    <w:rsid w:val="00BC18B2"/>
    <w:rsid w:val="00BD33EE"/>
    <w:rsid w:val="00BE1CC7"/>
    <w:rsid w:val="00C106D6"/>
    <w:rsid w:val="00C119AE"/>
    <w:rsid w:val="00C55D5B"/>
    <w:rsid w:val="00C60F0C"/>
    <w:rsid w:val="00C71E84"/>
    <w:rsid w:val="00C7566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4235"/>
    <w:rsid w:val="00E12C5F"/>
    <w:rsid w:val="00E73F76"/>
    <w:rsid w:val="00EA2C9F"/>
    <w:rsid w:val="00EA420E"/>
    <w:rsid w:val="00ED0BDA"/>
    <w:rsid w:val="00EE142A"/>
    <w:rsid w:val="00EF1360"/>
    <w:rsid w:val="00EF3220"/>
    <w:rsid w:val="00F177DA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5C46BFC"/>
  <w15:docId w15:val="{9844BDF6-D81B-47D1-BF7E-C03F5D7E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Titre1">
    <w:name w:val="heading 1"/>
    <w:aliases w:val="Table_G"/>
    <w:basedOn w:val="Normal"/>
    <w:next w:val="Normal"/>
    <w:link w:val="Titre1C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Titre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au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"/>
    <w:basedOn w:val="Normal"/>
    <w:next w:val="Normal"/>
    <w:link w:val="En-tteC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En-tteCar">
    <w:name w:val="En-tête Car"/>
    <w:aliases w:val="6_G Car"/>
    <w:basedOn w:val="Policepardfaut"/>
    <w:link w:val="En-tte"/>
    <w:rsid w:val="00617A43"/>
    <w:rPr>
      <w:b/>
      <w:sz w:val="18"/>
      <w:lang w:val="en-GB" w:eastAsia="ru-RU"/>
    </w:rPr>
  </w:style>
  <w:style w:type="character" w:styleId="Numrodepage">
    <w:name w:val="page number"/>
    <w:aliases w:val="7_G"/>
    <w:basedOn w:val="Policepardfaut"/>
    <w:qFormat/>
    <w:rsid w:val="00617A43"/>
    <w:rPr>
      <w:rFonts w:ascii="Times New Roman" w:hAnsi="Times New Roman"/>
      <w:b/>
      <w:sz w:val="18"/>
    </w:rPr>
  </w:style>
  <w:style w:type="paragraph" w:styleId="Pieddepage">
    <w:name w:val="footer"/>
    <w:aliases w:val="3_G"/>
    <w:basedOn w:val="Normal"/>
    <w:link w:val="PieddepageC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PieddepageCar">
    <w:name w:val="Pied de page Car"/>
    <w:aliases w:val="3_G Car"/>
    <w:basedOn w:val="Policepardfaut"/>
    <w:link w:val="Pieddepage"/>
    <w:uiPriority w:val="99"/>
    <w:rsid w:val="00617A43"/>
    <w:rPr>
      <w:sz w:val="16"/>
      <w:lang w:val="en-GB" w:eastAsia="ru-RU"/>
    </w:r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ppeldenotedefin">
    <w:name w:val="endnote reference"/>
    <w:aliases w:val="1_G"/>
    <w:basedOn w:val="Appelnotedebasdep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Grilledutableau">
    <w:name w:val="Table Grid"/>
    <w:basedOn w:val="Tableau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otedebasdepage">
    <w:name w:val="footnote text"/>
    <w:aliases w:val="5_G,PP,5_G_6"/>
    <w:basedOn w:val="Normal"/>
    <w:link w:val="NotedebasdepageC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617A43"/>
    <w:rPr>
      <w:sz w:val="18"/>
      <w:lang w:val="ru-RU" w:eastAsia="ru-RU"/>
    </w:rPr>
  </w:style>
  <w:style w:type="paragraph" w:styleId="Notedefin">
    <w:name w:val="endnote text"/>
    <w:aliases w:val="2_G"/>
    <w:basedOn w:val="Notedebasdepage"/>
    <w:link w:val="NotedefinCar"/>
    <w:qFormat/>
    <w:rsid w:val="00617A43"/>
  </w:style>
  <w:style w:type="character" w:customStyle="1" w:styleId="NotedefinCar">
    <w:name w:val="Note de fin Car"/>
    <w:aliases w:val="2_G Car"/>
    <w:basedOn w:val="Policepardfaut"/>
    <w:link w:val="Notedefin"/>
    <w:rsid w:val="00617A43"/>
    <w:rPr>
      <w:sz w:val="18"/>
      <w:lang w:val="ru-RU" w:eastAsia="ru-RU"/>
    </w:rPr>
  </w:style>
  <w:style w:type="character" w:customStyle="1" w:styleId="Titre1Car">
    <w:name w:val="Titre 1 Car"/>
    <w:aliases w:val="Table_G Car"/>
    <w:basedOn w:val="Policepardfaut"/>
    <w:link w:val="Titre1"/>
    <w:rsid w:val="00617A43"/>
    <w:rPr>
      <w:rFonts w:cs="Arial"/>
      <w:b/>
      <w:bCs/>
      <w:szCs w:val="32"/>
      <w:lang w:val="ru-RU" w:eastAsia="ru-RU"/>
    </w:rPr>
  </w:style>
  <w:style w:type="character" w:styleId="Lienhypertexte">
    <w:name w:val="Hyperlink"/>
    <w:basedOn w:val="Policepardfaut"/>
    <w:rsid w:val="00617A43"/>
    <w:rPr>
      <w:color w:val="0000FF" w:themeColor="hyperlink"/>
      <w:u w:val="none"/>
    </w:rPr>
  </w:style>
  <w:style w:type="character" w:styleId="Lienhypertextesuivivisit">
    <w:name w:val="FollowedHyperlink"/>
    <w:basedOn w:val="Policepardfau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F177DA"/>
    <w:rPr>
      <w:lang w:val="ru-RU" w:eastAsia="en-US"/>
    </w:rPr>
  </w:style>
  <w:style w:type="character" w:customStyle="1" w:styleId="HChGChar">
    <w:name w:val="_ H _Ch_G Char"/>
    <w:link w:val="HChG"/>
    <w:rsid w:val="00F177DA"/>
    <w:rPr>
      <w:b/>
      <w:sz w:val="28"/>
      <w:lang w:val="ru-RU" w:eastAsia="ru-RU"/>
    </w:rPr>
  </w:style>
  <w:style w:type="paragraph" w:styleId="Paragraphedeliste">
    <w:name w:val="List Paragraph"/>
    <w:basedOn w:val="Normal"/>
    <w:uiPriority w:val="34"/>
    <w:qFormat/>
    <w:rsid w:val="00F177DA"/>
    <w:pPr>
      <w:ind w:left="720"/>
      <w:contextualSpacing/>
    </w:pPr>
    <w:rPr>
      <w:rFonts w:eastAsia="Times New Roman" w:cs="Times New Roman"/>
      <w:szCs w:val="20"/>
      <w:lang w:val="en-GB"/>
    </w:rPr>
  </w:style>
  <w:style w:type="character" w:customStyle="1" w:styleId="H1GChar">
    <w:name w:val="_ H_1_G Char"/>
    <w:link w:val="H1G"/>
    <w:rsid w:val="00F177DA"/>
    <w:rPr>
      <w:b/>
      <w:sz w:val="24"/>
      <w:lang w:val="ru-RU" w:eastAsia="ru-RU"/>
    </w:rPr>
  </w:style>
  <w:style w:type="paragraph" w:customStyle="1" w:styleId="SingleTxtGR">
    <w:name w:val="_ Single Txt_GR"/>
    <w:basedOn w:val="Normal"/>
    <w:link w:val="SingleTxtGR0"/>
    <w:rsid w:val="00F177DA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SingleTxtGR0">
    <w:name w:val="_ Single Txt_GR Знак"/>
    <w:basedOn w:val="Policepardfaut"/>
    <w:link w:val="SingleTxtGR"/>
    <w:rsid w:val="00F177DA"/>
    <w:rPr>
      <w:spacing w:val="4"/>
      <w:w w:val="103"/>
      <w:kern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4489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ECE/TRANS/WP.29/GRE/2020/18</vt:lpstr>
      <vt:lpstr>A/</vt:lpstr>
      <vt:lpstr>A/</vt:lpstr>
    </vt:vector>
  </TitlesOfParts>
  <Company>DCM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ECE/TRANS/WP.29/GRE/2020/18</dc:title>
  <dc:subject/>
  <dc:creator>Olga OVTCHINNIKOVA</dc:creator>
  <cp:keywords/>
  <cp:lastModifiedBy>Benedicte Boudol</cp:lastModifiedBy>
  <cp:revision>2</cp:revision>
  <cp:lastPrinted>2020-08-19T14:33:00Z</cp:lastPrinted>
  <dcterms:created xsi:type="dcterms:W3CDTF">2020-09-01T13:43:00Z</dcterms:created>
  <dcterms:modified xsi:type="dcterms:W3CDTF">2020-09-01T13:43:00Z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