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B95F6A" w14:textId="77777777" w:rsidTr="00C97039">
        <w:trPr>
          <w:trHeight w:hRule="exact" w:val="851"/>
        </w:trPr>
        <w:tc>
          <w:tcPr>
            <w:tcW w:w="1276" w:type="dxa"/>
            <w:tcBorders>
              <w:bottom w:val="single" w:sz="4" w:space="0" w:color="auto"/>
            </w:tcBorders>
          </w:tcPr>
          <w:p w14:paraId="02214001" w14:textId="77777777" w:rsidR="00F35BAF" w:rsidRPr="00DB58B5" w:rsidRDefault="00F35BAF" w:rsidP="00047807"/>
        </w:tc>
        <w:tc>
          <w:tcPr>
            <w:tcW w:w="2268" w:type="dxa"/>
            <w:tcBorders>
              <w:bottom w:val="single" w:sz="4" w:space="0" w:color="auto"/>
            </w:tcBorders>
            <w:vAlign w:val="bottom"/>
          </w:tcPr>
          <w:p w14:paraId="50A10E6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B15291" w14:textId="77777777" w:rsidR="00F35BAF" w:rsidRPr="00DB58B5" w:rsidRDefault="00047807" w:rsidP="00047807">
            <w:pPr>
              <w:jc w:val="right"/>
            </w:pPr>
            <w:r w:rsidRPr="00047807">
              <w:rPr>
                <w:sz w:val="40"/>
              </w:rPr>
              <w:t>ECE</w:t>
            </w:r>
            <w:r>
              <w:t>/TRANS/WP.29/GRE/2020/18</w:t>
            </w:r>
          </w:p>
        </w:tc>
      </w:tr>
      <w:tr w:rsidR="00F35BAF" w:rsidRPr="00DB58B5" w14:paraId="260BC563" w14:textId="77777777" w:rsidTr="00C97039">
        <w:trPr>
          <w:trHeight w:hRule="exact" w:val="2835"/>
        </w:trPr>
        <w:tc>
          <w:tcPr>
            <w:tcW w:w="1276" w:type="dxa"/>
            <w:tcBorders>
              <w:top w:val="single" w:sz="4" w:space="0" w:color="auto"/>
              <w:bottom w:val="single" w:sz="12" w:space="0" w:color="auto"/>
            </w:tcBorders>
          </w:tcPr>
          <w:p w14:paraId="308E3E13" w14:textId="77777777" w:rsidR="00F35BAF" w:rsidRPr="00DB58B5" w:rsidRDefault="00F35BAF" w:rsidP="00C97039">
            <w:pPr>
              <w:spacing w:before="120"/>
              <w:jc w:val="center"/>
            </w:pPr>
            <w:r>
              <w:rPr>
                <w:noProof/>
                <w:lang w:eastAsia="fr-CH"/>
              </w:rPr>
              <w:drawing>
                <wp:inline distT="0" distB="0" distL="0" distR="0" wp14:anchorId="1515409D" wp14:editId="6B5C89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F02D3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02F69D" w14:textId="77777777" w:rsidR="00F35BAF" w:rsidRDefault="00047807" w:rsidP="00C97039">
            <w:pPr>
              <w:spacing w:before="240"/>
            </w:pPr>
            <w:proofErr w:type="spellStart"/>
            <w:r>
              <w:t>Distr</w:t>
            </w:r>
            <w:proofErr w:type="spellEnd"/>
            <w:r>
              <w:t>. générale</w:t>
            </w:r>
          </w:p>
          <w:p w14:paraId="14BBACE5" w14:textId="77777777" w:rsidR="00047807" w:rsidRDefault="00047807" w:rsidP="00047807">
            <w:pPr>
              <w:spacing w:line="240" w:lineRule="exact"/>
            </w:pPr>
            <w:r>
              <w:t>29 juillet 2020</w:t>
            </w:r>
          </w:p>
          <w:p w14:paraId="7EE48815" w14:textId="77777777" w:rsidR="00047807" w:rsidRDefault="00047807" w:rsidP="00047807">
            <w:pPr>
              <w:spacing w:line="240" w:lineRule="exact"/>
            </w:pPr>
            <w:r>
              <w:t>Français</w:t>
            </w:r>
          </w:p>
          <w:p w14:paraId="204584FE" w14:textId="77777777" w:rsidR="00047807" w:rsidRPr="00DB58B5" w:rsidRDefault="00047807" w:rsidP="00047807">
            <w:pPr>
              <w:spacing w:line="240" w:lineRule="exact"/>
            </w:pPr>
            <w:r>
              <w:t>Original : anglais</w:t>
            </w:r>
          </w:p>
        </w:tc>
      </w:tr>
    </w:tbl>
    <w:p w14:paraId="2CA03AE3" w14:textId="77777777" w:rsidR="007F20FA" w:rsidRPr="000312C0" w:rsidRDefault="007F20FA" w:rsidP="007F20FA">
      <w:pPr>
        <w:spacing w:before="120"/>
        <w:rPr>
          <w:b/>
          <w:sz w:val="28"/>
          <w:szCs w:val="28"/>
        </w:rPr>
      </w:pPr>
      <w:r w:rsidRPr="000312C0">
        <w:rPr>
          <w:b/>
          <w:sz w:val="28"/>
          <w:szCs w:val="28"/>
        </w:rPr>
        <w:t>Commission économique pour l’Europe</w:t>
      </w:r>
    </w:p>
    <w:p w14:paraId="19FFDABA" w14:textId="77777777" w:rsidR="007F20FA" w:rsidRDefault="007F20FA" w:rsidP="007F20FA">
      <w:pPr>
        <w:spacing w:before="120"/>
        <w:rPr>
          <w:sz w:val="28"/>
          <w:szCs w:val="28"/>
        </w:rPr>
      </w:pPr>
      <w:r w:rsidRPr="00685843">
        <w:rPr>
          <w:sz w:val="28"/>
          <w:szCs w:val="28"/>
        </w:rPr>
        <w:t>Comité des transports intérieurs</w:t>
      </w:r>
    </w:p>
    <w:p w14:paraId="0776D742" w14:textId="22706125" w:rsidR="00047807" w:rsidRPr="000B79BF" w:rsidRDefault="00047807" w:rsidP="00047807">
      <w:pPr>
        <w:spacing w:before="120"/>
        <w:rPr>
          <w:b/>
          <w:sz w:val="32"/>
          <w:szCs w:val="32"/>
        </w:rPr>
      </w:pPr>
      <w:r w:rsidRPr="006B6D01">
        <w:rPr>
          <w:b/>
          <w:bCs/>
          <w:sz w:val="24"/>
          <w:szCs w:val="24"/>
          <w:lang w:val="fr-FR"/>
        </w:rPr>
        <w:t>Forum mondial de l</w:t>
      </w:r>
      <w:r>
        <w:rPr>
          <w:b/>
          <w:bCs/>
          <w:sz w:val="24"/>
          <w:szCs w:val="24"/>
          <w:lang w:val="fr-FR"/>
        </w:rPr>
        <w:t>’</w:t>
      </w:r>
      <w:r w:rsidRPr="006B6D01">
        <w:rPr>
          <w:b/>
          <w:bCs/>
          <w:sz w:val="24"/>
          <w:szCs w:val="24"/>
          <w:lang w:val="fr-FR"/>
        </w:rPr>
        <w:t xml:space="preserve">harmonisation </w:t>
      </w:r>
      <w:r w:rsidR="00541208">
        <w:rPr>
          <w:b/>
          <w:bCs/>
          <w:sz w:val="24"/>
          <w:szCs w:val="24"/>
          <w:lang w:val="fr-FR"/>
        </w:rPr>
        <w:br/>
      </w:r>
      <w:bookmarkStart w:id="0" w:name="_GoBack"/>
      <w:bookmarkEnd w:id="0"/>
      <w:r w:rsidRPr="006B6D01">
        <w:rPr>
          <w:b/>
          <w:bCs/>
          <w:sz w:val="24"/>
          <w:szCs w:val="24"/>
          <w:lang w:val="fr-FR"/>
        </w:rPr>
        <w:t>des Règlements concernant les véhicules</w:t>
      </w:r>
    </w:p>
    <w:p w14:paraId="752CAF9A" w14:textId="77777777" w:rsidR="00047807" w:rsidRPr="000B79BF" w:rsidRDefault="00047807" w:rsidP="00047807">
      <w:pPr>
        <w:spacing w:before="120" w:after="120"/>
        <w:rPr>
          <w:b/>
          <w:bCs/>
        </w:rPr>
      </w:pPr>
      <w:r>
        <w:rPr>
          <w:b/>
          <w:bCs/>
          <w:lang w:val="fr-FR"/>
        </w:rPr>
        <w:t>Groupe de travail de l’éclairage et de la signalisation lumineuse</w:t>
      </w:r>
    </w:p>
    <w:p w14:paraId="4E59A2BA" w14:textId="77777777" w:rsidR="00047807" w:rsidRPr="000B79BF" w:rsidRDefault="00047807" w:rsidP="00047807">
      <w:pPr>
        <w:rPr>
          <w:b/>
        </w:rPr>
      </w:pPr>
      <w:r>
        <w:rPr>
          <w:b/>
          <w:bCs/>
          <w:lang w:val="fr-FR"/>
        </w:rPr>
        <w:t>Quatre-vingt-troisième session</w:t>
      </w:r>
    </w:p>
    <w:p w14:paraId="5FC4961B" w14:textId="77777777" w:rsidR="00047807" w:rsidRPr="000B79BF" w:rsidRDefault="00047807" w:rsidP="00047807">
      <w:r>
        <w:rPr>
          <w:lang w:val="fr-FR"/>
        </w:rPr>
        <w:t>Genève, 19-23 octobre 2020</w:t>
      </w:r>
    </w:p>
    <w:p w14:paraId="13BF702A" w14:textId="77777777" w:rsidR="00047807" w:rsidRPr="000B79BF" w:rsidRDefault="00047807" w:rsidP="00047807">
      <w:pPr>
        <w:rPr>
          <w:bCs/>
        </w:rPr>
      </w:pPr>
      <w:r>
        <w:rPr>
          <w:lang w:val="fr-FR"/>
        </w:rPr>
        <w:t>Point 7 b) de l’ordre du jour provisoire</w:t>
      </w:r>
    </w:p>
    <w:p w14:paraId="323EB361" w14:textId="77777777" w:rsidR="00047807" w:rsidRPr="000B79BF" w:rsidRDefault="00047807" w:rsidP="00047807">
      <w:pPr>
        <w:rPr>
          <w:b/>
          <w:bCs/>
        </w:rPr>
      </w:pPr>
      <w:r>
        <w:rPr>
          <w:b/>
          <w:bCs/>
          <w:lang w:val="fr-FR"/>
        </w:rPr>
        <w:t>Autres Règlements ONU :</w:t>
      </w:r>
    </w:p>
    <w:p w14:paraId="2A746BF4" w14:textId="77777777" w:rsidR="00047807" w:rsidRPr="000B79BF" w:rsidRDefault="00047807" w:rsidP="00047807">
      <w:pPr>
        <w:rPr>
          <w:bCs/>
        </w:rPr>
      </w:pPr>
      <w:r>
        <w:rPr>
          <w:b/>
          <w:bCs/>
          <w:lang w:val="fr-FR"/>
        </w:rPr>
        <w:t>Règlement ONU n</w:t>
      </w:r>
      <w:r>
        <w:rPr>
          <w:b/>
          <w:bCs/>
          <w:vertAlign w:val="superscript"/>
          <w:lang w:val="fr-FR"/>
        </w:rPr>
        <w:t>o</w:t>
      </w:r>
      <w:r w:rsidR="007D4FFF">
        <w:rPr>
          <w:b/>
          <w:bCs/>
          <w:lang w:val="fr-FR"/>
        </w:rPr>
        <w:t> </w:t>
      </w:r>
      <w:r>
        <w:rPr>
          <w:b/>
          <w:bCs/>
          <w:lang w:val="fr-FR"/>
        </w:rPr>
        <w:t>65 (Feux spéciaux d’avertissement)</w:t>
      </w:r>
    </w:p>
    <w:p w14:paraId="4F5E2FB4" w14:textId="77777777" w:rsidR="00047807" w:rsidRPr="000B79BF" w:rsidRDefault="00047807" w:rsidP="00047807">
      <w:pPr>
        <w:pStyle w:val="HChG"/>
        <w:rPr>
          <w:szCs w:val="28"/>
        </w:rPr>
      </w:pPr>
      <w:r>
        <w:rPr>
          <w:lang w:val="fr-FR"/>
        </w:rPr>
        <w:tab/>
      </w:r>
      <w:r>
        <w:rPr>
          <w:lang w:val="fr-FR"/>
        </w:rPr>
        <w:tab/>
        <w:t>Proposition de complément [11] à la version initiale du</w:t>
      </w:r>
      <w:r w:rsidR="007D4FFF">
        <w:rPr>
          <w:lang w:val="fr-FR"/>
        </w:rPr>
        <w:t xml:space="preserve"> </w:t>
      </w:r>
      <w:r>
        <w:rPr>
          <w:lang w:val="fr-FR"/>
        </w:rPr>
        <w:t>Règlement ONU n</w:t>
      </w:r>
      <w:r w:rsidRPr="000C231E">
        <w:rPr>
          <w:vertAlign w:val="superscript"/>
          <w:lang w:val="fr-FR"/>
        </w:rPr>
        <w:t>o</w:t>
      </w:r>
      <w:r w:rsidR="007D4FFF">
        <w:rPr>
          <w:bCs/>
          <w:lang w:val="fr-FR"/>
        </w:rPr>
        <w:t> </w:t>
      </w:r>
      <w:r>
        <w:rPr>
          <w:lang w:val="fr-FR"/>
        </w:rPr>
        <w:t>65 (Feux spéciaux d’avertissement)</w:t>
      </w:r>
    </w:p>
    <w:p w14:paraId="6B58F1D7" w14:textId="77777777" w:rsidR="00047807" w:rsidRPr="000B79BF" w:rsidRDefault="00047807" w:rsidP="00047807">
      <w:pPr>
        <w:pStyle w:val="H1G"/>
        <w:rPr>
          <w:szCs w:val="24"/>
        </w:rPr>
      </w:pPr>
      <w:r>
        <w:rPr>
          <w:lang w:val="fr-FR"/>
        </w:rPr>
        <w:tab/>
      </w:r>
      <w:r>
        <w:rPr>
          <w:lang w:val="fr-FR"/>
        </w:rPr>
        <w:tab/>
        <w:t>Communication de l’expert du Groupe de travail « Bruxelles 1952 »</w:t>
      </w:r>
      <w:r w:rsidRPr="00047807">
        <w:rPr>
          <w:rStyle w:val="Appelnotedebasdep"/>
          <w:b w:val="0"/>
          <w:bCs/>
          <w:sz w:val="20"/>
          <w:vertAlign w:val="baseline"/>
        </w:rPr>
        <w:footnoteReference w:customMarkFollows="1" w:id="2"/>
        <w:t>*</w:t>
      </w:r>
    </w:p>
    <w:p w14:paraId="4E42C30F" w14:textId="5E47EA5B" w:rsidR="00047807" w:rsidRDefault="00047807" w:rsidP="00047807">
      <w:pPr>
        <w:pStyle w:val="SingleTxtG"/>
        <w:ind w:firstLine="567"/>
        <w:rPr>
          <w:lang w:val="fr-FR"/>
        </w:rPr>
      </w:pPr>
      <w:r>
        <w:rPr>
          <w:lang w:val="fr-FR"/>
        </w:rPr>
        <w:t>Le texte reproduit ci-après, établi par l’expert du Groupe de travail « Bruxelles 1952 »</w:t>
      </w:r>
      <w:r w:rsidR="007D4FFF">
        <w:rPr>
          <w:lang w:val="fr-FR"/>
        </w:rPr>
        <w:t xml:space="preserve"> </w:t>
      </w:r>
      <w:r>
        <w:rPr>
          <w:lang w:val="fr-FR"/>
        </w:rPr>
        <w:t>(GTB), vise à corriger certaines erreurs rédactionnelles de longue date qui pourraient créer la confusion, ainsi qu’à préciser la définition du temps d’allumage pour un groupe d’éclats. Cette proposition, basée sur le document ECE/TRANS/WP.29/</w:t>
      </w:r>
      <w:r w:rsidR="00870159">
        <w:rPr>
          <w:lang w:val="fr-FR"/>
        </w:rPr>
        <w:br/>
      </w:r>
      <w:r>
        <w:rPr>
          <w:lang w:val="fr-FR"/>
        </w:rPr>
        <w:t>GRE/2019/17, inclut la proposition polonaise énoncée dans le document informel GRE</w:t>
      </w:r>
      <w:r w:rsidR="00F54C77">
        <w:rPr>
          <w:lang w:val="fr-FR"/>
        </w:rPr>
        <w:noBreakHyphen/>
      </w:r>
      <w:r>
        <w:rPr>
          <w:lang w:val="fr-FR"/>
        </w:rPr>
        <w:t>82</w:t>
      </w:r>
      <w:r w:rsidR="00870159">
        <w:rPr>
          <w:lang w:val="fr-FR"/>
        </w:rPr>
        <w:noBreakHyphen/>
      </w:r>
      <w:r>
        <w:rPr>
          <w:lang w:val="fr-FR"/>
        </w:rPr>
        <w:t>09. Les modifications qu’il est proposé d’apporter au texte actuel du Règlement ONU figurent en caractères gras pour les ajouts et biffés pour les suppressions.</w:t>
      </w:r>
    </w:p>
    <w:p w14:paraId="7241FD53" w14:textId="77777777" w:rsidR="00047807" w:rsidRPr="00047807" w:rsidRDefault="00047807" w:rsidP="00047807">
      <w:pPr>
        <w:pStyle w:val="HChG"/>
      </w:pPr>
      <w:r>
        <w:rPr>
          <w:lang w:val="fr-FR"/>
        </w:rPr>
        <w:br w:type="page"/>
      </w:r>
      <w:r>
        <w:rPr>
          <w:lang w:val="fr-FR"/>
        </w:rPr>
        <w:lastRenderedPageBreak/>
        <w:tab/>
      </w:r>
      <w:r w:rsidRPr="00047807">
        <w:rPr>
          <w:lang w:val="fr-FR"/>
        </w:rPr>
        <w:t>I.</w:t>
      </w:r>
      <w:r w:rsidRPr="00047807">
        <w:rPr>
          <w:lang w:val="fr-FR"/>
        </w:rPr>
        <w:tab/>
        <w:t>Proposition</w:t>
      </w:r>
    </w:p>
    <w:p w14:paraId="68A0420D" w14:textId="77777777" w:rsidR="00047807" w:rsidRPr="00047807" w:rsidRDefault="00047807" w:rsidP="00047807">
      <w:pPr>
        <w:pStyle w:val="SingleTxtG"/>
      </w:pPr>
      <w:r w:rsidRPr="00047807">
        <w:rPr>
          <w:i/>
          <w:iCs/>
          <w:lang w:val="fr-FR"/>
        </w:rPr>
        <w:t>Paragraphe 1.3</w:t>
      </w:r>
      <w:r w:rsidRPr="00047807">
        <w:rPr>
          <w:lang w:val="fr-FR"/>
        </w:rPr>
        <w:t>, lire :</w:t>
      </w:r>
    </w:p>
    <w:p w14:paraId="6712D1F3" w14:textId="77777777" w:rsidR="00047807" w:rsidRPr="00047807" w:rsidRDefault="00047807" w:rsidP="00047807">
      <w:pPr>
        <w:pStyle w:val="SingleTxtG"/>
        <w:ind w:left="2268" w:hanging="1134"/>
        <w:rPr>
          <w:iCs/>
        </w:rPr>
      </w:pPr>
      <w:r w:rsidRPr="00047807">
        <w:rPr>
          <w:lang w:val="fr-FR"/>
        </w:rPr>
        <w:t>« 1.3</w:t>
      </w:r>
      <w:r w:rsidRPr="00047807">
        <w:rPr>
          <w:lang w:val="fr-FR"/>
        </w:rPr>
        <w:tab/>
        <w:t>Par « fréquence f », le nombre d’éclats ou de groupes d’éclats (voir annexe</w:t>
      </w:r>
      <w:r w:rsidR="007D4FFF">
        <w:rPr>
          <w:b/>
          <w:bCs/>
          <w:lang w:val="fr-FR"/>
        </w:rPr>
        <w:t> </w:t>
      </w:r>
      <w:r w:rsidRPr="00047807">
        <w:rPr>
          <w:lang w:val="fr-FR"/>
        </w:rPr>
        <w:t xml:space="preserve">5, par. </w:t>
      </w:r>
      <w:r w:rsidRPr="00047807">
        <w:rPr>
          <w:strike/>
          <w:lang w:val="fr-FR"/>
        </w:rPr>
        <w:t>5</w:t>
      </w:r>
      <w:r w:rsidRPr="00047807">
        <w:rPr>
          <w:b/>
          <w:bCs/>
          <w:lang w:val="fr-FR"/>
        </w:rPr>
        <w:t>6</w:t>
      </w:r>
      <w:r w:rsidRPr="00047807">
        <w:rPr>
          <w:lang w:val="fr-FR"/>
        </w:rPr>
        <w:t>) en une seconde ; ».</w:t>
      </w:r>
    </w:p>
    <w:p w14:paraId="580D4053" w14:textId="77777777" w:rsidR="00047807" w:rsidRPr="00047807" w:rsidRDefault="00047807" w:rsidP="00047807">
      <w:pPr>
        <w:pStyle w:val="SingleTxtG"/>
        <w:rPr>
          <w:rFonts w:ascii="Arial" w:eastAsia="MS Mincho" w:hAnsi="Arial" w:cs="Arial"/>
          <w:b/>
          <w:bCs/>
        </w:rPr>
      </w:pPr>
      <w:r w:rsidRPr="00047807">
        <w:rPr>
          <w:i/>
          <w:iCs/>
          <w:lang w:val="fr-FR"/>
        </w:rPr>
        <w:t>Paragraphe 1.4</w:t>
      </w:r>
      <w:r w:rsidRPr="00047807">
        <w:rPr>
          <w:lang w:val="fr-FR"/>
        </w:rPr>
        <w:t>, lire :</w:t>
      </w:r>
    </w:p>
    <w:p w14:paraId="0F69A352" w14:textId="77777777" w:rsidR="00047807" w:rsidRPr="00047807" w:rsidRDefault="00047807" w:rsidP="00047807">
      <w:pPr>
        <w:pStyle w:val="SingleTxtG"/>
        <w:ind w:left="2268" w:hanging="1134"/>
        <w:rPr>
          <w:bCs/>
        </w:rPr>
      </w:pPr>
      <w:r w:rsidRPr="00047807">
        <w:t>« 1.4</w:t>
      </w:r>
      <w:r w:rsidRPr="00047807">
        <w:tab/>
        <w:t xml:space="preserve">Par « temps d’allumage » </w:t>
      </w:r>
      <w:proofErr w:type="spellStart"/>
      <w:r w:rsidRPr="00047807">
        <w:t>t</w:t>
      </w:r>
      <w:r w:rsidRPr="00047807">
        <w:rPr>
          <w:vertAlign w:val="subscript"/>
        </w:rPr>
        <w:t>H</w:t>
      </w:r>
      <w:proofErr w:type="spellEnd"/>
      <w:r w:rsidRPr="00047807">
        <w:t xml:space="preserve">, le laps de temps pendant lequel l’intensité lumineuse de l’éclat est supérieure au dixième de la valeur maximale (valeur de crête) </w:t>
      </w:r>
      <w:proofErr w:type="spellStart"/>
      <w:r w:rsidRPr="00047807">
        <w:t>J</w:t>
      </w:r>
      <w:r w:rsidRPr="00047807">
        <w:rPr>
          <w:vertAlign w:val="subscript"/>
        </w:rPr>
        <w:t>m</w:t>
      </w:r>
      <w:proofErr w:type="spellEnd"/>
      <w:r w:rsidRPr="00047807">
        <w:t xml:space="preserve">. </w:t>
      </w:r>
      <w:r w:rsidRPr="00047807">
        <w:rPr>
          <w:b/>
          <w:bCs/>
        </w:rPr>
        <w:t>Dans le cas de groupes de plusieurs éclats, le temps d’allumage est mesuré à partir du début du premier éclat du groupe jusqu’à la fin du dernier éclat du même groupe.</w:t>
      </w:r>
      <w:r w:rsidRPr="00047807">
        <w:rPr>
          <w:b/>
          <w:bCs/>
          <w:i/>
          <w:iCs/>
        </w:rPr>
        <w:t> »</w:t>
      </w:r>
      <w:r w:rsidRPr="00047807">
        <w:rPr>
          <w:i/>
          <w:iCs/>
        </w:rPr>
        <w:t>.</w:t>
      </w:r>
    </w:p>
    <w:p w14:paraId="62AB3B3B" w14:textId="77777777" w:rsidR="00047807" w:rsidRPr="00047807" w:rsidRDefault="00047807" w:rsidP="00047807">
      <w:pPr>
        <w:pStyle w:val="SingleTxtG"/>
        <w:rPr>
          <w:rFonts w:ascii="Arial" w:eastAsia="MS Mincho" w:hAnsi="Arial" w:cs="Arial"/>
          <w:b/>
          <w:bCs/>
        </w:rPr>
      </w:pPr>
      <w:r w:rsidRPr="00047807">
        <w:rPr>
          <w:i/>
          <w:iCs/>
          <w:lang w:val="fr-FR"/>
        </w:rPr>
        <w:t>Paragraphe 1.5</w:t>
      </w:r>
      <w:r w:rsidRPr="00047807">
        <w:rPr>
          <w:lang w:val="fr-FR"/>
        </w:rPr>
        <w:t>, lire :</w:t>
      </w:r>
    </w:p>
    <w:p w14:paraId="5E0C3A59" w14:textId="77777777" w:rsidR="00047807" w:rsidRPr="00047807" w:rsidRDefault="00047807" w:rsidP="00047807">
      <w:pPr>
        <w:pStyle w:val="SingleTxtG"/>
        <w:ind w:left="2268" w:hanging="1134"/>
        <w:rPr>
          <w:iCs/>
        </w:rPr>
      </w:pPr>
      <w:r w:rsidRPr="00047807">
        <w:rPr>
          <w:lang w:val="fr-FR"/>
        </w:rPr>
        <w:t>« 1.5</w:t>
      </w:r>
      <w:r w:rsidRPr="00047807">
        <w:rPr>
          <w:lang w:val="fr-FR"/>
        </w:rPr>
        <w:tab/>
        <w:t xml:space="preserve">Par « temps d’extinction » </w:t>
      </w:r>
      <w:proofErr w:type="spellStart"/>
      <w:r w:rsidRPr="00047807">
        <w:rPr>
          <w:lang w:val="fr-FR"/>
        </w:rPr>
        <w:t>t</w:t>
      </w:r>
      <w:r w:rsidRPr="00047807">
        <w:rPr>
          <w:vertAlign w:val="subscript"/>
          <w:lang w:val="fr-FR"/>
        </w:rPr>
        <w:t>D</w:t>
      </w:r>
      <w:proofErr w:type="spellEnd"/>
      <w:r w:rsidRPr="00047807">
        <w:rPr>
          <w:lang w:val="fr-FR"/>
        </w:rPr>
        <w:t xml:space="preserve">, le laps de temps pendant lequel l’intensité lumineuse du feu à éclats est inférieure à 1/100 de la valeur maximale (valeur de crête) </w:t>
      </w:r>
      <w:proofErr w:type="spellStart"/>
      <w:r w:rsidRPr="00047807">
        <w:rPr>
          <w:lang w:val="fr-FR"/>
        </w:rPr>
        <w:t>J</w:t>
      </w:r>
      <w:r w:rsidRPr="00047807">
        <w:rPr>
          <w:vertAlign w:val="subscript"/>
          <w:lang w:val="fr-FR"/>
        </w:rPr>
        <w:t>m</w:t>
      </w:r>
      <w:proofErr w:type="spellEnd"/>
      <w:r w:rsidRPr="00047807">
        <w:rPr>
          <w:lang w:val="fr-FR"/>
        </w:rPr>
        <w:t>, mais ne dépasse pas 10 cd. Dan</w:t>
      </w:r>
      <w:r>
        <w:rPr>
          <w:lang w:val="fr-FR"/>
        </w:rPr>
        <w:t>s</w:t>
      </w:r>
      <w:r w:rsidRPr="00047807">
        <w:rPr>
          <w:lang w:val="fr-FR"/>
        </w:rPr>
        <w:t xml:space="preserve"> le cas de groupes de </w:t>
      </w:r>
      <w:r w:rsidRPr="00047807">
        <w:rPr>
          <w:b/>
          <w:bCs/>
          <w:lang w:val="fr-FR"/>
        </w:rPr>
        <w:t xml:space="preserve">plusieurs </w:t>
      </w:r>
      <w:r w:rsidRPr="00047807">
        <w:rPr>
          <w:lang w:val="fr-FR"/>
        </w:rPr>
        <w:t xml:space="preserve">éclats, le temps d’extinction doit être mesuré entre </w:t>
      </w:r>
      <w:r w:rsidRPr="00047807">
        <w:rPr>
          <w:strike/>
          <w:lang w:val="fr-FR"/>
        </w:rPr>
        <w:t>le</w:t>
      </w:r>
      <w:r w:rsidRPr="00047807">
        <w:rPr>
          <w:b/>
          <w:bCs/>
          <w:lang w:val="fr-FR"/>
        </w:rPr>
        <w:t xml:space="preserve"> la fin du </w:t>
      </w:r>
      <w:r w:rsidRPr="00047807">
        <w:rPr>
          <w:lang w:val="fr-FR"/>
        </w:rPr>
        <w:t xml:space="preserve">dernier éclat du groupe et le </w:t>
      </w:r>
      <w:r w:rsidRPr="00047807">
        <w:rPr>
          <w:b/>
          <w:bCs/>
          <w:lang w:val="fr-FR"/>
        </w:rPr>
        <w:t>début du</w:t>
      </w:r>
      <w:r w:rsidRPr="00047807">
        <w:rPr>
          <w:lang w:val="fr-FR"/>
        </w:rPr>
        <w:t xml:space="preserve"> premier éclat du groupe suivant. ».</w:t>
      </w:r>
    </w:p>
    <w:p w14:paraId="16274219" w14:textId="77777777" w:rsidR="00047807" w:rsidRPr="00047807" w:rsidRDefault="00047807" w:rsidP="00047807">
      <w:pPr>
        <w:pStyle w:val="SingleTxtG"/>
        <w:rPr>
          <w:iCs/>
        </w:rPr>
      </w:pPr>
      <w:r w:rsidRPr="00047807">
        <w:rPr>
          <w:i/>
          <w:iCs/>
          <w:lang w:val="fr-FR"/>
        </w:rPr>
        <w:t>Paragraphe 2.2.5</w:t>
      </w:r>
      <w:r w:rsidRPr="00047807">
        <w:rPr>
          <w:lang w:val="fr-FR"/>
        </w:rPr>
        <w:t>, lire :</w:t>
      </w:r>
    </w:p>
    <w:p w14:paraId="7B1F83C8" w14:textId="77777777" w:rsidR="00047807" w:rsidRPr="00047807" w:rsidRDefault="00047807" w:rsidP="00047807">
      <w:pPr>
        <w:pStyle w:val="SingleTxtG"/>
        <w:ind w:left="2268" w:hanging="1134"/>
        <w:rPr>
          <w:iCs/>
        </w:rPr>
      </w:pPr>
      <w:r w:rsidRPr="00047807">
        <w:rPr>
          <w:lang w:val="fr-FR"/>
        </w:rPr>
        <w:t>« 2.2.5</w:t>
      </w:r>
      <w:r w:rsidRPr="00047807">
        <w:rPr>
          <w:lang w:val="fr-FR"/>
        </w:rPr>
        <w:tab/>
        <w:t xml:space="preserve">De deux échantillons, en principe pour une tension nominale de 12 volts et d’une seule couleur, et éventuellement de deux autres échantillons pour chaque autre tension nominale, pour le cas où l’homologation serait demandée simultanément ou ultérieurement pour des feux spéciaux d’avertissement d’autres tensions nominales. Dans ce cas, il suffit d’exécuter les essais conformément au paragraphe </w:t>
      </w:r>
      <w:r w:rsidRPr="00047807">
        <w:rPr>
          <w:strike/>
          <w:lang w:val="fr-FR"/>
        </w:rPr>
        <w:t>5.5</w:t>
      </w:r>
      <w:r w:rsidRPr="00047807">
        <w:rPr>
          <w:b/>
          <w:bCs/>
          <w:lang w:val="fr-FR"/>
        </w:rPr>
        <w:t>5.6</w:t>
      </w:r>
      <w:r w:rsidRPr="00047807">
        <w:rPr>
          <w:lang w:val="fr-FR"/>
        </w:rPr>
        <w:t xml:space="preserve"> ci-après ; ».</w:t>
      </w:r>
    </w:p>
    <w:p w14:paraId="030F9389" w14:textId="77777777" w:rsidR="00047807" w:rsidRPr="00047807" w:rsidRDefault="00047807" w:rsidP="00047807">
      <w:pPr>
        <w:pStyle w:val="SingleTxtG"/>
        <w:rPr>
          <w:iCs/>
        </w:rPr>
      </w:pPr>
      <w:r w:rsidRPr="00047807">
        <w:rPr>
          <w:i/>
          <w:iCs/>
          <w:lang w:val="fr-FR"/>
        </w:rPr>
        <w:t>Annexe 5, paragraphe 7.1</w:t>
      </w:r>
      <w:r w:rsidRPr="00047807">
        <w:rPr>
          <w:lang w:val="fr-FR"/>
        </w:rPr>
        <w:t>, lire :</w:t>
      </w:r>
    </w:p>
    <w:p w14:paraId="079B9643" w14:textId="77777777" w:rsidR="00047807" w:rsidRPr="00047807" w:rsidRDefault="00047807" w:rsidP="00047807">
      <w:pPr>
        <w:pStyle w:val="SingleTxtG"/>
        <w:ind w:left="2268" w:hanging="1134"/>
      </w:pPr>
      <w:r w:rsidRPr="00047807">
        <w:rPr>
          <w:lang w:val="fr-FR"/>
        </w:rPr>
        <w:t>« 7.1</w:t>
      </w:r>
      <w:r w:rsidRPr="00047807">
        <w:rPr>
          <w:lang w:val="fr-FR"/>
        </w:rPr>
        <w:tab/>
        <w:t>La fréquence de clignotement</w:t>
      </w:r>
      <w:r w:rsidRPr="00047807">
        <w:rPr>
          <w:strike/>
          <w:lang w:val="fr-FR"/>
        </w:rPr>
        <w:t xml:space="preserve">, </w:t>
      </w:r>
      <w:r w:rsidRPr="00047807">
        <w:rPr>
          <w:b/>
          <w:bCs/>
          <w:lang w:val="fr-FR"/>
        </w:rPr>
        <w:t xml:space="preserve">et </w:t>
      </w:r>
      <w:r w:rsidRPr="00047807">
        <w:rPr>
          <w:lang w:val="fr-FR"/>
        </w:rPr>
        <w:t>les temps d’allumage et d’extinction doivent être conformes aux valeurs prescrites dans le tableau ci-dessous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gridCol w:w="3968"/>
      </w:tblGrid>
      <w:tr w:rsidR="00047807" w:rsidRPr="00047807" w14:paraId="50315D14" w14:textId="77777777" w:rsidTr="003764F5">
        <w:trPr>
          <w:tblHeader/>
        </w:trPr>
        <w:tc>
          <w:tcPr>
            <w:tcW w:w="2268" w:type="dxa"/>
            <w:tcBorders>
              <w:top w:val="nil"/>
              <w:left w:val="nil"/>
              <w:bottom w:val="nil"/>
              <w:right w:val="nil"/>
            </w:tcBorders>
            <w:shd w:val="clear" w:color="auto" w:fill="auto"/>
            <w:vAlign w:val="bottom"/>
          </w:tcPr>
          <w:p w14:paraId="76E03140" w14:textId="77777777" w:rsidR="00047807" w:rsidRPr="00047807" w:rsidRDefault="00047807" w:rsidP="00047807">
            <w:pPr>
              <w:rPr>
                <w:i/>
                <w:sz w:val="18"/>
                <w:szCs w:val="18"/>
              </w:rPr>
            </w:pPr>
          </w:p>
        </w:tc>
        <w:tc>
          <w:tcPr>
            <w:tcW w:w="1134" w:type="dxa"/>
            <w:tcBorders>
              <w:top w:val="nil"/>
              <w:left w:val="nil"/>
              <w:bottom w:val="nil"/>
            </w:tcBorders>
            <w:shd w:val="clear" w:color="auto" w:fill="auto"/>
            <w:vAlign w:val="bottom"/>
          </w:tcPr>
          <w:p w14:paraId="11CE5BD4" w14:textId="77777777" w:rsidR="00047807" w:rsidRPr="00047807" w:rsidRDefault="00047807" w:rsidP="00047807">
            <w:pPr>
              <w:rPr>
                <w:i/>
                <w:sz w:val="18"/>
                <w:szCs w:val="18"/>
              </w:rPr>
            </w:pPr>
          </w:p>
        </w:tc>
        <w:tc>
          <w:tcPr>
            <w:tcW w:w="3968" w:type="dxa"/>
            <w:shd w:val="clear" w:color="auto" w:fill="auto"/>
            <w:vAlign w:val="bottom"/>
          </w:tcPr>
          <w:p w14:paraId="34A59AD3" w14:textId="77777777" w:rsidR="00047807" w:rsidRPr="00047807" w:rsidRDefault="00047807" w:rsidP="007D4FFF">
            <w:pPr>
              <w:spacing w:before="80" w:after="80" w:line="200" w:lineRule="exact"/>
              <w:ind w:left="284"/>
              <w:rPr>
                <w:i/>
                <w:sz w:val="16"/>
                <w:szCs w:val="16"/>
              </w:rPr>
            </w:pPr>
            <w:r w:rsidRPr="00047807">
              <w:rPr>
                <w:i/>
                <w:iCs/>
                <w:sz w:val="16"/>
                <w:szCs w:val="16"/>
                <w:lang w:val="fr-FR"/>
              </w:rPr>
              <w:t xml:space="preserve">Couleur : bleu </w:t>
            </w:r>
            <w:r w:rsidRPr="00047807">
              <w:rPr>
                <w:i/>
                <w:iCs/>
                <w:strike/>
                <w:sz w:val="16"/>
                <w:szCs w:val="16"/>
                <w:lang w:val="fr-FR"/>
              </w:rPr>
              <w:t>ou</w:t>
            </w:r>
            <w:r w:rsidRPr="00047807">
              <w:rPr>
                <w:b/>
                <w:bCs/>
                <w:i/>
                <w:iCs/>
                <w:sz w:val="16"/>
                <w:szCs w:val="16"/>
                <w:lang w:val="fr-FR"/>
              </w:rPr>
              <w:t>,</w:t>
            </w:r>
            <w:r w:rsidRPr="00047807">
              <w:rPr>
                <w:i/>
                <w:iCs/>
                <w:sz w:val="16"/>
                <w:szCs w:val="16"/>
                <w:lang w:val="fr-FR"/>
              </w:rPr>
              <w:t xml:space="preserve"> jaune-auto </w:t>
            </w:r>
            <w:r w:rsidRPr="00047807">
              <w:rPr>
                <w:b/>
                <w:bCs/>
                <w:i/>
                <w:iCs/>
                <w:sz w:val="16"/>
                <w:szCs w:val="16"/>
                <w:lang w:val="fr-FR"/>
              </w:rPr>
              <w:t>ou rouge</w:t>
            </w:r>
          </w:p>
        </w:tc>
      </w:tr>
      <w:tr w:rsidR="00047807" w:rsidRPr="00047807" w14:paraId="25734B67" w14:textId="77777777" w:rsidTr="003764F5">
        <w:trPr>
          <w:cantSplit/>
        </w:trPr>
        <w:tc>
          <w:tcPr>
            <w:tcW w:w="2268" w:type="dxa"/>
            <w:tcBorders>
              <w:top w:val="nil"/>
              <w:left w:val="nil"/>
              <w:bottom w:val="single" w:sz="12" w:space="0" w:color="auto"/>
              <w:right w:val="nil"/>
            </w:tcBorders>
            <w:shd w:val="clear" w:color="auto" w:fill="auto"/>
          </w:tcPr>
          <w:p w14:paraId="10CCAC99" w14:textId="77777777" w:rsidR="00047807" w:rsidRPr="00047807" w:rsidRDefault="00047807" w:rsidP="00047807">
            <w:pPr>
              <w:rPr>
                <w:sz w:val="18"/>
                <w:szCs w:val="18"/>
              </w:rPr>
            </w:pPr>
            <w:r w:rsidRPr="00047807">
              <w:rPr>
                <w:sz w:val="18"/>
                <w:szCs w:val="18"/>
              </w:rPr>
              <w:tab/>
            </w:r>
          </w:p>
        </w:tc>
        <w:tc>
          <w:tcPr>
            <w:tcW w:w="1134" w:type="dxa"/>
            <w:tcBorders>
              <w:top w:val="nil"/>
              <w:left w:val="nil"/>
              <w:bottom w:val="single" w:sz="12" w:space="0" w:color="auto"/>
            </w:tcBorders>
            <w:shd w:val="clear" w:color="auto" w:fill="auto"/>
          </w:tcPr>
          <w:p w14:paraId="17062561" w14:textId="77777777" w:rsidR="00047807" w:rsidRPr="00047807" w:rsidRDefault="00047807" w:rsidP="00047807">
            <w:pPr>
              <w:rPr>
                <w:sz w:val="18"/>
                <w:szCs w:val="18"/>
              </w:rPr>
            </w:pPr>
          </w:p>
        </w:tc>
        <w:tc>
          <w:tcPr>
            <w:tcW w:w="3968" w:type="dxa"/>
            <w:tcBorders>
              <w:bottom w:val="single" w:sz="12" w:space="0" w:color="auto"/>
            </w:tcBorders>
            <w:shd w:val="clear" w:color="auto" w:fill="auto"/>
          </w:tcPr>
          <w:p w14:paraId="61D4ABC4" w14:textId="77777777" w:rsidR="00047807" w:rsidRPr="00047807" w:rsidRDefault="00047807" w:rsidP="007D4FFF">
            <w:pPr>
              <w:spacing w:before="80" w:after="80" w:line="200" w:lineRule="exact"/>
              <w:ind w:left="284"/>
              <w:rPr>
                <w:i/>
                <w:sz w:val="16"/>
                <w:szCs w:val="16"/>
              </w:rPr>
            </w:pPr>
            <w:r w:rsidRPr="00047807">
              <w:rPr>
                <w:i/>
                <w:iCs/>
                <w:sz w:val="16"/>
                <w:szCs w:val="16"/>
                <w:lang w:val="fr-FR"/>
              </w:rPr>
              <w:t>Feux tournants ou sources lumineuses à éclats</w:t>
            </w:r>
          </w:p>
          <w:p w14:paraId="36CE5A84" w14:textId="77777777" w:rsidR="00047807" w:rsidRPr="00047807" w:rsidRDefault="00047807" w:rsidP="007D4FFF">
            <w:pPr>
              <w:spacing w:before="80" w:after="80" w:line="200" w:lineRule="exact"/>
              <w:ind w:left="284"/>
              <w:rPr>
                <w:i/>
                <w:sz w:val="16"/>
                <w:szCs w:val="16"/>
              </w:rPr>
            </w:pPr>
            <w:r w:rsidRPr="00047807">
              <w:rPr>
                <w:i/>
                <w:iCs/>
                <w:sz w:val="16"/>
                <w:szCs w:val="16"/>
                <w:lang w:val="fr-FR"/>
              </w:rPr>
              <w:t>(Catégories T et X)</w:t>
            </w:r>
          </w:p>
        </w:tc>
      </w:tr>
      <w:tr w:rsidR="00047807" w:rsidRPr="00047807" w14:paraId="1AB42B1A" w14:textId="77777777" w:rsidTr="003764F5">
        <w:trPr>
          <w:cantSplit/>
        </w:trPr>
        <w:tc>
          <w:tcPr>
            <w:tcW w:w="2268" w:type="dxa"/>
            <w:vMerge w:val="restart"/>
            <w:tcBorders>
              <w:top w:val="single" w:sz="12" w:space="0" w:color="auto"/>
            </w:tcBorders>
            <w:shd w:val="clear" w:color="auto" w:fill="auto"/>
          </w:tcPr>
          <w:p w14:paraId="532072E7" w14:textId="77777777" w:rsidR="00047807" w:rsidRPr="00047807" w:rsidRDefault="00047807" w:rsidP="007D4FFF">
            <w:pPr>
              <w:spacing w:before="40" w:line="220" w:lineRule="exact"/>
              <w:ind w:left="113"/>
              <w:rPr>
                <w:sz w:val="18"/>
                <w:szCs w:val="18"/>
              </w:rPr>
            </w:pPr>
            <w:r w:rsidRPr="00047807">
              <w:rPr>
                <w:sz w:val="18"/>
                <w:szCs w:val="18"/>
                <w:lang w:val="fr-FR"/>
              </w:rPr>
              <w:t>Fréquence de clignotement f (Hz)</w:t>
            </w:r>
          </w:p>
        </w:tc>
        <w:tc>
          <w:tcPr>
            <w:tcW w:w="1134" w:type="dxa"/>
            <w:tcBorders>
              <w:top w:val="single" w:sz="12" w:space="0" w:color="auto"/>
            </w:tcBorders>
            <w:shd w:val="clear" w:color="auto" w:fill="auto"/>
          </w:tcPr>
          <w:p w14:paraId="1EE4E282" w14:textId="77777777" w:rsidR="00047807" w:rsidRPr="00047807" w:rsidRDefault="00047807" w:rsidP="007D4FFF">
            <w:pPr>
              <w:spacing w:before="40" w:line="220" w:lineRule="exact"/>
              <w:ind w:left="284"/>
              <w:rPr>
                <w:sz w:val="18"/>
                <w:szCs w:val="18"/>
                <w:lang w:val="fr-FR"/>
              </w:rPr>
            </w:pPr>
            <w:r w:rsidRPr="00047807">
              <w:rPr>
                <w:sz w:val="18"/>
                <w:szCs w:val="18"/>
                <w:lang w:val="fr-FR"/>
              </w:rPr>
              <w:t>max.</w:t>
            </w:r>
          </w:p>
        </w:tc>
        <w:tc>
          <w:tcPr>
            <w:tcW w:w="3968" w:type="dxa"/>
            <w:tcBorders>
              <w:top w:val="single" w:sz="12" w:space="0" w:color="auto"/>
            </w:tcBorders>
            <w:shd w:val="clear" w:color="auto" w:fill="auto"/>
          </w:tcPr>
          <w:p w14:paraId="4DD25FDB" w14:textId="77777777" w:rsidR="00047807" w:rsidRPr="00047807" w:rsidRDefault="00047807" w:rsidP="007D4FFF">
            <w:pPr>
              <w:spacing w:before="40" w:line="220" w:lineRule="exact"/>
              <w:jc w:val="center"/>
              <w:rPr>
                <w:sz w:val="18"/>
                <w:szCs w:val="18"/>
              </w:rPr>
            </w:pPr>
            <w:r w:rsidRPr="00047807">
              <w:rPr>
                <w:sz w:val="18"/>
                <w:szCs w:val="18"/>
                <w:lang w:val="fr-FR"/>
              </w:rPr>
              <w:t>4</w:t>
            </w:r>
          </w:p>
        </w:tc>
      </w:tr>
      <w:tr w:rsidR="00047807" w:rsidRPr="00047807" w14:paraId="583435BC" w14:textId="77777777" w:rsidTr="003764F5">
        <w:trPr>
          <w:cantSplit/>
        </w:trPr>
        <w:tc>
          <w:tcPr>
            <w:tcW w:w="2268" w:type="dxa"/>
            <w:vMerge/>
            <w:shd w:val="clear" w:color="auto" w:fill="auto"/>
          </w:tcPr>
          <w:p w14:paraId="0CE6566C" w14:textId="77777777" w:rsidR="00047807" w:rsidRPr="00047807" w:rsidRDefault="00047807" w:rsidP="007D4FFF">
            <w:pPr>
              <w:spacing w:before="40" w:line="220" w:lineRule="exact"/>
              <w:ind w:left="113"/>
              <w:rPr>
                <w:sz w:val="18"/>
                <w:szCs w:val="18"/>
              </w:rPr>
            </w:pPr>
          </w:p>
        </w:tc>
        <w:tc>
          <w:tcPr>
            <w:tcW w:w="1134" w:type="dxa"/>
            <w:shd w:val="clear" w:color="auto" w:fill="auto"/>
          </w:tcPr>
          <w:p w14:paraId="7B8E15C4" w14:textId="77777777" w:rsidR="00047807" w:rsidRPr="00047807" w:rsidRDefault="00047807" w:rsidP="007D4FFF">
            <w:pPr>
              <w:spacing w:before="40" w:line="220" w:lineRule="exact"/>
              <w:ind w:left="284"/>
              <w:rPr>
                <w:sz w:val="18"/>
                <w:szCs w:val="18"/>
                <w:lang w:val="fr-FR"/>
              </w:rPr>
            </w:pPr>
            <w:r w:rsidRPr="00047807">
              <w:rPr>
                <w:sz w:val="18"/>
                <w:szCs w:val="18"/>
                <w:lang w:val="fr-FR"/>
              </w:rPr>
              <w:t>min.</w:t>
            </w:r>
          </w:p>
        </w:tc>
        <w:tc>
          <w:tcPr>
            <w:tcW w:w="3968" w:type="dxa"/>
            <w:shd w:val="clear" w:color="auto" w:fill="auto"/>
          </w:tcPr>
          <w:p w14:paraId="14E60AAC" w14:textId="77777777" w:rsidR="00047807" w:rsidRPr="00047807" w:rsidRDefault="00047807" w:rsidP="007D4FFF">
            <w:pPr>
              <w:spacing w:before="40" w:line="220" w:lineRule="exact"/>
              <w:jc w:val="center"/>
              <w:rPr>
                <w:sz w:val="18"/>
                <w:szCs w:val="18"/>
              </w:rPr>
            </w:pPr>
            <w:r w:rsidRPr="00047807">
              <w:rPr>
                <w:sz w:val="18"/>
                <w:szCs w:val="18"/>
                <w:lang w:val="fr-FR"/>
              </w:rPr>
              <w:t>2</w:t>
            </w:r>
          </w:p>
        </w:tc>
      </w:tr>
      <w:tr w:rsidR="00047807" w:rsidRPr="00047807" w14:paraId="0C008379" w14:textId="77777777" w:rsidTr="003764F5">
        <w:trPr>
          <w:cantSplit/>
        </w:trPr>
        <w:tc>
          <w:tcPr>
            <w:tcW w:w="2268" w:type="dxa"/>
            <w:shd w:val="clear" w:color="auto" w:fill="auto"/>
          </w:tcPr>
          <w:p w14:paraId="65FE518D" w14:textId="77777777" w:rsidR="00047807" w:rsidRPr="00047807" w:rsidRDefault="00047807" w:rsidP="007D4FFF">
            <w:pPr>
              <w:spacing w:before="40" w:line="220" w:lineRule="exact"/>
              <w:ind w:left="113"/>
              <w:rPr>
                <w:sz w:val="18"/>
                <w:szCs w:val="18"/>
              </w:rPr>
            </w:pPr>
            <w:r w:rsidRPr="00047807">
              <w:rPr>
                <w:sz w:val="18"/>
                <w:szCs w:val="18"/>
                <w:lang w:val="fr-FR"/>
              </w:rPr>
              <w:t xml:space="preserve">Temps d’allumage </w:t>
            </w:r>
            <w:proofErr w:type="spellStart"/>
            <w:r w:rsidRPr="00047807">
              <w:rPr>
                <w:sz w:val="18"/>
                <w:szCs w:val="18"/>
                <w:lang w:val="fr-FR"/>
              </w:rPr>
              <w:t>t</w:t>
            </w:r>
            <w:r w:rsidRPr="00047807">
              <w:rPr>
                <w:sz w:val="18"/>
                <w:szCs w:val="18"/>
                <w:vertAlign w:val="subscript"/>
                <w:lang w:val="fr-FR"/>
              </w:rPr>
              <w:t>H</w:t>
            </w:r>
            <w:proofErr w:type="spellEnd"/>
            <w:r w:rsidRPr="00047807">
              <w:rPr>
                <w:sz w:val="18"/>
                <w:szCs w:val="18"/>
                <w:lang w:val="fr-FR"/>
              </w:rPr>
              <w:t xml:space="preserve"> (s)</w:t>
            </w:r>
          </w:p>
        </w:tc>
        <w:tc>
          <w:tcPr>
            <w:tcW w:w="1134" w:type="dxa"/>
            <w:shd w:val="clear" w:color="auto" w:fill="auto"/>
          </w:tcPr>
          <w:p w14:paraId="688B6969" w14:textId="77777777" w:rsidR="00047807" w:rsidRPr="00047807" w:rsidRDefault="00047807" w:rsidP="007D4FFF">
            <w:pPr>
              <w:spacing w:before="40" w:line="220" w:lineRule="exact"/>
              <w:ind w:left="284"/>
              <w:rPr>
                <w:sz w:val="18"/>
                <w:szCs w:val="18"/>
                <w:lang w:val="fr-FR"/>
              </w:rPr>
            </w:pPr>
            <w:r w:rsidRPr="00047807">
              <w:rPr>
                <w:sz w:val="18"/>
                <w:szCs w:val="18"/>
                <w:lang w:val="fr-FR"/>
              </w:rPr>
              <w:t>max.</w:t>
            </w:r>
          </w:p>
        </w:tc>
        <w:tc>
          <w:tcPr>
            <w:tcW w:w="3968" w:type="dxa"/>
            <w:shd w:val="clear" w:color="auto" w:fill="auto"/>
          </w:tcPr>
          <w:p w14:paraId="4757BD28" w14:textId="77777777" w:rsidR="00047807" w:rsidRPr="00047807" w:rsidRDefault="00047807" w:rsidP="007D4FFF">
            <w:pPr>
              <w:spacing w:before="40" w:line="220" w:lineRule="exact"/>
              <w:jc w:val="center"/>
              <w:rPr>
                <w:sz w:val="18"/>
                <w:szCs w:val="18"/>
              </w:rPr>
            </w:pPr>
            <w:r w:rsidRPr="00047807">
              <w:rPr>
                <w:sz w:val="18"/>
                <w:szCs w:val="18"/>
                <w:lang w:val="fr-FR"/>
              </w:rPr>
              <w:t>0,4/f</w:t>
            </w:r>
          </w:p>
        </w:tc>
      </w:tr>
      <w:tr w:rsidR="00047807" w:rsidRPr="00047807" w14:paraId="1DC2B497" w14:textId="77777777" w:rsidTr="003764F5">
        <w:trPr>
          <w:cantSplit/>
        </w:trPr>
        <w:tc>
          <w:tcPr>
            <w:tcW w:w="2268" w:type="dxa"/>
            <w:tcBorders>
              <w:bottom w:val="single" w:sz="12" w:space="0" w:color="auto"/>
            </w:tcBorders>
            <w:shd w:val="clear" w:color="auto" w:fill="auto"/>
          </w:tcPr>
          <w:p w14:paraId="0AC06791" w14:textId="77777777" w:rsidR="00047807" w:rsidRPr="00047807" w:rsidRDefault="00047807" w:rsidP="007D4FFF">
            <w:pPr>
              <w:spacing w:before="40" w:line="220" w:lineRule="exact"/>
              <w:ind w:left="113"/>
              <w:rPr>
                <w:sz w:val="18"/>
                <w:szCs w:val="18"/>
              </w:rPr>
            </w:pPr>
            <w:r w:rsidRPr="00047807">
              <w:rPr>
                <w:sz w:val="18"/>
                <w:szCs w:val="18"/>
                <w:lang w:val="fr-FR"/>
              </w:rPr>
              <w:t xml:space="preserve">Temps d’extinction </w:t>
            </w:r>
            <w:proofErr w:type="spellStart"/>
            <w:r w:rsidRPr="00047807">
              <w:rPr>
                <w:sz w:val="18"/>
                <w:szCs w:val="18"/>
                <w:lang w:val="fr-FR"/>
              </w:rPr>
              <w:t>t</w:t>
            </w:r>
            <w:r w:rsidRPr="00047807">
              <w:rPr>
                <w:sz w:val="18"/>
                <w:szCs w:val="18"/>
                <w:vertAlign w:val="subscript"/>
                <w:lang w:val="fr-FR"/>
              </w:rPr>
              <w:t>D</w:t>
            </w:r>
            <w:proofErr w:type="spellEnd"/>
            <w:r w:rsidRPr="00047807">
              <w:rPr>
                <w:sz w:val="18"/>
                <w:szCs w:val="18"/>
                <w:lang w:val="fr-FR"/>
              </w:rPr>
              <w:t xml:space="preserve"> (s)</w:t>
            </w:r>
          </w:p>
        </w:tc>
        <w:tc>
          <w:tcPr>
            <w:tcW w:w="1134" w:type="dxa"/>
            <w:tcBorders>
              <w:bottom w:val="single" w:sz="12" w:space="0" w:color="auto"/>
            </w:tcBorders>
            <w:shd w:val="clear" w:color="auto" w:fill="auto"/>
          </w:tcPr>
          <w:p w14:paraId="1251D868" w14:textId="77777777" w:rsidR="00047807" w:rsidRPr="00047807" w:rsidRDefault="00047807" w:rsidP="007D4FFF">
            <w:pPr>
              <w:spacing w:before="40" w:line="220" w:lineRule="exact"/>
              <w:ind w:left="284"/>
              <w:rPr>
                <w:sz w:val="18"/>
                <w:szCs w:val="18"/>
                <w:lang w:val="fr-FR"/>
              </w:rPr>
            </w:pPr>
            <w:r w:rsidRPr="00047807">
              <w:rPr>
                <w:sz w:val="18"/>
                <w:szCs w:val="18"/>
                <w:lang w:val="fr-FR"/>
              </w:rPr>
              <w:t>min.</w:t>
            </w:r>
          </w:p>
        </w:tc>
        <w:tc>
          <w:tcPr>
            <w:tcW w:w="3968" w:type="dxa"/>
            <w:tcBorders>
              <w:bottom w:val="single" w:sz="12" w:space="0" w:color="auto"/>
            </w:tcBorders>
            <w:shd w:val="clear" w:color="auto" w:fill="auto"/>
          </w:tcPr>
          <w:p w14:paraId="68E7C022" w14:textId="77777777" w:rsidR="00047807" w:rsidRPr="00047807" w:rsidRDefault="00047807" w:rsidP="007D4FFF">
            <w:pPr>
              <w:spacing w:before="40" w:line="220" w:lineRule="exact"/>
              <w:jc w:val="center"/>
              <w:rPr>
                <w:sz w:val="18"/>
                <w:szCs w:val="18"/>
              </w:rPr>
            </w:pPr>
            <w:r w:rsidRPr="00047807">
              <w:rPr>
                <w:sz w:val="18"/>
                <w:szCs w:val="18"/>
                <w:lang w:val="fr-FR"/>
              </w:rPr>
              <w:t>0,1</w:t>
            </w:r>
          </w:p>
        </w:tc>
      </w:tr>
    </w:tbl>
    <w:p w14:paraId="5196CF55" w14:textId="77777777" w:rsidR="00047807" w:rsidRPr="00047807" w:rsidRDefault="00047807" w:rsidP="007D4FFF">
      <w:pPr>
        <w:ind w:right="1134"/>
        <w:jc w:val="right"/>
        <w:rPr>
          <w:b/>
          <w:sz w:val="28"/>
        </w:rPr>
      </w:pPr>
      <w:r w:rsidRPr="00047807">
        <w:rPr>
          <w:lang w:val="fr-FR"/>
        </w:rPr>
        <w:t>».</w:t>
      </w:r>
    </w:p>
    <w:p w14:paraId="219CDEDA" w14:textId="77777777" w:rsidR="00047807" w:rsidRPr="00047807" w:rsidRDefault="00047807" w:rsidP="00047807">
      <w:pPr>
        <w:pStyle w:val="HChG"/>
      </w:pPr>
      <w:r w:rsidRPr="00047807">
        <w:rPr>
          <w:lang w:val="fr-FR"/>
        </w:rPr>
        <w:tab/>
        <w:t>II.</w:t>
      </w:r>
      <w:r w:rsidRPr="00047807">
        <w:rPr>
          <w:lang w:val="fr-FR"/>
        </w:rPr>
        <w:tab/>
        <w:t>Justification</w:t>
      </w:r>
    </w:p>
    <w:p w14:paraId="1A1E050C" w14:textId="77777777" w:rsidR="00047807" w:rsidRPr="00047807" w:rsidRDefault="00047807" w:rsidP="00047807">
      <w:pPr>
        <w:pStyle w:val="SingleTxtG"/>
        <w:rPr>
          <w:bCs/>
        </w:rPr>
      </w:pPr>
      <w:r w:rsidRPr="00047807">
        <w:rPr>
          <w:bCs/>
        </w:rPr>
        <w:t>1.</w:t>
      </w:r>
      <w:r w:rsidRPr="00047807">
        <w:rPr>
          <w:bCs/>
        </w:rPr>
        <w:tab/>
      </w:r>
      <w:r w:rsidRPr="00047807">
        <w:rPr>
          <w:lang w:val="fr-FR"/>
        </w:rPr>
        <w:t>Un examen récent des dispositions du Règlement ONU n</w:t>
      </w:r>
      <w:r w:rsidRPr="00047807">
        <w:rPr>
          <w:vertAlign w:val="superscript"/>
          <w:lang w:val="fr-FR"/>
        </w:rPr>
        <w:t>o</w:t>
      </w:r>
      <w:r w:rsidR="00B3511E">
        <w:rPr>
          <w:b/>
          <w:bCs/>
          <w:lang w:val="fr-FR"/>
        </w:rPr>
        <w:t> </w:t>
      </w:r>
      <w:r w:rsidRPr="00047807">
        <w:rPr>
          <w:lang w:val="fr-FR"/>
        </w:rPr>
        <w:t>65 a montré qu’il y</w:t>
      </w:r>
      <w:r w:rsidR="00B3511E">
        <w:rPr>
          <w:b/>
          <w:bCs/>
          <w:lang w:val="fr-FR"/>
        </w:rPr>
        <w:t> </w:t>
      </w:r>
      <w:r w:rsidRPr="00047807">
        <w:rPr>
          <w:lang w:val="fr-FR"/>
        </w:rPr>
        <w:t>figurait depuis longtemps des erreurs rédactionnelles, qui n’affectent pas les prescriptions techniques mais peuvent prêter à confusion.</w:t>
      </w:r>
    </w:p>
    <w:p w14:paraId="0CB46B83" w14:textId="77777777" w:rsidR="00047807" w:rsidRPr="00047807" w:rsidRDefault="00047807" w:rsidP="00047807">
      <w:pPr>
        <w:pStyle w:val="SingleTxtG"/>
        <w:rPr>
          <w:bCs/>
        </w:rPr>
      </w:pPr>
      <w:r w:rsidRPr="00047807">
        <w:rPr>
          <w:bCs/>
        </w:rPr>
        <w:t>2.</w:t>
      </w:r>
      <w:r w:rsidRPr="00047807">
        <w:rPr>
          <w:bCs/>
        </w:rPr>
        <w:tab/>
      </w:r>
      <w:r w:rsidRPr="00047807">
        <w:rPr>
          <w:lang w:val="fr-FR"/>
        </w:rPr>
        <w:t>La présente proposition a été initialement examinée à la quatre-vingt-unième session du Groupe de travail de l’éclairage et de la signalisation lumineuse (GRE) en tant que document informel GRE-81-05. À l’issue des débats, le GTB avait été invité à établir, pour examen sous une cote officielle à la session suivante, un document reprenant les améliorations convenues.</w:t>
      </w:r>
    </w:p>
    <w:p w14:paraId="008D4561" w14:textId="77777777" w:rsidR="00047807" w:rsidRPr="00047807" w:rsidRDefault="00047807" w:rsidP="00047807">
      <w:pPr>
        <w:pStyle w:val="SingleTxtG"/>
        <w:rPr>
          <w:bCs/>
        </w:rPr>
      </w:pPr>
      <w:r w:rsidRPr="00047807">
        <w:rPr>
          <w:bCs/>
        </w:rPr>
        <w:t>3.</w:t>
      </w:r>
      <w:r w:rsidRPr="00047807">
        <w:rPr>
          <w:bCs/>
        </w:rPr>
        <w:tab/>
      </w:r>
      <w:r w:rsidRPr="00047807">
        <w:rPr>
          <w:lang w:val="fr-FR"/>
        </w:rPr>
        <w:t xml:space="preserve">Une proposition révisée du GTB a été examinée à la quatre-vingt-deuxième session du Groupe de travail sous la cote ECE/TRANS/WP.29/GRE/2019/17. À la même session, le Groupe de travail a également examiné une proposition de la Pologne tendant à préciser </w:t>
      </w:r>
      <w:r w:rsidRPr="00047807">
        <w:rPr>
          <w:lang w:val="fr-FR"/>
        </w:rPr>
        <w:lastRenderedPageBreak/>
        <w:t xml:space="preserve">la définition du « temps d’allumage » dans le cas d’un groupe d’éclats (document informel GRE-82-09). </w:t>
      </w:r>
    </w:p>
    <w:p w14:paraId="46AB43F9" w14:textId="77777777" w:rsidR="00047807" w:rsidRPr="00047807" w:rsidRDefault="00047807" w:rsidP="00047807">
      <w:pPr>
        <w:pStyle w:val="SingleTxtG"/>
        <w:rPr>
          <w:bCs/>
        </w:rPr>
      </w:pPr>
      <w:r w:rsidRPr="00047807">
        <w:rPr>
          <w:bCs/>
        </w:rPr>
        <w:t>4.</w:t>
      </w:r>
      <w:r w:rsidRPr="00047807">
        <w:rPr>
          <w:bCs/>
        </w:rPr>
        <w:tab/>
      </w:r>
      <w:r w:rsidRPr="00047807">
        <w:rPr>
          <w:lang w:val="fr-FR"/>
        </w:rPr>
        <w:t>Le Groupe de travail a appuyé les amendements proposés par le GTB dans le document ECE/TRANS/WP.29/GRE/2019/17, mais a décidé de reporter leur soumission au Forum mondial (WP.29), en attendant une proposition révisée visant à les combiner avec la contribution polonaise (document ECE/TRANS/WP.29/GRE/82, par. 39). Par conséquent, la seule partie de la proposition destinée à faire l’objet d’un débat est celle qui concerne les paragraphes 1.4 et 1.5. Le reste de la proposition est fourni pour la commodité du secrétariat.</w:t>
      </w:r>
    </w:p>
    <w:p w14:paraId="335B87F8" w14:textId="77777777" w:rsidR="00047807" w:rsidRPr="00B3511E" w:rsidRDefault="00047807" w:rsidP="00047807">
      <w:pPr>
        <w:pStyle w:val="H4G"/>
        <w:rPr>
          <w:bCs/>
          <w:u w:val="single"/>
        </w:rPr>
      </w:pPr>
      <w:r>
        <w:rPr>
          <w:lang w:val="fr-FR"/>
        </w:rPr>
        <w:tab/>
      </w:r>
      <w:r>
        <w:rPr>
          <w:lang w:val="fr-FR"/>
        </w:rPr>
        <w:tab/>
      </w:r>
      <w:r w:rsidRPr="00B3511E">
        <w:rPr>
          <w:u w:val="single"/>
          <w:lang w:val="fr-FR"/>
        </w:rPr>
        <w:t>Justification supplémentaire des modifications apportées aux paragraphes 1.4 et 1.5.</w:t>
      </w:r>
    </w:p>
    <w:p w14:paraId="597BF23C" w14:textId="77777777" w:rsidR="00047807" w:rsidRPr="00047807" w:rsidRDefault="00047807" w:rsidP="00047807">
      <w:pPr>
        <w:pStyle w:val="SingleTxtG"/>
        <w:rPr>
          <w:bCs/>
        </w:rPr>
      </w:pPr>
      <w:r w:rsidRPr="00047807">
        <w:rPr>
          <w:bCs/>
        </w:rPr>
        <w:t>5.</w:t>
      </w:r>
      <w:r w:rsidRPr="00047807">
        <w:rPr>
          <w:bCs/>
        </w:rPr>
        <w:tab/>
      </w:r>
      <w:r w:rsidRPr="00047807">
        <w:rPr>
          <w:lang w:val="fr-FR"/>
        </w:rPr>
        <w:t>La définition actuelle n’est pas adaptée au cas où un seul clignotement se compose de plusieurs éclats. Elle peut être interprétée comme la somme des seuls temps d’allumage de chaque éclat du groupe (en omettant les intervalles entre les éclats). La proposition d’amendement vise à préciser la définition et à éviter les problèmes d’interprétation.</w:t>
      </w:r>
    </w:p>
    <w:p w14:paraId="0308CA08" w14:textId="77777777" w:rsidR="00F9573C" w:rsidRDefault="00047807" w:rsidP="00047807">
      <w:pPr>
        <w:pStyle w:val="SingleTxtG"/>
        <w:rPr>
          <w:lang w:val="fr-FR"/>
        </w:rPr>
      </w:pPr>
      <w:r w:rsidRPr="00047807">
        <w:rPr>
          <w:bCs/>
        </w:rPr>
        <w:t>6.</w:t>
      </w:r>
      <w:r w:rsidRPr="00047807">
        <w:rPr>
          <w:bCs/>
        </w:rPr>
        <w:tab/>
      </w:r>
      <w:r w:rsidRPr="00047807">
        <w:rPr>
          <w:lang w:val="fr-FR"/>
        </w:rPr>
        <w:t>La définition du « temps d’allumage » est maintenant similaire à celle du « temps d’extinction » et prend en considération les groupes d’éclats. En cas de groupes d’éclats, la question de savoir où commencer et où arrêter le calcul des temps d’allumage et d’extinction est dorénavant claire.</w:t>
      </w:r>
    </w:p>
    <w:p w14:paraId="033B4D68" w14:textId="77777777" w:rsidR="00047807" w:rsidRPr="00047807" w:rsidRDefault="00047807" w:rsidP="00047807">
      <w:pPr>
        <w:pStyle w:val="SingleTxtG"/>
        <w:spacing w:before="240" w:after="0"/>
        <w:jc w:val="center"/>
        <w:rPr>
          <w:u w:val="single"/>
        </w:rPr>
      </w:pPr>
      <w:r>
        <w:rPr>
          <w:u w:val="single"/>
        </w:rPr>
        <w:tab/>
      </w:r>
      <w:r>
        <w:rPr>
          <w:u w:val="single"/>
        </w:rPr>
        <w:tab/>
      </w:r>
      <w:r>
        <w:rPr>
          <w:u w:val="single"/>
        </w:rPr>
        <w:tab/>
      </w:r>
    </w:p>
    <w:sectPr w:rsidR="00047807" w:rsidRPr="00047807" w:rsidSect="000478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2FE2" w14:textId="77777777" w:rsidR="006D2CD3" w:rsidRDefault="006D2CD3" w:rsidP="00F95C08">
      <w:pPr>
        <w:spacing w:line="240" w:lineRule="auto"/>
      </w:pPr>
    </w:p>
  </w:endnote>
  <w:endnote w:type="continuationSeparator" w:id="0">
    <w:p w14:paraId="165FF4EB" w14:textId="77777777" w:rsidR="006D2CD3" w:rsidRPr="00AC3823" w:rsidRDefault="006D2CD3" w:rsidP="00AC3823">
      <w:pPr>
        <w:pStyle w:val="Pieddepage"/>
      </w:pPr>
    </w:p>
  </w:endnote>
  <w:endnote w:type="continuationNotice" w:id="1">
    <w:p w14:paraId="107AC217" w14:textId="77777777" w:rsidR="006D2CD3" w:rsidRDefault="006D2C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F0CD" w14:textId="77777777" w:rsidR="00047807" w:rsidRPr="00047807" w:rsidRDefault="00047807" w:rsidP="00047807">
    <w:pPr>
      <w:pStyle w:val="Pieddepage"/>
      <w:tabs>
        <w:tab w:val="right" w:pos="9638"/>
      </w:tabs>
    </w:pPr>
    <w:r w:rsidRPr="00047807">
      <w:rPr>
        <w:b/>
        <w:sz w:val="18"/>
      </w:rPr>
      <w:fldChar w:fldCharType="begin"/>
    </w:r>
    <w:r w:rsidRPr="00047807">
      <w:rPr>
        <w:b/>
        <w:sz w:val="18"/>
      </w:rPr>
      <w:instrText xml:space="preserve"> PAGE  \* MERGEFORMAT </w:instrText>
    </w:r>
    <w:r w:rsidRPr="00047807">
      <w:rPr>
        <w:b/>
        <w:sz w:val="18"/>
      </w:rPr>
      <w:fldChar w:fldCharType="separate"/>
    </w:r>
    <w:r w:rsidRPr="00047807">
      <w:rPr>
        <w:b/>
        <w:noProof/>
        <w:sz w:val="18"/>
      </w:rPr>
      <w:t>2</w:t>
    </w:r>
    <w:r w:rsidRPr="00047807">
      <w:rPr>
        <w:b/>
        <w:sz w:val="18"/>
      </w:rPr>
      <w:fldChar w:fldCharType="end"/>
    </w:r>
    <w:r>
      <w:rPr>
        <w:b/>
        <w:sz w:val="18"/>
      </w:rPr>
      <w:tab/>
    </w:r>
    <w:r>
      <w:t>GE.20-10241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426B" w14:textId="77777777" w:rsidR="00047807" w:rsidRPr="00047807" w:rsidRDefault="00047807" w:rsidP="00047807">
    <w:pPr>
      <w:pStyle w:val="Pieddepage"/>
      <w:tabs>
        <w:tab w:val="right" w:pos="9638"/>
      </w:tabs>
      <w:rPr>
        <w:b/>
        <w:sz w:val="18"/>
      </w:rPr>
    </w:pPr>
    <w:r>
      <w:t>GE.20-10241</w:t>
    </w:r>
    <w:r>
      <w:tab/>
    </w:r>
    <w:r w:rsidRPr="00047807">
      <w:rPr>
        <w:b/>
        <w:sz w:val="18"/>
      </w:rPr>
      <w:fldChar w:fldCharType="begin"/>
    </w:r>
    <w:r w:rsidRPr="00047807">
      <w:rPr>
        <w:b/>
        <w:sz w:val="18"/>
      </w:rPr>
      <w:instrText xml:space="preserve"> PAGE  \* MERGEFORMAT </w:instrText>
    </w:r>
    <w:r w:rsidRPr="00047807">
      <w:rPr>
        <w:b/>
        <w:sz w:val="18"/>
      </w:rPr>
      <w:fldChar w:fldCharType="separate"/>
    </w:r>
    <w:r w:rsidRPr="00047807">
      <w:rPr>
        <w:b/>
        <w:noProof/>
        <w:sz w:val="18"/>
      </w:rPr>
      <w:t>3</w:t>
    </w:r>
    <w:r w:rsidRPr="000478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CCBC" w14:textId="77777777" w:rsidR="007F20FA" w:rsidRPr="00047807" w:rsidRDefault="00047807" w:rsidP="0004780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2FAC9F" wp14:editId="491155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20-10241  (F)    310820    310820</w:t>
    </w:r>
    <w:r>
      <w:rPr>
        <w:sz w:val="20"/>
      </w:rPr>
      <w:br/>
    </w:r>
    <w:r w:rsidRPr="00047807">
      <w:rPr>
        <w:rFonts w:ascii="C39T30Lfz" w:hAnsi="C39T30Lfz"/>
        <w:sz w:val="56"/>
      </w:rPr>
      <w:t></w:t>
    </w:r>
    <w:r w:rsidRPr="00047807">
      <w:rPr>
        <w:rFonts w:ascii="C39T30Lfz" w:hAnsi="C39T30Lfz"/>
        <w:sz w:val="56"/>
      </w:rPr>
      <w:t></w:t>
    </w:r>
    <w:r w:rsidRPr="00047807">
      <w:rPr>
        <w:rFonts w:ascii="C39T30Lfz" w:hAnsi="C39T30Lfz"/>
        <w:sz w:val="56"/>
      </w:rPr>
      <w:t></w:t>
    </w:r>
    <w:r w:rsidRPr="00047807">
      <w:rPr>
        <w:rFonts w:ascii="C39T30Lfz" w:hAnsi="C39T30Lfz"/>
        <w:sz w:val="56"/>
      </w:rPr>
      <w:t></w:t>
    </w:r>
    <w:r w:rsidRPr="00047807">
      <w:rPr>
        <w:rFonts w:ascii="C39T30Lfz" w:hAnsi="C39T30Lfz"/>
        <w:sz w:val="56"/>
      </w:rPr>
      <w:t></w:t>
    </w:r>
    <w:r w:rsidRPr="00047807">
      <w:rPr>
        <w:rFonts w:ascii="C39T30Lfz" w:hAnsi="C39T30Lfz"/>
        <w:sz w:val="56"/>
      </w:rPr>
      <w:t></w:t>
    </w:r>
    <w:r w:rsidRPr="00047807">
      <w:rPr>
        <w:rFonts w:ascii="C39T30Lfz" w:hAnsi="C39T30Lfz"/>
        <w:sz w:val="56"/>
      </w:rPr>
      <w:t></w:t>
    </w:r>
    <w:r w:rsidRPr="00047807">
      <w:rPr>
        <w:rFonts w:ascii="C39T30Lfz" w:hAnsi="C39T30Lfz"/>
        <w:sz w:val="56"/>
      </w:rPr>
      <w:t></w:t>
    </w:r>
    <w:r w:rsidRPr="00047807">
      <w:rPr>
        <w:rFonts w:ascii="C39T30Lfz" w:hAnsi="C39T30Lfz"/>
        <w:sz w:val="56"/>
      </w:rPr>
      <w:t></w:t>
    </w:r>
    <w:r>
      <w:rPr>
        <w:noProof/>
        <w:sz w:val="20"/>
      </w:rPr>
      <w:drawing>
        <wp:anchor distT="0" distB="0" distL="114300" distR="114300" simplePos="0" relativeHeight="251658240" behindDoc="0" locked="0" layoutInCell="1" allowOverlap="1" wp14:anchorId="3031E115" wp14:editId="391711E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0BAFC" w14:textId="77777777" w:rsidR="006D2CD3" w:rsidRPr="00AC3823" w:rsidRDefault="006D2CD3" w:rsidP="00AC3823">
      <w:pPr>
        <w:pStyle w:val="Pieddepage"/>
        <w:tabs>
          <w:tab w:val="right" w:pos="2155"/>
        </w:tabs>
        <w:spacing w:after="80" w:line="240" w:lineRule="atLeast"/>
        <w:ind w:left="680"/>
        <w:rPr>
          <w:u w:val="single"/>
        </w:rPr>
      </w:pPr>
      <w:r>
        <w:rPr>
          <w:u w:val="single"/>
        </w:rPr>
        <w:tab/>
      </w:r>
    </w:p>
  </w:footnote>
  <w:footnote w:type="continuationSeparator" w:id="0">
    <w:p w14:paraId="5A82E210" w14:textId="77777777" w:rsidR="006D2CD3" w:rsidRPr="00AC3823" w:rsidRDefault="006D2CD3" w:rsidP="00AC3823">
      <w:pPr>
        <w:pStyle w:val="Pieddepage"/>
        <w:tabs>
          <w:tab w:val="right" w:pos="2155"/>
        </w:tabs>
        <w:spacing w:after="80" w:line="240" w:lineRule="atLeast"/>
        <w:ind w:left="680"/>
        <w:rPr>
          <w:u w:val="single"/>
        </w:rPr>
      </w:pPr>
      <w:r>
        <w:rPr>
          <w:u w:val="single"/>
        </w:rPr>
        <w:tab/>
      </w:r>
    </w:p>
  </w:footnote>
  <w:footnote w:type="continuationNotice" w:id="1">
    <w:p w14:paraId="05FA0710" w14:textId="77777777" w:rsidR="006D2CD3" w:rsidRPr="00AC3823" w:rsidRDefault="006D2CD3">
      <w:pPr>
        <w:spacing w:line="240" w:lineRule="auto"/>
        <w:rPr>
          <w:sz w:val="2"/>
          <w:szCs w:val="2"/>
        </w:rPr>
      </w:pPr>
    </w:p>
  </w:footnote>
  <w:footnote w:id="2">
    <w:p w14:paraId="55B39FEF" w14:textId="77777777" w:rsidR="00047807" w:rsidRPr="00047807" w:rsidRDefault="00047807">
      <w:pPr>
        <w:pStyle w:val="Notedebasdepage"/>
      </w:pPr>
      <w:r>
        <w:rPr>
          <w:rStyle w:val="Appelnotedebasdep"/>
        </w:rPr>
        <w:tab/>
      </w:r>
      <w:r w:rsidRPr="0004780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conformément à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1017" w14:textId="31F6AE93" w:rsidR="00047807" w:rsidRPr="00047807" w:rsidRDefault="005320A7">
    <w:pPr>
      <w:pStyle w:val="En-tte"/>
    </w:pPr>
    <w:r>
      <w:fldChar w:fldCharType="begin"/>
    </w:r>
    <w:r>
      <w:instrText xml:space="preserve"> TITLE  \* MERGEFORMAT </w:instrText>
    </w:r>
    <w:r>
      <w:fldChar w:fldCharType="separate"/>
    </w:r>
    <w:r>
      <w:t>ECE/TRANS/WP.29/GRE/2020/18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E99F" w14:textId="4DAE89D1" w:rsidR="00047807" w:rsidRPr="00047807" w:rsidRDefault="005320A7" w:rsidP="00047807">
    <w:pPr>
      <w:pStyle w:val="En-tte"/>
      <w:jc w:val="right"/>
    </w:pPr>
    <w:r>
      <w:fldChar w:fldCharType="begin"/>
    </w:r>
    <w:r>
      <w:instrText xml:space="preserve"> TITLE  \* MERGEFORMAT </w:instrText>
    </w:r>
    <w:r>
      <w:fldChar w:fldCharType="separate"/>
    </w:r>
    <w:r>
      <w:t>ECE/TRANS/WP.29/GRE/2020/18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2CD3"/>
    <w:rsid w:val="00017F94"/>
    <w:rsid w:val="00023842"/>
    <w:rsid w:val="000334F9"/>
    <w:rsid w:val="00045FEB"/>
    <w:rsid w:val="00047807"/>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320A7"/>
    <w:rsid w:val="00541208"/>
    <w:rsid w:val="005505B7"/>
    <w:rsid w:val="00573BE5"/>
    <w:rsid w:val="00586ED3"/>
    <w:rsid w:val="00596AA9"/>
    <w:rsid w:val="006D2CD3"/>
    <w:rsid w:val="0071601D"/>
    <w:rsid w:val="007A62E6"/>
    <w:rsid w:val="007C72EE"/>
    <w:rsid w:val="007D4FFF"/>
    <w:rsid w:val="007F083B"/>
    <w:rsid w:val="007F20FA"/>
    <w:rsid w:val="0080684C"/>
    <w:rsid w:val="00850546"/>
    <w:rsid w:val="00870159"/>
    <w:rsid w:val="00871C75"/>
    <w:rsid w:val="008776DC"/>
    <w:rsid w:val="009446C0"/>
    <w:rsid w:val="009705C8"/>
    <w:rsid w:val="00977111"/>
    <w:rsid w:val="009C1CF4"/>
    <w:rsid w:val="009F6B74"/>
    <w:rsid w:val="00A3029F"/>
    <w:rsid w:val="00A30353"/>
    <w:rsid w:val="00AC3823"/>
    <w:rsid w:val="00AE323C"/>
    <w:rsid w:val="00AF0CB5"/>
    <w:rsid w:val="00B00181"/>
    <w:rsid w:val="00B00B0D"/>
    <w:rsid w:val="00B3511E"/>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54C77"/>
    <w:rsid w:val="00F660DF"/>
    <w:rsid w:val="00F94664"/>
    <w:rsid w:val="00F9573C"/>
    <w:rsid w:val="00F95C08"/>
    <w:rsid w:val="00FF30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4E44E"/>
  <w15:docId w15:val="{22727779-5D4A-4EF3-A539-EC296A39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662</Words>
  <Characters>4635</Characters>
  <Application>Microsoft Office Word</Application>
  <DocSecurity>0</DocSecurity>
  <Lines>386</Lines>
  <Paragraphs>211</Paragraphs>
  <ScaleCrop>false</ScaleCrop>
  <HeadingPairs>
    <vt:vector size="2" baseType="variant">
      <vt:variant>
        <vt:lpstr>Titre</vt:lpstr>
      </vt:variant>
      <vt:variant>
        <vt:i4>1</vt:i4>
      </vt:variant>
    </vt:vector>
  </HeadingPairs>
  <TitlesOfParts>
    <vt:vector size="1" baseType="lpstr">
      <vt:lpstr>ECE/TRANS/WP.29/GRE/2020/18</vt:lpstr>
    </vt:vector>
  </TitlesOfParts>
  <Company>DCM</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ECE/TRANS/WP.29/GRE/2020/18</dc:title>
  <dc:subject/>
  <dc:creator>Valerie BERTIN</dc:creator>
  <cp:keywords/>
  <cp:lastModifiedBy>Valerie BERTIN</cp:lastModifiedBy>
  <cp:revision>3</cp:revision>
  <cp:lastPrinted>2020-08-31T09:38:00Z</cp:lastPrinted>
  <dcterms:created xsi:type="dcterms:W3CDTF">2020-08-31T09:38:00Z</dcterms:created>
  <dcterms:modified xsi:type="dcterms:W3CDTF">2020-08-31T09:39:00Z</dcterms:modified>
</cp:coreProperties>
</file>