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573DE9" w14:textId="77777777" w:rsidTr="00C97039">
        <w:trPr>
          <w:trHeight w:hRule="exact" w:val="851"/>
        </w:trPr>
        <w:tc>
          <w:tcPr>
            <w:tcW w:w="1276" w:type="dxa"/>
            <w:tcBorders>
              <w:bottom w:val="single" w:sz="4" w:space="0" w:color="auto"/>
            </w:tcBorders>
          </w:tcPr>
          <w:p w14:paraId="1689AE5A" w14:textId="77777777" w:rsidR="00F35BAF" w:rsidRPr="00DB58B5" w:rsidRDefault="00F35BAF" w:rsidP="00A34D73"/>
        </w:tc>
        <w:tc>
          <w:tcPr>
            <w:tcW w:w="2268" w:type="dxa"/>
            <w:tcBorders>
              <w:bottom w:val="single" w:sz="4" w:space="0" w:color="auto"/>
            </w:tcBorders>
            <w:vAlign w:val="bottom"/>
          </w:tcPr>
          <w:p w14:paraId="3AF26CB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408C69" w14:textId="77777777" w:rsidR="00F35BAF" w:rsidRPr="00DB58B5" w:rsidRDefault="00A34D73" w:rsidP="00A34D73">
            <w:pPr>
              <w:jc w:val="right"/>
            </w:pPr>
            <w:r w:rsidRPr="00A34D73">
              <w:rPr>
                <w:sz w:val="40"/>
              </w:rPr>
              <w:t>ECE</w:t>
            </w:r>
            <w:r>
              <w:t>/TRANS/WP.29/GRE/2020/15</w:t>
            </w:r>
          </w:p>
        </w:tc>
      </w:tr>
      <w:tr w:rsidR="00F35BAF" w:rsidRPr="00DB58B5" w14:paraId="49C147B7" w14:textId="77777777" w:rsidTr="00C97039">
        <w:trPr>
          <w:trHeight w:hRule="exact" w:val="2835"/>
        </w:trPr>
        <w:tc>
          <w:tcPr>
            <w:tcW w:w="1276" w:type="dxa"/>
            <w:tcBorders>
              <w:top w:val="single" w:sz="4" w:space="0" w:color="auto"/>
              <w:bottom w:val="single" w:sz="12" w:space="0" w:color="auto"/>
            </w:tcBorders>
          </w:tcPr>
          <w:p w14:paraId="41EEDC1A" w14:textId="77777777" w:rsidR="00F35BAF" w:rsidRPr="00DB58B5" w:rsidRDefault="00F35BAF" w:rsidP="00C97039">
            <w:pPr>
              <w:spacing w:before="120"/>
              <w:jc w:val="center"/>
            </w:pPr>
            <w:r>
              <w:rPr>
                <w:noProof/>
                <w:lang w:eastAsia="fr-CH"/>
              </w:rPr>
              <w:drawing>
                <wp:inline distT="0" distB="0" distL="0" distR="0" wp14:anchorId="3A8C20AF" wp14:editId="2CCEA1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7EA93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2ED4B6" w14:textId="77777777" w:rsidR="00F35BAF" w:rsidRDefault="00A34D73" w:rsidP="00C97039">
            <w:pPr>
              <w:spacing w:before="240"/>
            </w:pPr>
            <w:r>
              <w:t>Distr. générale</w:t>
            </w:r>
          </w:p>
          <w:p w14:paraId="78A31E42" w14:textId="77777777" w:rsidR="00A34D73" w:rsidRDefault="00A34D73" w:rsidP="00A34D73">
            <w:pPr>
              <w:spacing w:line="240" w:lineRule="exact"/>
            </w:pPr>
            <w:r>
              <w:t>29 juillet 2020</w:t>
            </w:r>
          </w:p>
          <w:p w14:paraId="24CCC982" w14:textId="77777777" w:rsidR="00A34D73" w:rsidRDefault="00A34D73" w:rsidP="00A34D73">
            <w:pPr>
              <w:spacing w:line="240" w:lineRule="exact"/>
            </w:pPr>
            <w:r>
              <w:t>Français</w:t>
            </w:r>
          </w:p>
          <w:p w14:paraId="5F5B39B2" w14:textId="77777777" w:rsidR="00A34D73" w:rsidRPr="00DB58B5" w:rsidRDefault="00A34D73" w:rsidP="00A34D73">
            <w:pPr>
              <w:spacing w:line="240" w:lineRule="exact"/>
            </w:pPr>
            <w:r>
              <w:t>Original : anglais</w:t>
            </w:r>
          </w:p>
        </w:tc>
      </w:tr>
    </w:tbl>
    <w:p w14:paraId="16E92075" w14:textId="77777777" w:rsidR="007F20FA" w:rsidRPr="000312C0" w:rsidRDefault="007F20FA" w:rsidP="007F20FA">
      <w:pPr>
        <w:spacing w:before="120"/>
        <w:rPr>
          <w:b/>
          <w:sz w:val="28"/>
          <w:szCs w:val="28"/>
        </w:rPr>
      </w:pPr>
      <w:r w:rsidRPr="000312C0">
        <w:rPr>
          <w:b/>
          <w:sz w:val="28"/>
          <w:szCs w:val="28"/>
        </w:rPr>
        <w:t>Commission économique pour l’Europe</w:t>
      </w:r>
    </w:p>
    <w:p w14:paraId="088EEE57" w14:textId="77777777" w:rsidR="007F20FA" w:rsidRDefault="007F20FA" w:rsidP="007F20FA">
      <w:pPr>
        <w:spacing w:before="120"/>
        <w:rPr>
          <w:sz w:val="28"/>
          <w:szCs w:val="28"/>
        </w:rPr>
      </w:pPr>
      <w:r w:rsidRPr="00685843">
        <w:rPr>
          <w:sz w:val="28"/>
          <w:szCs w:val="28"/>
        </w:rPr>
        <w:t>Comité des transports intérieurs</w:t>
      </w:r>
    </w:p>
    <w:p w14:paraId="6E5A3E2B" w14:textId="77777777" w:rsidR="00A34D73" w:rsidRPr="00A34D73" w:rsidRDefault="00A34D73" w:rsidP="00A34D73">
      <w:pPr>
        <w:spacing w:before="120"/>
        <w:ind w:right="4251"/>
        <w:rPr>
          <w:b/>
          <w:color w:val="000000" w:themeColor="text1"/>
          <w:sz w:val="24"/>
          <w:szCs w:val="24"/>
        </w:rPr>
      </w:pPr>
      <w:r w:rsidRPr="00A34D73">
        <w:rPr>
          <w:b/>
          <w:bCs/>
          <w:color w:val="000000" w:themeColor="text1"/>
          <w:sz w:val="24"/>
          <w:szCs w:val="24"/>
        </w:rPr>
        <w:t>Forum mondial de l’harmonisation des Règlements concernant les véhicules</w:t>
      </w:r>
    </w:p>
    <w:p w14:paraId="170FEB2A" w14:textId="77777777" w:rsidR="00A34D73" w:rsidRPr="00A87926" w:rsidRDefault="00A34D73" w:rsidP="00A34D73">
      <w:pPr>
        <w:spacing w:before="120" w:after="120"/>
        <w:rPr>
          <w:b/>
          <w:bCs/>
          <w:color w:val="000000" w:themeColor="text1"/>
        </w:rPr>
      </w:pPr>
      <w:r w:rsidRPr="00A87926">
        <w:rPr>
          <w:b/>
          <w:bCs/>
          <w:color w:val="000000" w:themeColor="text1"/>
        </w:rPr>
        <w:t>Groupe de travail de l’éclairage et de la signalisation lumineuse</w:t>
      </w:r>
    </w:p>
    <w:p w14:paraId="58BD6154" w14:textId="77777777" w:rsidR="00A34D73" w:rsidRPr="00A87926" w:rsidRDefault="00A34D73" w:rsidP="00A34D73">
      <w:pPr>
        <w:ind w:right="1134"/>
        <w:rPr>
          <w:b/>
          <w:color w:val="000000" w:themeColor="text1"/>
        </w:rPr>
      </w:pPr>
      <w:r w:rsidRPr="00A87926">
        <w:rPr>
          <w:b/>
          <w:bCs/>
          <w:color w:val="000000" w:themeColor="text1"/>
        </w:rPr>
        <w:t>Quatre-vingt-troisième session</w:t>
      </w:r>
    </w:p>
    <w:p w14:paraId="744BC0C2" w14:textId="77777777" w:rsidR="00A34D73" w:rsidRPr="00A87926" w:rsidRDefault="00A34D73" w:rsidP="00A34D73">
      <w:pPr>
        <w:ind w:right="1134"/>
        <w:rPr>
          <w:color w:val="000000" w:themeColor="text1"/>
        </w:rPr>
      </w:pPr>
      <w:r w:rsidRPr="00A87926">
        <w:rPr>
          <w:color w:val="000000" w:themeColor="text1"/>
        </w:rPr>
        <w:t>Genève, 19-23 octobre 2020</w:t>
      </w:r>
    </w:p>
    <w:p w14:paraId="192ECC3D" w14:textId="77777777" w:rsidR="00A34D73" w:rsidRPr="00A87926" w:rsidRDefault="00A34D73" w:rsidP="00A34D73">
      <w:pPr>
        <w:ind w:right="1134"/>
        <w:rPr>
          <w:bCs/>
          <w:color w:val="000000" w:themeColor="text1"/>
        </w:rPr>
      </w:pPr>
      <w:r w:rsidRPr="00A87926">
        <w:rPr>
          <w:color w:val="000000" w:themeColor="text1"/>
        </w:rPr>
        <w:t>Point 5 de l’ordre du jour provisoire</w:t>
      </w:r>
    </w:p>
    <w:p w14:paraId="335DFA15" w14:textId="77777777" w:rsidR="00A34D73" w:rsidRPr="00A87926" w:rsidRDefault="00A34D73" w:rsidP="00A34D73">
      <w:pPr>
        <w:ind w:right="3259"/>
        <w:rPr>
          <w:bCs/>
          <w:color w:val="000000" w:themeColor="text1"/>
        </w:rPr>
      </w:pPr>
      <w:r w:rsidRPr="00A87926">
        <w:rPr>
          <w:b/>
          <w:bCs/>
          <w:color w:val="000000" w:themeColor="text1"/>
        </w:rPr>
        <w:t>Règlements ONU n</w:t>
      </w:r>
      <w:r w:rsidRPr="00A87926">
        <w:rPr>
          <w:b/>
          <w:bCs/>
          <w:color w:val="000000" w:themeColor="text1"/>
          <w:vertAlign w:val="superscript"/>
        </w:rPr>
        <w:t>os</w:t>
      </w:r>
      <w:r>
        <w:rPr>
          <w:b/>
          <w:bCs/>
          <w:color w:val="000000" w:themeColor="text1"/>
        </w:rPr>
        <w:t> </w:t>
      </w:r>
      <w:r w:rsidRPr="00A87926">
        <w:rPr>
          <w:b/>
          <w:bCs/>
          <w:color w:val="000000" w:themeColor="text1"/>
        </w:rPr>
        <w:t>37 (Lampes à incandescence), 99 (Sources lumineuses à décharge) et 128 (Sources lumineuses à diodes électroluminescentes) et</w:t>
      </w:r>
      <w:r>
        <w:rPr>
          <w:b/>
          <w:bCs/>
          <w:color w:val="000000" w:themeColor="text1"/>
        </w:rPr>
        <w:t> </w:t>
      </w:r>
      <w:r w:rsidRPr="00A87926">
        <w:rPr>
          <w:b/>
          <w:bCs/>
          <w:color w:val="000000" w:themeColor="text1"/>
        </w:rPr>
        <w:t>Résolution d’ensemble sur une spécification commune des catégories de</w:t>
      </w:r>
      <w:r>
        <w:rPr>
          <w:b/>
          <w:bCs/>
          <w:color w:val="000000" w:themeColor="text1"/>
        </w:rPr>
        <w:t> </w:t>
      </w:r>
      <w:r w:rsidRPr="00A87926">
        <w:rPr>
          <w:b/>
          <w:bCs/>
          <w:color w:val="000000" w:themeColor="text1"/>
        </w:rPr>
        <w:t>sources lumineuses</w:t>
      </w:r>
    </w:p>
    <w:p w14:paraId="374FBAC4" w14:textId="77777777" w:rsidR="00A34D73" w:rsidRPr="00A87926" w:rsidRDefault="00A34D73" w:rsidP="00A34D73">
      <w:pPr>
        <w:pStyle w:val="HChG"/>
      </w:pPr>
      <w:r w:rsidRPr="00A87926">
        <w:tab/>
      </w:r>
      <w:r w:rsidRPr="00A87926">
        <w:tab/>
        <w:t>Proposition de complément [48] à la version initiale du Règlement ONU n</w:t>
      </w:r>
      <w:r w:rsidRPr="00A87926">
        <w:rPr>
          <w:vertAlign w:val="superscript"/>
        </w:rPr>
        <w:t>o</w:t>
      </w:r>
      <w:r>
        <w:t> </w:t>
      </w:r>
      <w:r w:rsidRPr="00A87926">
        <w:t>37 (Lampes à incandescence)</w:t>
      </w:r>
    </w:p>
    <w:p w14:paraId="08BCC174" w14:textId="77777777" w:rsidR="00A34D73" w:rsidRPr="00A87926" w:rsidRDefault="00A34D73" w:rsidP="00A34D73">
      <w:pPr>
        <w:pStyle w:val="H1G"/>
      </w:pPr>
      <w:r>
        <w:tab/>
      </w:r>
      <w:r>
        <w:tab/>
      </w:r>
      <w:r w:rsidRPr="00A87926">
        <w:t>Communication de l’équipe spéciale des sources lumineuses de</w:t>
      </w:r>
      <w:r>
        <w:t> </w:t>
      </w:r>
      <w:r w:rsidRPr="00A87926">
        <w:t>remplacement ou de conversion</w:t>
      </w:r>
      <w:r w:rsidRPr="00A34D73">
        <w:rPr>
          <w:rStyle w:val="Appelnotedebasdep"/>
          <w:b w:val="0"/>
          <w:bCs/>
          <w:color w:val="000000" w:themeColor="text1"/>
          <w:sz w:val="20"/>
          <w:vertAlign w:val="baseline"/>
        </w:rPr>
        <w:footnoteReference w:customMarkFollows="1" w:id="2"/>
        <w:t>*</w:t>
      </w:r>
    </w:p>
    <w:p w14:paraId="4C564739" w14:textId="77777777" w:rsidR="00A34D73" w:rsidRPr="00A87926" w:rsidRDefault="00A34D73" w:rsidP="00A34D73">
      <w:pPr>
        <w:pStyle w:val="SingleTxtG"/>
        <w:ind w:firstLine="567"/>
        <w:rPr>
          <w:color w:val="000000" w:themeColor="text1"/>
        </w:rPr>
      </w:pPr>
      <w:r w:rsidRPr="00A87926">
        <w:rPr>
          <w:color w:val="000000" w:themeColor="text1"/>
        </w:rPr>
        <w:t>Le texte ci-après, établi par l’expert de l’équipe spéciale des sources lumineuses de remplacement ou de conversion, vise à introduire les sources lumineuses à diodes électroluminescentes de remplacement (</w:t>
      </w:r>
      <w:proofErr w:type="spellStart"/>
      <w:r w:rsidRPr="00A87926">
        <w:rPr>
          <w:color w:val="000000" w:themeColor="text1"/>
        </w:rPr>
        <w:t>DELr</w:t>
      </w:r>
      <w:proofErr w:type="spellEnd"/>
      <w:r w:rsidRPr="00A87926">
        <w:rPr>
          <w:color w:val="000000" w:themeColor="text1"/>
        </w:rPr>
        <w:t>) dans le Règlement ONU n</w:t>
      </w:r>
      <w:r w:rsidRPr="00A87926">
        <w:rPr>
          <w:color w:val="000000" w:themeColor="text1"/>
          <w:vertAlign w:val="superscript"/>
        </w:rPr>
        <w:t>o</w:t>
      </w:r>
      <w:r>
        <w:rPr>
          <w:color w:val="000000" w:themeColor="text1"/>
        </w:rPr>
        <w:t> </w:t>
      </w:r>
      <w:r w:rsidRPr="00A87926">
        <w:rPr>
          <w:color w:val="000000" w:themeColor="text1"/>
        </w:rPr>
        <w:t>37. Les modifications qu’il est proposé d’apporter au texte actuel du Règlement ONU figurent en caractères gras pour les ajouts et biffés pour les suppressions.</w:t>
      </w:r>
    </w:p>
    <w:p w14:paraId="24F72582" w14:textId="77777777" w:rsidR="00A34D73" w:rsidRPr="00A87926" w:rsidRDefault="00A34D73" w:rsidP="00A34D73">
      <w:pPr>
        <w:pStyle w:val="HChG"/>
      </w:pPr>
      <w:r>
        <w:br w:type="page"/>
      </w:r>
      <w:r>
        <w:lastRenderedPageBreak/>
        <w:tab/>
      </w:r>
      <w:r w:rsidRPr="00A87926">
        <w:t>I.</w:t>
      </w:r>
      <w:r w:rsidRPr="00A87926">
        <w:tab/>
        <w:t>Proposition</w:t>
      </w:r>
    </w:p>
    <w:p w14:paraId="3866B0DD" w14:textId="77777777" w:rsidR="00A34D73" w:rsidRPr="00A87926" w:rsidRDefault="00A34D73" w:rsidP="00A34D73">
      <w:pPr>
        <w:pStyle w:val="SingleTxtG"/>
      </w:pPr>
      <w:r w:rsidRPr="00A34D73">
        <w:rPr>
          <w:i/>
          <w:iCs/>
        </w:rPr>
        <w:t>Paragraphe 1</w:t>
      </w:r>
      <w:r w:rsidRPr="00A87926">
        <w:t>, lire</w:t>
      </w:r>
      <w:r>
        <w:t> :</w:t>
      </w:r>
    </w:p>
    <w:p w14:paraId="569BD072" w14:textId="77777777" w:rsidR="00A34D73" w:rsidRPr="00A87926" w:rsidRDefault="00A34D73" w:rsidP="000C42AE">
      <w:pPr>
        <w:pStyle w:val="SingleTxtG"/>
        <w:ind w:left="2268"/>
      </w:pPr>
      <w:r w:rsidRPr="00A87926">
        <w:t>«</w:t>
      </w:r>
      <w:r w:rsidR="000C42AE">
        <w:t> </w:t>
      </w:r>
      <w:r w:rsidRPr="00A87926">
        <w:t xml:space="preserve">Le présent Règlement s’applique aux sources lumineuses à incandescence et </w:t>
      </w:r>
      <w:r w:rsidRPr="00A87926">
        <w:rPr>
          <w:b/>
          <w:bCs/>
        </w:rPr>
        <w:t>à leurs sources lumineuses à DEL de remplacement</w:t>
      </w:r>
      <w:r w:rsidRPr="00A87926">
        <w:t xml:space="preserve"> visées à l’annexe 1 et destinées à être utilisées dans les feux homologués des véhicules à moteur et de leurs remorques.</w:t>
      </w:r>
      <w:r>
        <w:t> </w:t>
      </w:r>
      <w:r w:rsidRPr="00A87926">
        <w:t>».</w:t>
      </w:r>
    </w:p>
    <w:p w14:paraId="32988E2A" w14:textId="77777777" w:rsidR="00A34D73" w:rsidRPr="00A87926" w:rsidRDefault="00A34D73" w:rsidP="00A34D73">
      <w:pPr>
        <w:pStyle w:val="SingleTxtG"/>
      </w:pPr>
      <w:r w:rsidRPr="00A34D73">
        <w:rPr>
          <w:i/>
          <w:iCs/>
        </w:rPr>
        <w:t>Paragraphe 2</w:t>
      </w:r>
      <w:r w:rsidRPr="00A87926">
        <w:t>, lire</w:t>
      </w:r>
      <w:r>
        <w:t> :</w:t>
      </w:r>
    </w:p>
    <w:p w14:paraId="2192B88D" w14:textId="77777777" w:rsidR="00A34D73" w:rsidRPr="00A87926" w:rsidRDefault="00A34D73" w:rsidP="00A34D73">
      <w:pPr>
        <w:pStyle w:val="SingleTxtG"/>
        <w:ind w:left="2268" w:hanging="1134"/>
        <w:rPr>
          <w:color w:val="000000" w:themeColor="text1"/>
        </w:rPr>
      </w:pPr>
      <w:r w:rsidRPr="00A87926">
        <w:rPr>
          <w:color w:val="000000" w:themeColor="text1"/>
        </w:rPr>
        <w:t>« 2.1</w:t>
      </w:r>
      <w:r w:rsidRPr="00A87926">
        <w:rPr>
          <w:color w:val="000000" w:themeColor="text1"/>
        </w:rPr>
        <w:tab/>
      </w:r>
      <w:r w:rsidRPr="00A87926">
        <w:rPr>
          <w:color w:val="000000" w:themeColor="text1"/>
        </w:rPr>
        <w:tab/>
        <w:t>Définitions</w:t>
      </w:r>
    </w:p>
    <w:p w14:paraId="14BEC427" w14:textId="77777777" w:rsidR="00A34D73" w:rsidRPr="00A87926" w:rsidRDefault="00A34D73" w:rsidP="00A34D73">
      <w:pPr>
        <w:pStyle w:val="SingleTxtG"/>
        <w:ind w:left="2268" w:hanging="1134"/>
        <w:rPr>
          <w:rFonts w:eastAsia="MS Mincho"/>
          <w:color w:val="000000" w:themeColor="text1"/>
        </w:rPr>
      </w:pPr>
      <w:r w:rsidRPr="00A87926">
        <w:rPr>
          <w:color w:val="000000" w:themeColor="text1"/>
        </w:rPr>
        <w:t>2.1.1</w:t>
      </w:r>
      <w:r w:rsidRPr="00A87926">
        <w:rPr>
          <w:color w:val="000000" w:themeColor="text1"/>
        </w:rPr>
        <w:tab/>
      </w:r>
      <w:r w:rsidRPr="00A87926">
        <w:rPr>
          <w:color w:val="000000" w:themeColor="text1"/>
        </w:rPr>
        <w:tab/>
        <w:t xml:space="preserve">Définition de la notion de </w:t>
      </w:r>
      <w:r w:rsidR="00AD0AEE">
        <w:rPr>
          <w:color w:val="000000" w:themeColor="text1"/>
        </w:rPr>
        <w:t>“</w:t>
      </w:r>
      <w:r w:rsidRPr="00A87926">
        <w:rPr>
          <w:i/>
          <w:iCs/>
          <w:color w:val="000000" w:themeColor="text1"/>
        </w:rPr>
        <w:t>catégorie</w:t>
      </w:r>
      <w:r w:rsidR="00AD0AEE">
        <w:rPr>
          <w:color w:val="000000" w:themeColor="text1"/>
        </w:rPr>
        <w:t>”</w:t>
      </w:r>
    </w:p>
    <w:p w14:paraId="7577D838" w14:textId="77777777" w:rsidR="00A34D73" w:rsidRPr="00A87926" w:rsidRDefault="00A34D73" w:rsidP="00AD0AEE">
      <w:pPr>
        <w:pStyle w:val="SingleTxtG"/>
        <w:ind w:left="2268"/>
        <w:rPr>
          <w:color w:val="000000" w:themeColor="text1"/>
        </w:rPr>
      </w:pPr>
      <w:r w:rsidRPr="00A87926">
        <w:rPr>
          <w:color w:val="000000" w:themeColor="text1"/>
        </w:rPr>
        <w:t xml:space="preserve">Le terme </w:t>
      </w:r>
      <w:r w:rsidR="00AD0AEE">
        <w:rPr>
          <w:color w:val="000000" w:themeColor="text1"/>
        </w:rPr>
        <w:t>“</w:t>
      </w:r>
      <w:r w:rsidRPr="00A87926">
        <w:rPr>
          <w:color w:val="000000" w:themeColor="text1"/>
        </w:rPr>
        <w:t>catégorie</w:t>
      </w:r>
      <w:r w:rsidR="00AD0AEE">
        <w:rPr>
          <w:color w:val="000000" w:themeColor="text1"/>
        </w:rPr>
        <w:t>”</w:t>
      </w:r>
      <w:r w:rsidRPr="00A87926">
        <w:rPr>
          <w:color w:val="000000" w:themeColor="text1"/>
        </w:rPr>
        <w:t xml:space="preserve"> est employé dans le présent Règlement pour décrire des sources lumineuses à incandescence normalisées</w:t>
      </w:r>
      <w:r w:rsidRPr="00A87926">
        <w:rPr>
          <w:b/>
          <w:bCs/>
          <w:color w:val="000000" w:themeColor="text1"/>
        </w:rPr>
        <w:t>,</w:t>
      </w:r>
      <w:r w:rsidRPr="00A87926">
        <w:rPr>
          <w:color w:val="000000" w:themeColor="text1"/>
        </w:rPr>
        <w:t xml:space="preserve"> </w:t>
      </w:r>
      <w:r w:rsidRPr="00A87926">
        <w:rPr>
          <w:b/>
          <w:bCs/>
          <w:color w:val="000000" w:themeColor="text1"/>
        </w:rPr>
        <w:t>qui produisent de la lumière au moyen de la technologie de l’incandescence, et des sources lumineuses à DEL de remplacement normalisées, qui produisent de la lumière au moyen de la technologie des diodes électroluminescentes (DEL), dont les conceptions sont fondamentalement différentes</w:t>
      </w:r>
      <w:r w:rsidRPr="00AD0AEE">
        <w:rPr>
          <w:color w:val="000000" w:themeColor="text1"/>
        </w:rPr>
        <w:t>.</w:t>
      </w:r>
    </w:p>
    <w:p w14:paraId="11AEC433" w14:textId="77777777" w:rsidR="00A34D73" w:rsidRPr="00A87926" w:rsidRDefault="00A34D73" w:rsidP="00AD0AEE">
      <w:pPr>
        <w:pStyle w:val="SingleTxtG"/>
        <w:ind w:left="2268"/>
        <w:rPr>
          <w:b/>
          <w:bCs/>
          <w:color w:val="000000" w:themeColor="text1"/>
        </w:rPr>
      </w:pPr>
      <w:r w:rsidRPr="00A87926">
        <w:rPr>
          <w:b/>
          <w:bCs/>
          <w:color w:val="000000" w:themeColor="text1"/>
        </w:rPr>
        <w:t>La source lumineuse à incandescence et sa source lumineuse à DEL de remplacement sont considérées comme des sources appartenant à la même catégorie, bien qu’elles utilisent des technologies de production de lumière différentes.</w:t>
      </w:r>
    </w:p>
    <w:p w14:paraId="78A982B5" w14:textId="77777777" w:rsidR="00A34D73" w:rsidRPr="00A87926" w:rsidRDefault="00A34D73" w:rsidP="00AD0AEE">
      <w:pPr>
        <w:pStyle w:val="SingleTxtG"/>
        <w:ind w:left="2268"/>
      </w:pPr>
      <w:r w:rsidRPr="00A87926">
        <w:t>À chaque catégorie correspond une désignation spécifique telle que, par exemple</w:t>
      </w:r>
      <w:r>
        <w:t> :</w:t>
      </w:r>
      <w:r w:rsidRPr="00A87926">
        <w:t xml:space="preserve"> </w:t>
      </w:r>
      <w:r w:rsidR="00AD0AEE">
        <w:t>“</w:t>
      </w:r>
      <w:r w:rsidRPr="00A87926">
        <w:t>H4</w:t>
      </w:r>
      <w:r w:rsidR="00AD0AEE">
        <w:t>”</w:t>
      </w:r>
      <w:r w:rsidRPr="00A87926">
        <w:t xml:space="preserve">, </w:t>
      </w:r>
      <w:r w:rsidR="00AD0AEE">
        <w:t>“</w:t>
      </w:r>
      <w:r w:rsidRPr="00A87926">
        <w:t>P21W</w:t>
      </w:r>
      <w:r w:rsidR="00AD0AEE">
        <w:t>”</w:t>
      </w:r>
      <w:r w:rsidRPr="00A87926">
        <w:t xml:space="preserve">, </w:t>
      </w:r>
      <w:r w:rsidR="00AD0AEE">
        <w:t>“</w:t>
      </w:r>
      <w:r w:rsidRPr="00A87926">
        <w:t>T4W</w:t>
      </w:r>
      <w:r w:rsidR="00AD0AEE">
        <w:t>”</w:t>
      </w:r>
      <w:r w:rsidRPr="00A87926">
        <w:t xml:space="preserve">, </w:t>
      </w:r>
      <w:r w:rsidR="00AD0AEE">
        <w:t>“</w:t>
      </w:r>
      <w:r w:rsidRPr="00A87926">
        <w:t>PY21W</w:t>
      </w:r>
      <w:r w:rsidR="00AD0AEE">
        <w:t>”</w:t>
      </w:r>
      <w:r w:rsidRPr="00A87926">
        <w:t xml:space="preserve"> ou </w:t>
      </w:r>
      <w:r w:rsidR="00AD0AEE">
        <w:t>“</w:t>
      </w:r>
      <w:r w:rsidRPr="00A87926">
        <w:t>RR10W</w:t>
      </w:r>
      <w:r w:rsidR="00AD0AEE">
        <w:t>”</w:t>
      </w:r>
      <w:r w:rsidRPr="00A87926">
        <w:t>.</w:t>
      </w:r>
    </w:p>
    <w:p w14:paraId="1A086413" w14:textId="77777777" w:rsidR="00A34D73" w:rsidRPr="00A87926" w:rsidRDefault="00A34D73" w:rsidP="00A34D73">
      <w:pPr>
        <w:pStyle w:val="SingleTxtG"/>
        <w:ind w:left="2268" w:hanging="1134"/>
        <w:rPr>
          <w:color w:val="000000" w:themeColor="text1"/>
        </w:rPr>
      </w:pPr>
      <w:r w:rsidRPr="00A87926">
        <w:rPr>
          <w:color w:val="000000" w:themeColor="text1"/>
        </w:rPr>
        <w:t>2.1.2</w:t>
      </w:r>
      <w:r w:rsidRPr="00A87926">
        <w:rPr>
          <w:color w:val="000000" w:themeColor="text1"/>
        </w:rPr>
        <w:tab/>
      </w:r>
      <w:r w:rsidRPr="00A87926">
        <w:rPr>
          <w:color w:val="000000" w:themeColor="text1"/>
        </w:rPr>
        <w:tab/>
        <w:t xml:space="preserve">Définition de la notion de </w:t>
      </w:r>
      <w:r w:rsidR="00AD0AEE">
        <w:rPr>
          <w:color w:val="000000" w:themeColor="text1"/>
        </w:rPr>
        <w:t>“</w:t>
      </w:r>
      <w:r w:rsidRPr="00A87926">
        <w:rPr>
          <w:i/>
          <w:iCs/>
          <w:color w:val="000000" w:themeColor="text1"/>
        </w:rPr>
        <w:t>type</w:t>
      </w:r>
      <w:r w:rsidR="00AD0AEE">
        <w:rPr>
          <w:color w:val="000000" w:themeColor="text1"/>
        </w:rPr>
        <w:t>”</w:t>
      </w:r>
    </w:p>
    <w:p w14:paraId="4EF3EC5E" w14:textId="77777777" w:rsidR="00A34D73" w:rsidRPr="00A87926" w:rsidRDefault="00A34D73" w:rsidP="00AD0AEE">
      <w:pPr>
        <w:pStyle w:val="SingleTxtG"/>
        <w:ind w:left="2268"/>
        <w:rPr>
          <w:color w:val="000000" w:themeColor="text1"/>
        </w:rPr>
      </w:pPr>
      <w:r w:rsidRPr="00A87926">
        <w:rPr>
          <w:color w:val="000000" w:themeColor="text1"/>
        </w:rPr>
        <w:tab/>
        <w:t>Par sources lumineuses</w:t>
      </w:r>
      <w:r w:rsidRPr="00A87926">
        <w:rPr>
          <w:strike/>
          <w:color w:val="000000" w:themeColor="text1"/>
        </w:rPr>
        <w:t xml:space="preserve"> à incandescence</w:t>
      </w:r>
      <w:r w:rsidRPr="00A87926">
        <w:rPr>
          <w:color w:val="000000" w:themeColor="text1"/>
        </w:rPr>
        <w:t xml:space="preserve"> de </w:t>
      </w:r>
      <w:r w:rsidR="00AD0AEE">
        <w:rPr>
          <w:color w:val="000000" w:themeColor="text1"/>
        </w:rPr>
        <w:t>“</w:t>
      </w:r>
      <w:r w:rsidRPr="00A87926">
        <w:rPr>
          <w:color w:val="000000" w:themeColor="text1"/>
        </w:rPr>
        <w:t>types</w:t>
      </w:r>
      <w:r w:rsidR="00AD0AEE">
        <w:rPr>
          <w:color w:val="000000" w:themeColor="text1"/>
        </w:rPr>
        <w:t>”</w:t>
      </w:r>
      <w:r w:rsidRPr="00A87926">
        <w:rPr>
          <w:color w:val="000000" w:themeColor="text1"/>
        </w:rPr>
        <w:t xml:space="preserve"> différents</w:t>
      </w:r>
      <w:r w:rsidRPr="00AD0AEE">
        <w:rPr>
          <w:color w:val="000000" w:themeColor="text1"/>
          <w:sz w:val="18"/>
          <w:szCs w:val="18"/>
          <w:vertAlign w:val="superscript"/>
        </w:rPr>
        <w:t>1</w:t>
      </w:r>
      <w:r w:rsidRPr="00A87926">
        <w:rPr>
          <w:color w:val="000000" w:themeColor="text1"/>
        </w:rPr>
        <w:t xml:space="preserve">, on entend des sources lumineuses </w:t>
      </w:r>
      <w:r w:rsidRPr="00A87926">
        <w:rPr>
          <w:strike/>
          <w:color w:val="000000" w:themeColor="text1"/>
        </w:rPr>
        <w:t>de</w:t>
      </w:r>
      <w:r w:rsidRPr="00A87926">
        <w:rPr>
          <w:color w:val="000000" w:themeColor="text1"/>
        </w:rPr>
        <w:t xml:space="preserve"> </w:t>
      </w:r>
      <w:r w:rsidRPr="00A87926">
        <w:rPr>
          <w:b/>
          <w:bCs/>
          <w:color w:val="000000" w:themeColor="text1"/>
        </w:rPr>
        <w:t>d’une</w:t>
      </w:r>
      <w:r w:rsidRPr="00A87926">
        <w:rPr>
          <w:color w:val="000000" w:themeColor="text1"/>
        </w:rPr>
        <w:t xml:space="preserve"> même catégorie </w:t>
      </w:r>
      <w:r w:rsidRPr="00A87926">
        <w:rPr>
          <w:b/>
          <w:bCs/>
          <w:color w:val="000000" w:themeColor="text1"/>
        </w:rPr>
        <w:t>de</w:t>
      </w:r>
      <w:r w:rsidRPr="00A87926">
        <w:rPr>
          <w:color w:val="000000" w:themeColor="text1"/>
        </w:rPr>
        <w:t xml:space="preserve"> </w:t>
      </w:r>
      <w:r w:rsidRPr="00A87926">
        <w:rPr>
          <w:b/>
          <w:bCs/>
          <w:color w:val="000000" w:themeColor="text1"/>
        </w:rPr>
        <w:t xml:space="preserve">sources lumineuses à incandescence ou de sources lumineuses à DEL de remplacement, </w:t>
      </w:r>
      <w:r w:rsidRPr="00A87926">
        <w:rPr>
          <w:color w:val="000000" w:themeColor="text1"/>
        </w:rPr>
        <w:t>qui présentent entre elles des différences essentielles pouvant notamment porter sur</w:t>
      </w:r>
      <w:r>
        <w:rPr>
          <w:color w:val="000000" w:themeColor="text1"/>
        </w:rPr>
        <w:t> :</w:t>
      </w:r>
    </w:p>
    <w:p w14:paraId="7EBFA637" w14:textId="77777777" w:rsidR="00A34D73" w:rsidRPr="000C42AE" w:rsidRDefault="00AD0AEE" w:rsidP="000C42AE">
      <w:pPr>
        <w:spacing w:after="120" w:line="220" w:lineRule="atLeast"/>
        <w:ind w:left="2552" w:right="1134" w:hanging="284"/>
        <w:jc w:val="both"/>
        <w:rPr>
          <w:color w:val="000000" w:themeColor="text1"/>
          <w:sz w:val="18"/>
          <w:szCs w:val="18"/>
        </w:rPr>
      </w:pPr>
      <w:r w:rsidRPr="000C42AE">
        <w:rPr>
          <w:color w:val="000000" w:themeColor="text1"/>
          <w:sz w:val="18"/>
          <w:szCs w:val="18"/>
          <w:vertAlign w:val="superscript"/>
        </w:rPr>
        <w:t>1</w:t>
      </w:r>
      <w:r w:rsidR="00A34D73" w:rsidRPr="000C42AE">
        <w:rPr>
          <w:color w:val="000000" w:themeColor="text1"/>
          <w:sz w:val="18"/>
          <w:szCs w:val="18"/>
        </w:rPr>
        <w:tab/>
        <w:t>Une ampoule jaune sélectif ou une ampoule extérieure additionnelle jaune sélectif, destinée seulement à modifier la couleur mais pas les autres caractéristiques d’une source lumineuse à incandescence émettant une lumière blanche, ne représente pas un type différent de source lumineuse à incandescence.</w:t>
      </w:r>
    </w:p>
    <w:p w14:paraId="1958848B" w14:textId="77777777" w:rsidR="00A34D73" w:rsidRPr="00A87926" w:rsidRDefault="00A34D73" w:rsidP="00A34D73">
      <w:pPr>
        <w:pStyle w:val="SingleTxtG"/>
        <w:ind w:left="2268" w:hanging="1134"/>
        <w:rPr>
          <w:color w:val="000000" w:themeColor="text1"/>
        </w:rPr>
      </w:pPr>
      <w:r w:rsidRPr="00A87926">
        <w:rPr>
          <w:color w:val="000000" w:themeColor="text1"/>
        </w:rPr>
        <w:t>2.1.2.1</w:t>
      </w:r>
      <w:r w:rsidRPr="00A87926">
        <w:rPr>
          <w:color w:val="000000" w:themeColor="text1"/>
        </w:rPr>
        <w:tab/>
        <w:t xml:space="preserve">La marque de fabrique ou de commerce (des sources lumineuses </w:t>
      </w:r>
      <w:r w:rsidRPr="00A87926">
        <w:rPr>
          <w:strike/>
          <w:color w:val="000000" w:themeColor="text1"/>
        </w:rPr>
        <w:t>à incandescence</w:t>
      </w:r>
      <w:r w:rsidRPr="00A87926">
        <w:rPr>
          <w:color w:val="000000" w:themeColor="text1"/>
        </w:rPr>
        <w:t xml:space="preserve"> portant la même marque de fabrique ou de commerce, mais produites par des fabricants différents, sont considérées comme étant de types différents. Des sources lumineuses </w:t>
      </w:r>
      <w:r w:rsidRPr="00A87926">
        <w:rPr>
          <w:strike/>
          <w:color w:val="000000" w:themeColor="text1"/>
        </w:rPr>
        <w:t>à incandescence</w:t>
      </w:r>
      <w:r w:rsidRPr="00A87926">
        <w:rPr>
          <w:color w:val="000000" w:themeColor="text1"/>
        </w:rPr>
        <w:t xml:space="preserve"> produites par le même fabricant, ne différant entre elles que par la marque de fabrique ou de commerce, peuvent être considérées comme étant du même type)</w:t>
      </w:r>
      <w:r>
        <w:rPr>
          <w:color w:val="000000" w:themeColor="text1"/>
        </w:rPr>
        <w:t> ;</w:t>
      </w:r>
    </w:p>
    <w:p w14:paraId="73E18602" w14:textId="77777777" w:rsidR="00A34D73" w:rsidRPr="00A87926" w:rsidRDefault="00A34D73" w:rsidP="00A34D73">
      <w:pPr>
        <w:pStyle w:val="SingleTxtG"/>
        <w:ind w:left="2268" w:hanging="1134"/>
        <w:rPr>
          <w:color w:val="000000" w:themeColor="text1"/>
        </w:rPr>
      </w:pPr>
      <w:r w:rsidRPr="00A87926">
        <w:rPr>
          <w:color w:val="000000" w:themeColor="text1"/>
        </w:rPr>
        <w:t>2.1.2.2</w:t>
      </w:r>
      <w:r w:rsidRPr="00A87926">
        <w:rPr>
          <w:color w:val="000000" w:themeColor="text1"/>
        </w:rPr>
        <w:tab/>
        <w:t xml:space="preserve">La conception </w:t>
      </w:r>
      <w:r w:rsidRPr="00A87926">
        <w:rPr>
          <w:strike/>
          <w:color w:val="000000" w:themeColor="text1"/>
        </w:rPr>
        <w:t xml:space="preserve">de l’ampoule et/ou du culot </w:t>
      </w:r>
      <w:r w:rsidRPr="00A87926">
        <w:rPr>
          <w:b/>
          <w:bCs/>
          <w:color w:val="000000" w:themeColor="text1"/>
        </w:rPr>
        <w:t>de la source lumineuse</w:t>
      </w:r>
      <w:r w:rsidRPr="00A87926">
        <w:rPr>
          <w:color w:val="000000" w:themeColor="text1"/>
        </w:rPr>
        <w:t>, pour autant que ces différences affectent les résultats optiques</w:t>
      </w:r>
      <w:r>
        <w:rPr>
          <w:color w:val="000000" w:themeColor="text1"/>
        </w:rPr>
        <w:t> ;</w:t>
      </w:r>
    </w:p>
    <w:p w14:paraId="2DDEFFCD" w14:textId="77777777" w:rsidR="00A34D73" w:rsidRPr="00A87926" w:rsidRDefault="00A34D73" w:rsidP="00A34D73">
      <w:pPr>
        <w:pStyle w:val="SingleTxtG"/>
        <w:ind w:left="2268" w:hanging="1134"/>
        <w:rPr>
          <w:color w:val="000000" w:themeColor="text1"/>
        </w:rPr>
      </w:pPr>
      <w:r w:rsidRPr="00A87926">
        <w:rPr>
          <w:color w:val="000000" w:themeColor="text1"/>
        </w:rPr>
        <w:t>2.1.2.3</w:t>
      </w:r>
      <w:r w:rsidRPr="00A87926">
        <w:rPr>
          <w:color w:val="000000" w:themeColor="text1"/>
        </w:rPr>
        <w:tab/>
        <w:t>La tension nominale</w:t>
      </w:r>
      <w:r>
        <w:rPr>
          <w:color w:val="000000" w:themeColor="text1"/>
        </w:rPr>
        <w:t> ;</w:t>
      </w:r>
    </w:p>
    <w:p w14:paraId="5F0825BA" w14:textId="77777777" w:rsidR="00A34D73" w:rsidRPr="00A87926" w:rsidRDefault="00A34D73" w:rsidP="00A34D73">
      <w:pPr>
        <w:pStyle w:val="SingleTxtG"/>
        <w:ind w:left="2268" w:hanging="1134"/>
        <w:rPr>
          <w:color w:val="000000" w:themeColor="text1"/>
        </w:rPr>
      </w:pPr>
      <w:r w:rsidRPr="00A87926">
        <w:rPr>
          <w:color w:val="000000" w:themeColor="text1"/>
        </w:rPr>
        <w:t>2.1.2.4</w:t>
      </w:r>
      <w:r w:rsidRPr="00A87926">
        <w:rPr>
          <w:color w:val="000000" w:themeColor="text1"/>
        </w:rPr>
        <w:tab/>
      </w:r>
      <w:r w:rsidRPr="00A87926">
        <w:rPr>
          <w:b/>
          <w:bCs/>
          <w:color w:val="000000" w:themeColor="text1"/>
        </w:rPr>
        <w:t>Pour une source lumineuse à incandescence</w:t>
      </w:r>
      <w:r>
        <w:rPr>
          <w:color w:val="000000" w:themeColor="text1"/>
        </w:rPr>
        <w:t> :</w:t>
      </w:r>
      <w:r w:rsidRPr="00A87926">
        <w:rPr>
          <w:color w:val="000000" w:themeColor="text1"/>
        </w:rPr>
        <w:t xml:space="preserve"> le principe de fonctionnement à </w:t>
      </w:r>
      <w:proofErr w:type="spellStart"/>
      <w:r w:rsidRPr="00A87926">
        <w:rPr>
          <w:strike/>
          <w:color w:val="000000" w:themeColor="text1"/>
        </w:rPr>
        <w:t>H</w:t>
      </w:r>
      <w:r w:rsidRPr="00A87926">
        <w:rPr>
          <w:b/>
          <w:bCs/>
          <w:color w:val="000000" w:themeColor="text1"/>
        </w:rPr>
        <w:t>h</w:t>
      </w:r>
      <w:r w:rsidRPr="00A87926">
        <w:rPr>
          <w:color w:val="000000" w:themeColor="text1"/>
        </w:rPr>
        <w:t>alogène</w:t>
      </w:r>
      <w:proofErr w:type="spellEnd"/>
      <w:r>
        <w:rPr>
          <w:color w:val="000000" w:themeColor="text1"/>
        </w:rPr>
        <w:t> ;</w:t>
      </w:r>
    </w:p>
    <w:p w14:paraId="569C2AA2" w14:textId="77777777" w:rsidR="00A34D73" w:rsidRPr="000242C4" w:rsidRDefault="00A34D73" w:rsidP="00A34D73">
      <w:pPr>
        <w:pStyle w:val="SingleTxtG"/>
        <w:ind w:left="2268" w:hanging="1134"/>
        <w:rPr>
          <w:color w:val="000000" w:themeColor="text1"/>
        </w:rPr>
      </w:pPr>
      <w:r w:rsidRPr="000C42AE">
        <w:rPr>
          <w:b/>
          <w:bCs/>
          <w:color w:val="000000" w:themeColor="text1"/>
        </w:rPr>
        <w:t>2.1.2.5</w:t>
      </w:r>
      <w:r w:rsidRPr="00A87926">
        <w:rPr>
          <w:color w:val="000000" w:themeColor="text1"/>
        </w:rPr>
        <w:tab/>
      </w:r>
      <w:r w:rsidRPr="00A87926">
        <w:rPr>
          <w:b/>
          <w:bCs/>
          <w:color w:val="000000" w:themeColor="text1"/>
        </w:rPr>
        <w:t>Pour une source lumineuse à DEL de remplacement</w:t>
      </w:r>
      <w:r>
        <w:rPr>
          <w:b/>
          <w:bCs/>
          <w:color w:val="000000" w:themeColor="text1"/>
        </w:rPr>
        <w:t> :</w:t>
      </w:r>
      <w:r w:rsidRPr="00A87926">
        <w:rPr>
          <w:b/>
          <w:bCs/>
          <w:color w:val="000000" w:themeColor="text1"/>
        </w:rPr>
        <w:t xml:space="preserve"> courant électrique minimal prescrit (type à haute efficacité).</w:t>
      </w:r>
    </w:p>
    <w:p w14:paraId="401C6F6E" w14:textId="77777777" w:rsidR="00A34D73" w:rsidRPr="00A87926" w:rsidRDefault="00A34D73" w:rsidP="00A34D73">
      <w:pPr>
        <w:pStyle w:val="SingleTxtG"/>
        <w:ind w:left="2268" w:hanging="1134"/>
        <w:rPr>
          <w:color w:val="000000" w:themeColor="text1"/>
        </w:rPr>
      </w:pPr>
      <w:r w:rsidRPr="00A87926">
        <w:rPr>
          <w:color w:val="000000" w:themeColor="text1"/>
        </w:rPr>
        <w:t>2.2</w:t>
      </w:r>
      <w:r w:rsidRPr="00A87926">
        <w:rPr>
          <w:color w:val="000000" w:themeColor="text1"/>
        </w:rPr>
        <w:tab/>
      </w:r>
      <w:r w:rsidRPr="00A87926">
        <w:rPr>
          <w:color w:val="000000" w:themeColor="text1"/>
        </w:rPr>
        <w:tab/>
        <w:t>Demande d’homologation</w:t>
      </w:r>
    </w:p>
    <w:p w14:paraId="1DEB9BFD" w14:textId="77777777" w:rsidR="00A34D73" w:rsidRPr="00A87926" w:rsidRDefault="00A34D73" w:rsidP="00A34D73">
      <w:pPr>
        <w:pStyle w:val="SingleTxtG"/>
        <w:ind w:left="2268" w:hanging="1134"/>
        <w:rPr>
          <w:color w:val="000000" w:themeColor="text1"/>
        </w:rPr>
      </w:pPr>
      <w:r w:rsidRPr="00A87926">
        <w:rPr>
          <w:color w:val="000000" w:themeColor="text1"/>
        </w:rPr>
        <w:t>2.2.1</w:t>
      </w:r>
      <w:r w:rsidRPr="00A87926">
        <w:rPr>
          <w:color w:val="000000" w:themeColor="text1"/>
        </w:rPr>
        <w:tab/>
        <w:t>La demande d’homologation doit être présentée par le propriétaire de la marque de fabrique ou de commerce ou son représentant dûment accrédité.</w:t>
      </w:r>
    </w:p>
    <w:p w14:paraId="72CC0842" w14:textId="77777777" w:rsidR="00A34D73" w:rsidRPr="00A87926" w:rsidRDefault="00A34D73" w:rsidP="00A34D73">
      <w:pPr>
        <w:pStyle w:val="SingleTxtG"/>
        <w:ind w:left="2268" w:hanging="1134"/>
        <w:rPr>
          <w:color w:val="000000" w:themeColor="text1"/>
        </w:rPr>
      </w:pPr>
      <w:r w:rsidRPr="00A87926">
        <w:rPr>
          <w:color w:val="000000" w:themeColor="text1"/>
        </w:rPr>
        <w:lastRenderedPageBreak/>
        <w:t>2.2.2</w:t>
      </w:r>
      <w:r w:rsidRPr="00A87926">
        <w:rPr>
          <w:color w:val="000000" w:themeColor="text1"/>
        </w:rPr>
        <w:tab/>
        <w:t>Toute demande d’homologation doit être accompagnée (voir aussi par.</w:t>
      </w:r>
      <w:r w:rsidR="00AD0AEE">
        <w:rPr>
          <w:color w:val="000000" w:themeColor="text1"/>
        </w:rPr>
        <w:t> </w:t>
      </w:r>
      <w:r w:rsidRPr="00A87926">
        <w:rPr>
          <w:color w:val="000000" w:themeColor="text1"/>
        </w:rPr>
        <w:t>2.4.2)</w:t>
      </w:r>
      <w:r>
        <w:rPr>
          <w:color w:val="000000" w:themeColor="text1"/>
        </w:rPr>
        <w:t> :</w:t>
      </w:r>
    </w:p>
    <w:p w14:paraId="1865B388" w14:textId="77777777" w:rsidR="00A34D73" w:rsidRPr="00A87926" w:rsidRDefault="00A34D73" w:rsidP="00A34D73">
      <w:pPr>
        <w:pStyle w:val="SingleTxtG"/>
        <w:ind w:left="2268" w:hanging="1134"/>
        <w:rPr>
          <w:color w:val="000000" w:themeColor="text1"/>
        </w:rPr>
      </w:pPr>
      <w:r w:rsidRPr="00A87926">
        <w:rPr>
          <w:color w:val="000000" w:themeColor="text1"/>
        </w:rPr>
        <w:t>2.2.2.1</w:t>
      </w:r>
      <w:r w:rsidRPr="00A87926">
        <w:rPr>
          <w:color w:val="000000" w:themeColor="text1"/>
        </w:rPr>
        <w:tab/>
        <w:t>De dessins, en trois exemplaires, suffisamment détaillés pour permettre l’identification du type</w:t>
      </w:r>
      <w:r>
        <w:rPr>
          <w:color w:val="000000" w:themeColor="text1"/>
        </w:rPr>
        <w:t> ;</w:t>
      </w:r>
    </w:p>
    <w:p w14:paraId="10A51D16" w14:textId="77777777" w:rsidR="00A34D73" w:rsidRPr="00A87926" w:rsidRDefault="00A34D73" w:rsidP="00A34D73">
      <w:pPr>
        <w:pStyle w:val="SingleTxtG"/>
        <w:ind w:left="2268" w:hanging="1134"/>
        <w:rPr>
          <w:color w:val="000000" w:themeColor="text1"/>
        </w:rPr>
      </w:pPr>
      <w:r w:rsidRPr="00A87926">
        <w:rPr>
          <w:color w:val="000000" w:themeColor="text1"/>
        </w:rPr>
        <w:t>2.2.2.2</w:t>
      </w:r>
      <w:r w:rsidRPr="00A87926">
        <w:rPr>
          <w:color w:val="000000" w:themeColor="text1"/>
        </w:rPr>
        <w:tab/>
        <w:t>D’une description technique succincte</w:t>
      </w:r>
      <w:r w:rsidRPr="000242C4">
        <w:rPr>
          <w:b/>
          <w:bCs/>
          <w:color w:val="000000" w:themeColor="text1"/>
        </w:rPr>
        <w:t xml:space="preserve">, </w:t>
      </w:r>
      <w:r w:rsidRPr="00A87926">
        <w:rPr>
          <w:b/>
          <w:bCs/>
          <w:color w:val="000000" w:themeColor="text1"/>
        </w:rPr>
        <w:t>qui</w:t>
      </w:r>
      <w:r>
        <w:rPr>
          <w:b/>
          <w:bCs/>
          <w:color w:val="000000" w:themeColor="text1"/>
        </w:rPr>
        <w:t> :</w:t>
      </w:r>
      <w:r w:rsidRPr="00AD0AEE">
        <w:rPr>
          <w:strike/>
          <w:color w:val="000000" w:themeColor="text1"/>
        </w:rPr>
        <w:t> ;</w:t>
      </w:r>
    </w:p>
    <w:p w14:paraId="29597CB5" w14:textId="77777777" w:rsidR="00A34D73" w:rsidRPr="00A87926" w:rsidRDefault="00A34D73" w:rsidP="00A34D73">
      <w:pPr>
        <w:pStyle w:val="SingleTxtG"/>
        <w:ind w:left="2268" w:hanging="1134"/>
        <w:rPr>
          <w:color w:val="000000" w:themeColor="text1"/>
        </w:rPr>
      </w:pPr>
      <w:r w:rsidRPr="00A87926">
        <w:rPr>
          <w:b/>
          <w:bCs/>
          <w:color w:val="000000" w:themeColor="text1"/>
        </w:rPr>
        <w:t>2.2.2.2.1</w:t>
      </w:r>
      <w:r w:rsidRPr="00A87926">
        <w:rPr>
          <w:color w:val="000000" w:themeColor="text1"/>
        </w:rPr>
        <w:tab/>
      </w:r>
      <w:r w:rsidR="00AD0AEE" w:rsidRPr="00A87926">
        <w:rPr>
          <w:b/>
          <w:bCs/>
          <w:color w:val="000000" w:themeColor="text1"/>
        </w:rPr>
        <w:t xml:space="preserve">Pour </w:t>
      </w:r>
      <w:r w:rsidRPr="00A87926">
        <w:rPr>
          <w:b/>
          <w:bCs/>
          <w:color w:val="000000" w:themeColor="text1"/>
        </w:rPr>
        <w:t>une source lumineuse à incandescence</w:t>
      </w:r>
      <w:r w:rsidRPr="00A87926">
        <w:rPr>
          <w:color w:val="000000" w:themeColor="text1"/>
        </w:rPr>
        <w:t>, doit inclure la forme du filament s’il est indiqué sur la feuille de caractéristiques correspondante que le filament peut être droit ou en V</w:t>
      </w:r>
      <w:r>
        <w:rPr>
          <w:color w:val="000000" w:themeColor="text1"/>
        </w:rPr>
        <w:t> ;</w:t>
      </w:r>
    </w:p>
    <w:p w14:paraId="6911E991" w14:textId="77777777" w:rsidR="00A34D73" w:rsidRPr="0077447F" w:rsidRDefault="00A34D73" w:rsidP="00A34D73">
      <w:pPr>
        <w:pStyle w:val="SingleTxtG"/>
        <w:ind w:left="2268" w:hanging="1134"/>
        <w:rPr>
          <w:b/>
          <w:bCs/>
        </w:rPr>
      </w:pPr>
      <w:r w:rsidRPr="00A87926">
        <w:rPr>
          <w:b/>
          <w:bCs/>
          <w:color w:val="000000" w:themeColor="text1"/>
        </w:rPr>
        <w:t>2.2.2.2.2</w:t>
      </w:r>
      <w:r w:rsidRPr="00A87926">
        <w:rPr>
          <w:color w:val="000000" w:themeColor="text1"/>
        </w:rPr>
        <w:tab/>
      </w:r>
      <w:r w:rsidR="0077447F" w:rsidRPr="0077447F">
        <w:rPr>
          <w:b/>
          <w:bCs/>
        </w:rPr>
        <w:t>Pour une source lumineuse à DEL de remplacement, doit indiquer si les caractéristiques suivantes s’appliquent à la source :</w:t>
      </w:r>
    </w:p>
    <w:p w14:paraId="6F3A5A42" w14:textId="77777777" w:rsidR="00A34D73" w:rsidRPr="00A87926" w:rsidRDefault="00A34D73" w:rsidP="00A34D73">
      <w:pPr>
        <w:pStyle w:val="para"/>
        <w:ind w:left="2835" w:hanging="567"/>
        <w:rPr>
          <w:b/>
          <w:bCs/>
          <w:color w:val="000000" w:themeColor="text1"/>
        </w:rPr>
      </w:pPr>
      <w:r w:rsidRPr="00A87926">
        <w:rPr>
          <w:b/>
          <w:bCs/>
          <w:color w:val="000000" w:themeColor="text1"/>
        </w:rPr>
        <w:t>a)</w:t>
      </w:r>
      <w:r w:rsidRPr="00A87926">
        <w:rPr>
          <w:b/>
          <w:bCs/>
          <w:color w:val="000000" w:themeColor="text1"/>
        </w:rPr>
        <w:tab/>
      </w:r>
      <w:r w:rsidR="00AD0AEE" w:rsidRPr="00A87926">
        <w:rPr>
          <w:b/>
          <w:bCs/>
          <w:color w:val="000000" w:themeColor="text1"/>
        </w:rPr>
        <w:t xml:space="preserve">Elle </w:t>
      </w:r>
      <w:r w:rsidRPr="00A87926">
        <w:rPr>
          <w:b/>
          <w:bCs/>
          <w:color w:val="000000" w:themeColor="text1"/>
        </w:rPr>
        <w:t>est d’un type à haute efficacité</w:t>
      </w:r>
      <w:r>
        <w:rPr>
          <w:b/>
          <w:bCs/>
          <w:color w:val="000000" w:themeColor="text1"/>
        </w:rPr>
        <w:t> ;</w:t>
      </w:r>
    </w:p>
    <w:p w14:paraId="2CA5761C" w14:textId="77777777" w:rsidR="00A34D73" w:rsidRPr="00A87926" w:rsidRDefault="00A34D73" w:rsidP="00A34D73">
      <w:pPr>
        <w:pStyle w:val="para"/>
        <w:ind w:left="2835" w:hanging="567"/>
        <w:rPr>
          <w:b/>
          <w:bCs/>
          <w:color w:val="000000" w:themeColor="text1"/>
        </w:rPr>
      </w:pPr>
      <w:r w:rsidRPr="00A87926">
        <w:rPr>
          <w:b/>
          <w:bCs/>
          <w:color w:val="000000" w:themeColor="text1"/>
        </w:rPr>
        <w:t>b)</w:t>
      </w:r>
      <w:r w:rsidRPr="00A87926">
        <w:rPr>
          <w:b/>
          <w:bCs/>
          <w:color w:val="000000" w:themeColor="text1"/>
        </w:rPr>
        <w:tab/>
      </w:r>
      <w:r w:rsidR="00AD0AEE" w:rsidRPr="00A87926">
        <w:rPr>
          <w:b/>
          <w:bCs/>
          <w:color w:val="000000" w:themeColor="text1"/>
        </w:rPr>
        <w:t xml:space="preserve">Elle </w:t>
      </w:r>
      <w:r w:rsidRPr="00A87926">
        <w:rPr>
          <w:b/>
          <w:bCs/>
          <w:color w:val="000000" w:themeColor="text1"/>
        </w:rPr>
        <w:t>est actionnée au moyen de commandes électriques ou électroniques non intégrées à la source lumineuse à DEL de remplacement</w:t>
      </w:r>
      <w:r>
        <w:rPr>
          <w:b/>
          <w:bCs/>
          <w:color w:val="000000" w:themeColor="text1"/>
        </w:rPr>
        <w:t> ;</w:t>
      </w:r>
    </w:p>
    <w:p w14:paraId="62B0EBCF" w14:textId="77777777" w:rsidR="00A34D73" w:rsidRPr="00A87926" w:rsidRDefault="00A34D73" w:rsidP="00A34D73">
      <w:pPr>
        <w:pStyle w:val="para"/>
        <w:ind w:left="2835" w:hanging="567"/>
        <w:rPr>
          <w:b/>
          <w:bCs/>
          <w:color w:val="000000" w:themeColor="text1"/>
        </w:rPr>
      </w:pPr>
      <w:r w:rsidRPr="00A87926">
        <w:rPr>
          <w:b/>
          <w:bCs/>
          <w:color w:val="000000" w:themeColor="text1"/>
        </w:rPr>
        <w:t>c)</w:t>
      </w:r>
      <w:r w:rsidRPr="00A87926">
        <w:rPr>
          <w:b/>
          <w:bCs/>
          <w:color w:val="000000" w:themeColor="text1"/>
        </w:rPr>
        <w:tab/>
      </w:r>
      <w:r w:rsidR="00AD0AEE" w:rsidRPr="00A87926">
        <w:rPr>
          <w:b/>
          <w:bCs/>
          <w:color w:val="000000" w:themeColor="text1"/>
        </w:rPr>
        <w:t xml:space="preserve">Elle </w:t>
      </w:r>
      <w:r w:rsidRPr="00A87926">
        <w:rPr>
          <w:b/>
          <w:bCs/>
          <w:color w:val="000000" w:themeColor="text1"/>
        </w:rPr>
        <w:t>ne fonctionne que dans une seule position, alors que la source lumineuse à DEL de remplacement ou son connecteur électrique sont conçus pour être insérés dans plusieurs positions</w:t>
      </w:r>
      <w:r>
        <w:rPr>
          <w:b/>
          <w:bCs/>
          <w:color w:val="000000" w:themeColor="text1"/>
        </w:rPr>
        <w:t> ;</w:t>
      </w:r>
    </w:p>
    <w:p w14:paraId="385343A9" w14:textId="77777777" w:rsidR="00A34D73" w:rsidRPr="00A87926" w:rsidRDefault="00A34D73" w:rsidP="00A34D73">
      <w:pPr>
        <w:pStyle w:val="para"/>
        <w:ind w:left="2835" w:hanging="567"/>
        <w:rPr>
          <w:b/>
          <w:bCs/>
          <w:color w:val="000000" w:themeColor="text1"/>
        </w:rPr>
      </w:pPr>
      <w:r w:rsidRPr="00A87926">
        <w:rPr>
          <w:b/>
          <w:bCs/>
          <w:color w:val="000000" w:themeColor="text1"/>
        </w:rPr>
        <w:t>d)</w:t>
      </w:r>
      <w:r w:rsidRPr="00A87926">
        <w:rPr>
          <w:b/>
          <w:bCs/>
          <w:color w:val="000000" w:themeColor="text1"/>
        </w:rPr>
        <w:tab/>
      </w:r>
      <w:r w:rsidR="00AD0AEE" w:rsidRPr="00A87926">
        <w:rPr>
          <w:b/>
          <w:bCs/>
          <w:color w:val="000000" w:themeColor="text1"/>
        </w:rPr>
        <w:t xml:space="preserve">Elle </w:t>
      </w:r>
      <w:r w:rsidRPr="00A87926">
        <w:rPr>
          <w:b/>
          <w:bCs/>
          <w:color w:val="000000" w:themeColor="text1"/>
        </w:rPr>
        <w:t>est équipée d’un culot dont les dimensions extérieures sont supérieures à celles qui sont indiquées dans la feuille de données CEI relative au culot.</w:t>
      </w:r>
    </w:p>
    <w:p w14:paraId="6D576D9A" w14:textId="77777777" w:rsidR="00A34D73" w:rsidRPr="00A87926" w:rsidRDefault="00A34D73" w:rsidP="00A34D73">
      <w:pPr>
        <w:pStyle w:val="SingleTxtG"/>
        <w:ind w:left="2268" w:hanging="1134"/>
        <w:rPr>
          <w:color w:val="000000" w:themeColor="text1"/>
        </w:rPr>
      </w:pPr>
      <w:r w:rsidRPr="00A87926">
        <w:rPr>
          <w:color w:val="000000" w:themeColor="text1"/>
        </w:rPr>
        <w:t>2.2.2.3</w:t>
      </w:r>
      <w:r w:rsidRPr="00A87926">
        <w:rPr>
          <w:color w:val="000000" w:themeColor="text1"/>
        </w:rPr>
        <w:tab/>
        <w:t>De cinq échantillons de chaque couleur pour laquelle l’homologation a été demandée</w:t>
      </w:r>
      <w:r>
        <w:rPr>
          <w:color w:val="000000" w:themeColor="text1"/>
        </w:rPr>
        <w:t> ;</w:t>
      </w:r>
    </w:p>
    <w:p w14:paraId="4E14AA86" w14:textId="77777777" w:rsidR="00A34D73" w:rsidRPr="00A87926" w:rsidRDefault="00A34D73" w:rsidP="00A34D73">
      <w:pPr>
        <w:pStyle w:val="SingleTxtG"/>
        <w:ind w:left="2268" w:hanging="1134"/>
        <w:rPr>
          <w:b/>
          <w:bCs/>
          <w:color w:val="000000" w:themeColor="text1"/>
        </w:rPr>
      </w:pPr>
      <w:r w:rsidRPr="00A87926">
        <w:rPr>
          <w:b/>
          <w:bCs/>
          <w:color w:val="000000" w:themeColor="text1"/>
        </w:rPr>
        <w:t>2.2.2.3.1</w:t>
      </w:r>
      <w:r w:rsidRPr="00A87926">
        <w:rPr>
          <w:b/>
          <w:bCs/>
          <w:color w:val="000000" w:themeColor="text1"/>
        </w:rPr>
        <w:tab/>
        <w:t>De cinq échantillons des commandes électriques ou électroniques lorsque ces commandes ne sont pas intégrées à la source lumineuse à DEL de remplacement</w:t>
      </w:r>
      <w:r>
        <w:rPr>
          <w:b/>
          <w:bCs/>
          <w:color w:val="000000" w:themeColor="text1"/>
        </w:rPr>
        <w:t> ;</w:t>
      </w:r>
    </w:p>
    <w:p w14:paraId="09DEC102" w14:textId="77777777" w:rsidR="00A34D73" w:rsidRPr="00A87926" w:rsidRDefault="00A34D73" w:rsidP="00A34D73">
      <w:pPr>
        <w:pStyle w:val="SingleTxtG"/>
        <w:ind w:left="2268" w:hanging="1134"/>
        <w:rPr>
          <w:b/>
          <w:bCs/>
          <w:color w:val="000000" w:themeColor="text1"/>
        </w:rPr>
      </w:pPr>
      <w:r w:rsidRPr="00A87926">
        <w:rPr>
          <w:b/>
          <w:bCs/>
          <w:color w:val="000000" w:themeColor="text1"/>
        </w:rPr>
        <w:t>2.2.2.4</w:t>
      </w:r>
      <w:r w:rsidRPr="00A87926">
        <w:rPr>
          <w:b/>
          <w:bCs/>
          <w:color w:val="000000" w:themeColor="text1"/>
        </w:rPr>
        <w:tab/>
        <w:t xml:space="preserve">De documents indiquant, pour </w:t>
      </w:r>
      <w:bookmarkStart w:id="1" w:name="_Hlk49445403"/>
      <w:r w:rsidRPr="00A87926">
        <w:rPr>
          <w:b/>
          <w:bCs/>
          <w:color w:val="000000" w:themeColor="text1"/>
        </w:rPr>
        <w:t>les sources lumineuses à DEL de remplacement</w:t>
      </w:r>
      <w:bookmarkEnd w:id="1"/>
      <w:r>
        <w:rPr>
          <w:b/>
          <w:bCs/>
          <w:color w:val="000000" w:themeColor="text1"/>
        </w:rPr>
        <w:t> :</w:t>
      </w:r>
    </w:p>
    <w:p w14:paraId="419F1389" w14:textId="77777777" w:rsidR="00A34D73" w:rsidRPr="00A87926" w:rsidRDefault="00A34D73" w:rsidP="00A34D73">
      <w:pPr>
        <w:pStyle w:val="SingleTxtG"/>
        <w:ind w:left="2268" w:hanging="1134"/>
        <w:rPr>
          <w:b/>
          <w:bCs/>
          <w:color w:val="000000" w:themeColor="text1"/>
        </w:rPr>
      </w:pPr>
      <w:r w:rsidRPr="00A87926">
        <w:rPr>
          <w:b/>
          <w:bCs/>
          <w:color w:val="000000" w:themeColor="text1"/>
        </w:rPr>
        <w:t>2.2.2.4.1</w:t>
      </w:r>
      <w:r w:rsidRPr="00A87926">
        <w:rPr>
          <w:b/>
          <w:bCs/>
          <w:color w:val="000000" w:themeColor="text1"/>
        </w:rPr>
        <w:tab/>
        <w:t>Les informations à afficher sur l’emballage des sources lumineuses à DEL de remplacement</w:t>
      </w:r>
      <w:r>
        <w:rPr>
          <w:b/>
          <w:bCs/>
          <w:color w:val="000000" w:themeColor="text1"/>
        </w:rPr>
        <w:t> ;</w:t>
      </w:r>
    </w:p>
    <w:p w14:paraId="0EBD5640" w14:textId="77777777" w:rsidR="00A34D73" w:rsidRPr="00A87926" w:rsidRDefault="00A34D73" w:rsidP="00A34D73">
      <w:pPr>
        <w:pStyle w:val="SingleTxtG"/>
        <w:ind w:left="2268" w:hanging="1134"/>
        <w:rPr>
          <w:b/>
          <w:bCs/>
          <w:color w:val="000000" w:themeColor="text1"/>
        </w:rPr>
      </w:pPr>
      <w:r w:rsidRPr="00A87926">
        <w:rPr>
          <w:b/>
          <w:bCs/>
          <w:color w:val="000000" w:themeColor="text1"/>
        </w:rPr>
        <w:t>2.2.2.4.2</w:t>
      </w:r>
      <w:r w:rsidRPr="00A87926">
        <w:rPr>
          <w:b/>
          <w:bCs/>
          <w:color w:val="000000" w:themeColor="text1"/>
        </w:rPr>
        <w:tab/>
        <w:t>Les instructions devant figurer dans l’emballage des sources lumineuses à DEL de remplacement si l’une au moins des conditions énumérées dans le 2.2.2.2.2 est présente.</w:t>
      </w:r>
    </w:p>
    <w:p w14:paraId="10A282CF" w14:textId="77777777" w:rsidR="00A34D73" w:rsidRPr="00A87926" w:rsidRDefault="00A34D73" w:rsidP="00A34D73">
      <w:pPr>
        <w:pStyle w:val="SingleTxtG"/>
        <w:ind w:left="2268" w:hanging="1134"/>
        <w:rPr>
          <w:color w:val="000000" w:themeColor="text1"/>
        </w:rPr>
      </w:pPr>
      <w:r w:rsidRPr="00A87926">
        <w:rPr>
          <w:color w:val="000000" w:themeColor="text1"/>
        </w:rPr>
        <w:t>2.2.3</w:t>
      </w:r>
      <w:r w:rsidRPr="00A87926">
        <w:rPr>
          <w:color w:val="000000" w:themeColor="text1"/>
        </w:rPr>
        <w:tab/>
        <w:t xml:space="preserve">Lorsqu’il s’agit d’un type de source lumineuse </w:t>
      </w:r>
      <w:r w:rsidRPr="00A87926">
        <w:rPr>
          <w:strike/>
          <w:color w:val="000000" w:themeColor="text1"/>
        </w:rPr>
        <w:t>à incandescence</w:t>
      </w:r>
      <w:r w:rsidRPr="00A87926">
        <w:rPr>
          <w:color w:val="000000" w:themeColor="text1"/>
        </w:rPr>
        <w:t xml:space="preserve"> ne différant </w:t>
      </w:r>
      <w:r w:rsidRPr="00A34D73">
        <w:rPr>
          <w:snapToGrid w:val="0"/>
        </w:rPr>
        <w:t>que par la marque de fabrique ou de commerce d’un type ayant été</w:t>
      </w:r>
      <w:r w:rsidRPr="00A87926">
        <w:rPr>
          <w:color w:val="000000" w:themeColor="text1"/>
        </w:rPr>
        <w:t xml:space="preserve"> antérieurement homologué, il suffit de présenter</w:t>
      </w:r>
      <w:r>
        <w:rPr>
          <w:color w:val="000000" w:themeColor="text1"/>
        </w:rPr>
        <w:t> :</w:t>
      </w:r>
    </w:p>
    <w:p w14:paraId="45810375" w14:textId="77777777" w:rsidR="00A34D73" w:rsidRPr="00A87926" w:rsidRDefault="00A34D73" w:rsidP="00A34D73">
      <w:pPr>
        <w:pStyle w:val="SingleTxtG"/>
        <w:ind w:left="2268" w:hanging="1134"/>
        <w:rPr>
          <w:color w:val="000000" w:themeColor="text1"/>
        </w:rPr>
      </w:pPr>
      <w:r w:rsidRPr="00A87926">
        <w:rPr>
          <w:color w:val="000000" w:themeColor="text1"/>
        </w:rPr>
        <w:t>2.2.3.1</w:t>
      </w:r>
      <w:r w:rsidRPr="00A87926">
        <w:rPr>
          <w:color w:val="000000" w:themeColor="text1"/>
        </w:rPr>
        <w:tab/>
        <w:t>Une déclaration du fabricant de la source lumineuse précisant que le type soumis est identique (sauf quant à la marque de fabrique ou de commerce) et provient du même fabricant que le type déjà homologué, ce dernier étant identifié par son code d’homologation</w:t>
      </w:r>
      <w:r>
        <w:rPr>
          <w:color w:val="000000" w:themeColor="text1"/>
        </w:rPr>
        <w:t> ;</w:t>
      </w:r>
    </w:p>
    <w:p w14:paraId="016E8B8E" w14:textId="77777777" w:rsidR="00A34D73" w:rsidRPr="00A87926" w:rsidRDefault="00A34D73" w:rsidP="00A34D73">
      <w:pPr>
        <w:pStyle w:val="SingleTxtG"/>
        <w:ind w:left="2268" w:hanging="1134"/>
        <w:rPr>
          <w:color w:val="000000" w:themeColor="text1"/>
        </w:rPr>
      </w:pPr>
      <w:r w:rsidRPr="00A87926">
        <w:rPr>
          <w:color w:val="000000" w:themeColor="text1"/>
        </w:rPr>
        <w:t>2.2.3.2</w:t>
      </w:r>
      <w:r w:rsidRPr="00A87926">
        <w:rPr>
          <w:color w:val="000000" w:themeColor="text1"/>
        </w:rPr>
        <w:tab/>
        <w:t>Deux échantillons portant la nouvelle marque de fabrique ou de commerce.</w:t>
      </w:r>
    </w:p>
    <w:p w14:paraId="08EC7738" w14:textId="77777777" w:rsidR="00A34D73" w:rsidRPr="00A87926" w:rsidRDefault="00A34D73" w:rsidP="00A34D73">
      <w:pPr>
        <w:pStyle w:val="SingleTxtG"/>
        <w:ind w:left="2268" w:hanging="1134"/>
        <w:rPr>
          <w:color w:val="000000" w:themeColor="text1"/>
        </w:rPr>
      </w:pPr>
      <w:r w:rsidRPr="00A87926">
        <w:rPr>
          <w:color w:val="000000" w:themeColor="text1"/>
        </w:rPr>
        <w:t>2.2.4</w:t>
      </w:r>
      <w:r w:rsidRPr="00A87926">
        <w:rPr>
          <w:color w:val="000000" w:themeColor="text1"/>
        </w:rPr>
        <w:tab/>
        <w:t>L’autorité d’homologation de type doit vérifier qu’il existe des arrangements satisfaisants pour assurer un contrôle efficace de la conformité de la production avant d’accorder l’homologation de type.</w:t>
      </w:r>
    </w:p>
    <w:p w14:paraId="72A64E66" w14:textId="77777777" w:rsidR="00A34D73" w:rsidRPr="00A87926" w:rsidRDefault="00A34D73" w:rsidP="00A34D73">
      <w:pPr>
        <w:pStyle w:val="SingleTxtG"/>
        <w:ind w:left="2268" w:hanging="1134"/>
        <w:rPr>
          <w:color w:val="000000" w:themeColor="text1"/>
        </w:rPr>
      </w:pPr>
      <w:r w:rsidRPr="00A87926">
        <w:rPr>
          <w:color w:val="000000" w:themeColor="text1"/>
        </w:rPr>
        <w:t>2.3</w:t>
      </w:r>
      <w:r w:rsidRPr="00A87926">
        <w:rPr>
          <w:color w:val="000000" w:themeColor="text1"/>
        </w:rPr>
        <w:tab/>
      </w:r>
      <w:r w:rsidRPr="00A87926">
        <w:rPr>
          <w:color w:val="000000" w:themeColor="text1"/>
        </w:rPr>
        <w:tab/>
        <w:t>Inscriptions</w:t>
      </w:r>
    </w:p>
    <w:p w14:paraId="711A8717" w14:textId="77777777" w:rsidR="00A34D73" w:rsidRPr="00A87926" w:rsidRDefault="00A34D73" w:rsidP="00A34D73">
      <w:pPr>
        <w:pStyle w:val="SingleTxtG"/>
        <w:ind w:left="2268" w:hanging="1134"/>
        <w:rPr>
          <w:color w:val="000000" w:themeColor="text1"/>
        </w:rPr>
      </w:pPr>
      <w:r w:rsidRPr="00A87926">
        <w:rPr>
          <w:color w:val="000000" w:themeColor="text1"/>
        </w:rPr>
        <w:t>2.3.1</w:t>
      </w:r>
      <w:r w:rsidRPr="00A87926">
        <w:rPr>
          <w:color w:val="000000" w:themeColor="text1"/>
        </w:rPr>
        <w:tab/>
        <w:t xml:space="preserve">Les sources lumineuses </w:t>
      </w:r>
      <w:r w:rsidRPr="00A87926">
        <w:rPr>
          <w:strike/>
          <w:color w:val="000000" w:themeColor="text1"/>
        </w:rPr>
        <w:t>à incandescence</w:t>
      </w:r>
      <w:r w:rsidRPr="00A87926">
        <w:rPr>
          <w:color w:val="000000" w:themeColor="text1"/>
        </w:rPr>
        <w:t xml:space="preserve"> présentées à l’homologation doivent porter </w:t>
      </w:r>
      <w:r w:rsidRPr="00A87926">
        <w:rPr>
          <w:strike/>
          <w:color w:val="000000" w:themeColor="text1"/>
        </w:rPr>
        <w:t>sur le culot ou sur l’ampoule</w:t>
      </w:r>
      <w:r w:rsidRPr="00AD0AEE">
        <w:rPr>
          <w:color w:val="000000" w:themeColor="text1"/>
          <w:sz w:val="18"/>
          <w:szCs w:val="18"/>
          <w:vertAlign w:val="superscript"/>
        </w:rPr>
        <w:t>2</w:t>
      </w:r>
      <w:r>
        <w:rPr>
          <w:color w:val="000000" w:themeColor="text1"/>
        </w:rPr>
        <w:t> :</w:t>
      </w:r>
    </w:p>
    <w:p w14:paraId="21BD7278" w14:textId="77777777" w:rsidR="00A34D73" w:rsidRPr="000242C4" w:rsidRDefault="00A34D73" w:rsidP="000242C4">
      <w:pPr>
        <w:pStyle w:val="para"/>
        <w:spacing w:line="220" w:lineRule="atLeast"/>
        <w:ind w:left="2552" w:hanging="284"/>
        <w:rPr>
          <w:color w:val="000000" w:themeColor="text1"/>
          <w:sz w:val="18"/>
          <w:szCs w:val="18"/>
        </w:rPr>
      </w:pPr>
      <w:r w:rsidRPr="000242C4">
        <w:rPr>
          <w:color w:val="000000" w:themeColor="text1"/>
          <w:sz w:val="18"/>
          <w:szCs w:val="18"/>
          <w:vertAlign w:val="superscript"/>
        </w:rPr>
        <w:t>2</w:t>
      </w:r>
      <w:r w:rsidRPr="000242C4">
        <w:rPr>
          <w:color w:val="000000" w:themeColor="text1"/>
          <w:sz w:val="18"/>
          <w:szCs w:val="18"/>
        </w:rPr>
        <w:tab/>
      </w:r>
      <w:r w:rsidRPr="000242C4">
        <w:rPr>
          <w:strike/>
          <w:color w:val="000000" w:themeColor="text1"/>
          <w:sz w:val="18"/>
          <w:szCs w:val="18"/>
        </w:rPr>
        <w:t xml:space="preserve">Dans ce dernier cas, </w:t>
      </w:r>
      <w:proofErr w:type="spellStart"/>
      <w:r w:rsidRPr="000242C4">
        <w:rPr>
          <w:strike/>
          <w:color w:val="000000" w:themeColor="text1"/>
          <w:sz w:val="18"/>
          <w:szCs w:val="18"/>
        </w:rPr>
        <w:t>l</w:t>
      </w:r>
      <w:r w:rsidRPr="000242C4">
        <w:rPr>
          <w:b/>
          <w:bCs/>
          <w:color w:val="000000" w:themeColor="text1"/>
          <w:sz w:val="18"/>
          <w:szCs w:val="18"/>
        </w:rPr>
        <w:t>L</w:t>
      </w:r>
      <w:r w:rsidRPr="000242C4">
        <w:rPr>
          <w:color w:val="000000" w:themeColor="text1"/>
          <w:sz w:val="18"/>
          <w:szCs w:val="18"/>
        </w:rPr>
        <w:t>es</w:t>
      </w:r>
      <w:proofErr w:type="spellEnd"/>
      <w:r w:rsidRPr="000242C4">
        <w:rPr>
          <w:color w:val="000000" w:themeColor="text1"/>
          <w:sz w:val="18"/>
          <w:szCs w:val="18"/>
        </w:rPr>
        <w:t xml:space="preserve"> caractéristiques lumineuses ne doivent pas être altérées.</w:t>
      </w:r>
    </w:p>
    <w:p w14:paraId="7BDD3BD5" w14:textId="77777777" w:rsidR="00A34D73" w:rsidRPr="00A87926" w:rsidRDefault="00A34D73" w:rsidP="00A34D73">
      <w:pPr>
        <w:pStyle w:val="SingleTxtG"/>
        <w:ind w:left="2268" w:hanging="1134"/>
        <w:rPr>
          <w:color w:val="000000" w:themeColor="text1"/>
        </w:rPr>
      </w:pPr>
      <w:r w:rsidRPr="00A87926">
        <w:rPr>
          <w:color w:val="000000" w:themeColor="text1"/>
        </w:rPr>
        <w:t>2.3.1.1</w:t>
      </w:r>
      <w:r w:rsidRPr="00A87926">
        <w:rPr>
          <w:color w:val="000000" w:themeColor="text1"/>
        </w:rPr>
        <w:tab/>
        <w:t>La marque de fabrique ou de commerce du demandeur</w:t>
      </w:r>
      <w:r>
        <w:rPr>
          <w:color w:val="000000" w:themeColor="text1"/>
        </w:rPr>
        <w:t> ;</w:t>
      </w:r>
    </w:p>
    <w:p w14:paraId="714D5D33" w14:textId="77777777" w:rsidR="00A34D73" w:rsidRPr="00A87926" w:rsidRDefault="00A34D73" w:rsidP="00A34D73">
      <w:pPr>
        <w:pStyle w:val="SingleTxtG"/>
        <w:ind w:left="2268" w:hanging="1134"/>
        <w:rPr>
          <w:color w:val="000000" w:themeColor="text1"/>
        </w:rPr>
      </w:pPr>
      <w:r w:rsidRPr="00A87926">
        <w:rPr>
          <w:color w:val="000000" w:themeColor="text1"/>
        </w:rPr>
        <w:lastRenderedPageBreak/>
        <w:t>2.3.1.2</w:t>
      </w:r>
      <w:r w:rsidRPr="00A87926">
        <w:rPr>
          <w:color w:val="000000" w:themeColor="text1"/>
        </w:rPr>
        <w:tab/>
        <w:t xml:space="preserve">La tension nominale, sauf les sources lumineuses </w:t>
      </w:r>
      <w:r w:rsidRPr="00A87926">
        <w:rPr>
          <w:strike/>
          <w:color w:val="000000" w:themeColor="text1"/>
        </w:rPr>
        <w:t>à incandescence</w:t>
      </w:r>
      <w:r w:rsidRPr="00A87926">
        <w:rPr>
          <w:color w:val="000000" w:themeColor="text1"/>
        </w:rPr>
        <w:t xml:space="preserve"> normalisées uniquement en 12</w:t>
      </w:r>
      <w:r w:rsidR="00AD0AEE">
        <w:rPr>
          <w:color w:val="000000" w:themeColor="text1"/>
        </w:rPr>
        <w:t> </w:t>
      </w:r>
      <w:r w:rsidRPr="00A87926">
        <w:rPr>
          <w:color w:val="000000" w:themeColor="text1"/>
        </w:rPr>
        <w:t>V ou dont l’ampoule a un diamètre maximal autorisé de 7,5</w:t>
      </w:r>
      <w:r w:rsidR="00AD0AEE">
        <w:rPr>
          <w:color w:val="000000" w:themeColor="text1"/>
        </w:rPr>
        <w:t> </w:t>
      </w:r>
      <w:r w:rsidRPr="00A87926">
        <w:rPr>
          <w:color w:val="000000" w:themeColor="text1"/>
        </w:rPr>
        <w:t>mm</w:t>
      </w:r>
      <w:r>
        <w:rPr>
          <w:color w:val="000000" w:themeColor="text1"/>
        </w:rPr>
        <w:t> ;</w:t>
      </w:r>
    </w:p>
    <w:p w14:paraId="3FFD736D" w14:textId="77777777" w:rsidR="00A34D73" w:rsidRPr="00A87926" w:rsidRDefault="00A34D73" w:rsidP="00A34D73">
      <w:pPr>
        <w:pStyle w:val="SingleTxtG"/>
        <w:ind w:left="2268" w:hanging="1134"/>
        <w:rPr>
          <w:color w:val="000000" w:themeColor="text1"/>
        </w:rPr>
      </w:pPr>
      <w:r w:rsidRPr="00A87926">
        <w:rPr>
          <w:color w:val="000000" w:themeColor="text1"/>
        </w:rPr>
        <w:t>2.3.1.3</w:t>
      </w:r>
      <w:r w:rsidRPr="00A87926">
        <w:rPr>
          <w:color w:val="000000" w:themeColor="text1"/>
        </w:rPr>
        <w:tab/>
        <w:t xml:space="preserve">La désignation </w:t>
      </w:r>
      <w:r w:rsidRPr="00A87926">
        <w:rPr>
          <w:strike/>
          <w:color w:val="000000" w:themeColor="text1"/>
        </w:rPr>
        <w:t>internationale</w:t>
      </w:r>
      <w:r w:rsidRPr="00A87926">
        <w:rPr>
          <w:color w:val="000000" w:themeColor="text1"/>
        </w:rPr>
        <w:t xml:space="preserve"> de la catégorie correspondante, sauf la puissance </w:t>
      </w:r>
      <w:r w:rsidR="00AD0AEE">
        <w:rPr>
          <w:color w:val="000000" w:themeColor="text1"/>
        </w:rPr>
        <w:t>“</w:t>
      </w:r>
      <w:r w:rsidRPr="00A87926">
        <w:rPr>
          <w:color w:val="000000" w:themeColor="text1"/>
        </w:rPr>
        <w:t>W</w:t>
      </w:r>
      <w:r w:rsidR="00AD0AEE">
        <w:rPr>
          <w:color w:val="000000" w:themeColor="text1"/>
        </w:rPr>
        <w:t>”</w:t>
      </w:r>
      <w:r w:rsidRPr="00A87926">
        <w:rPr>
          <w:color w:val="000000" w:themeColor="text1"/>
        </w:rPr>
        <w:t xml:space="preserve"> si le diamètre maximal autorisé de l’ampoule de la source lumineuse </w:t>
      </w:r>
      <w:r w:rsidRPr="00A87926">
        <w:rPr>
          <w:strike/>
          <w:color w:val="000000" w:themeColor="text1"/>
        </w:rPr>
        <w:t>à incandescence</w:t>
      </w:r>
      <w:r w:rsidRPr="00A87926">
        <w:rPr>
          <w:color w:val="000000" w:themeColor="text1"/>
        </w:rPr>
        <w:t xml:space="preserve"> ne dépasse pas 7,5</w:t>
      </w:r>
      <w:r w:rsidR="00AD0AEE">
        <w:rPr>
          <w:color w:val="000000" w:themeColor="text1"/>
        </w:rPr>
        <w:t> </w:t>
      </w:r>
      <w:r w:rsidRPr="00A87926">
        <w:rPr>
          <w:color w:val="000000" w:themeColor="text1"/>
        </w:rPr>
        <w:t>mm</w:t>
      </w:r>
      <w:r>
        <w:rPr>
          <w:color w:val="000000" w:themeColor="text1"/>
        </w:rPr>
        <w:t> ;</w:t>
      </w:r>
    </w:p>
    <w:p w14:paraId="7941E6D9" w14:textId="77777777" w:rsidR="00A34D73" w:rsidRPr="00A87926" w:rsidRDefault="00A34D73" w:rsidP="00A34D73">
      <w:pPr>
        <w:pStyle w:val="SingleTxtG"/>
        <w:ind w:left="2268" w:hanging="1134"/>
        <w:rPr>
          <w:color w:val="000000" w:themeColor="text1"/>
        </w:rPr>
      </w:pPr>
      <w:r w:rsidRPr="00A87926">
        <w:rPr>
          <w:color w:val="000000" w:themeColor="text1"/>
        </w:rPr>
        <w:t>2.3.1.4</w:t>
      </w:r>
      <w:r w:rsidRPr="00A87926">
        <w:rPr>
          <w:color w:val="000000" w:themeColor="text1"/>
        </w:rPr>
        <w:tab/>
        <w:t xml:space="preserve">La puissance nominale </w:t>
      </w:r>
      <w:r w:rsidRPr="00A87926">
        <w:rPr>
          <w:b/>
          <w:bCs/>
          <w:color w:val="000000" w:themeColor="text1"/>
        </w:rPr>
        <w:t>pour une source lumineuse à incandescence</w:t>
      </w:r>
      <w:r w:rsidRPr="00A87926">
        <w:rPr>
          <w:color w:val="000000" w:themeColor="text1"/>
        </w:rPr>
        <w:t xml:space="preserve"> (dans l’ordre filament principal/filament auxiliaire pour les sources lumineuses à deux filaments)</w:t>
      </w:r>
      <w:r>
        <w:rPr>
          <w:color w:val="000000" w:themeColor="text1"/>
        </w:rPr>
        <w:t> ;</w:t>
      </w:r>
      <w:r w:rsidRPr="00A87926">
        <w:rPr>
          <w:color w:val="000000" w:themeColor="text1"/>
        </w:rPr>
        <w:t xml:space="preserve"> elle ne doit pas être indiquée séparément si elle fait partie de la désignation </w:t>
      </w:r>
      <w:r w:rsidRPr="00A87926">
        <w:rPr>
          <w:strike/>
          <w:color w:val="000000" w:themeColor="text1"/>
        </w:rPr>
        <w:t>internationale</w:t>
      </w:r>
      <w:r w:rsidRPr="00A87926">
        <w:rPr>
          <w:color w:val="000000" w:themeColor="text1"/>
        </w:rPr>
        <w:t xml:space="preserve"> de la catégorie correspondante de sources lumineuses à incandescence</w:t>
      </w:r>
      <w:r>
        <w:rPr>
          <w:color w:val="000000" w:themeColor="text1"/>
        </w:rPr>
        <w:t> ;</w:t>
      </w:r>
    </w:p>
    <w:p w14:paraId="70421342" w14:textId="77777777" w:rsidR="00A34D73" w:rsidRPr="00A87926" w:rsidRDefault="00A34D73" w:rsidP="00A34D73">
      <w:pPr>
        <w:pStyle w:val="SingleTxtG"/>
        <w:ind w:left="2268" w:hanging="1134"/>
        <w:rPr>
          <w:b/>
          <w:bCs/>
          <w:color w:val="000000" w:themeColor="text1"/>
        </w:rPr>
      </w:pPr>
      <w:r w:rsidRPr="00A87926">
        <w:rPr>
          <w:color w:val="000000" w:themeColor="text1"/>
        </w:rPr>
        <w:t>2.3.1.5</w:t>
      </w:r>
      <w:r w:rsidRPr="00A87926">
        <w:rPr>
          <w:color w:val="000000" w:themeColor="text1"/>
        </w:rPr>
        <w:tab/>
      </w:r>
      <w:r w:rsidRPr="00A87926">
        <w:rPr>
          <w:b/>
          <w:bCs/>
          <w:color w:val="000000" w:themeColor="text1"/>
        </w:rPr>
        <w:t xml:space="preserve">Le caractère </w:t>
      </w:r>
      <w:r w:rsidR="00AD0AEE">
        <w:rPr>
          <w:b/>
          <w:bCs/>
          <w:color w:val="000000" w:themeColor="text1"/>
        </w:rPr>
        <w:t>“</w:t>
      </w:r>
      <w:r w:rsidRPr="00A87926">
        <w:rPr>
          <w:b/>
          <w:bCs/>
          <w:color w:val="000000" w:themeColor="text1"/>
        </w:rPr>
        <w:t>ͰE</w:t>
      </w:r>
      <w:r w:rsidR="00AD0AEE">
        <w:rPr>
          <w:b/>
          <w:bCs/>
          <w:color w:val="000000" w:themeColor="text1"/>
        </w:rPr>
        <w:t>”</w:t>
      </w:r>
      <w:r w:rsidRPr="00AD0AEE">
        <w:rPr>
          <w:b/>
          <w:bCs/>
          <w:color w:val="000000" w:themeColor="text1"/>
          <w:sz w:val="18"/>
          <w:szCs w:val="18"/>
          <w:vertAlign w:val="superscript"/>
        </w:rPr>
        <w:t>3</w:t>
      </w:r>
      <w:r w:rsidRPr="00A87926">
        <w:rPr>
          <w:b/>
          <w:bCs/>
          <w:color w:val="000000" w:themeColor="text1"/>
        </w:rPr>
        <w:t xml:space="preserve"> lorsqu’il s’agit d’une source lumineuse à DEL de remplacement d’un type à haute efficacité</w:t>
      </w:r>
      <w:r>
        <w:rPr>
          <w:b/>
          <w:bCs/>
          <w:color w:val="000000" w:themeColor="text1"/>
        </w:rPr>
        <w:t> ;</w:t>
      </w:r>
      <w:r w:rsidRPr="00A87926">
        <w:rPr>
          <w:b/>
          <w:bCs/>
          <w:color w:val="000000" w:themeColor="text1"/>
        </w:rPr>
        <w:t xml:space="preserve"> la marque doit être placée à la suite du code d’homologation de ce type, dont elle est séparée par un espace unique.</w:t>
      </w:r>
    </w:p>
    <w:p w14:paraId="31E9B1B4" w14:textId="77777777" w:rsidR="00A34D73" w:rsidRPr="000242C4" w:rsidRDefault="00A34D73" w:rsidP="000242C4">
      <w:pPr>
        <w:pStyle w:val="para"/>
        <w:spacing w:line="220" w:lineRule="atLeast"/>
        <w:ind w:left="2552" w:hanging="284"/>
        <w:rPr>
          <w:b/>
          <w:bCs/>
          <w:color w:val="000000" w:themeColor="text1"/>
          <w:sz w:val="18"/>
          <w:szCs w:val="18"/>
        </w:rPr>
      </w:pPr>
      <w:r w:rsidRPr="000242C4">
        <w:rPr>
          <w:b/>
          <w:bCs/>
          <w:color w:val="000000" w:themeColor="text1"/>
          <w:sz w:val="18"/>
          <w:szCs w:val="18"/>
          <w:vertAlign w:val="superscript"/>
        </w:rPr>
        <w:t>3</w:t>
      </w:r>
      <w:r w:rsidRPr="000242C4">
        <w:rPr>
          <w:b/>
          <w:bCs/>
          <w:color w:val="000000" w:themeColor="text1"/>
          <w:sz w:val="18"/>
          <w:szCs w:val="18"/>
        </w:rPr>
        <w:tab/>
        <w:t xml:space="preserve">Ce caractère peut être composé d’un </w:t>
      </w:r>
      <w:r w:rsidR="00AD0AEE" w:rsidRPr="000242C4">
        <w:rPr>
          <w:b/>
          <w:bCs/>
          <w:color w:val="000000" w:themeColor="text1"/>
          <w:sz w:val="18"/>
          <w:szCs w:val="18"/>
        </w:rPr>
        <w:t>“</w:t>
      </w:r>
      <w:r w:rsidRPr="000242C4">
        <w:rPr>
          <w:b/>
          <w:bCs/>
          <w:color w:val="000000" w:themeColor="text1"/>
          <w:sz w:val="18"/>
          <w:szCs w:val="18"/>
        </w:rPr>
        <w:t>H</w:t>
      </w:r>
      <w:r w:rsidR="00AD0AEE" w:rsidRPr="000242C4">
        <w:rPr>
          <w:b/>
          <w:bCs/>
          <w:color w:val="000000" w:themeColor="text1"/>
          <w:sz w:val="18"/>
          <w:szCs w:val="18"/>
        </w:rPr>
        <w:t>”</w:t>
      </w:r>
      <w:r w:rsidRPr="000242C4">
        <w:rPr>
          <w:b/>
          <w:bCs/>
          <w:color w:val="000000" w:themeColor="text1"/>
          <w:sz w:val="18"/>
          <w:szCs w:val="18"/>
        </w:rPr>
        <w:t xml:space="preserve"> qui se chevauche avec un </w:t>
      </w:r>
      <w:r w:rsidR="00AD0AEE" w:rsidRPr="000242C4">
        <w:rPr>
          <w:b/>
          <w:bCs/>
          <w:color w:val="000000" w:themeColor="text1"/>
          <w:sz w:val="18"/>
          <w:szCs w:val="18"/>
        </w:rPr>
        <w:t>“</w:t>
      </w:r>
      <w:r w:rsidRPr="000242C4">
        <w:rPr>
          <w:b/>
          <w:bCs/>
          <w:color w:val="000000" w:themeColor="text1"/>
          <w:sz w:val="18"/>
          <w:szCs w:val="18"/>
        </w:rPr>
        <w:t>E</w:t>
      </w:r>
      <w:r w:rsidR="00AD0AEE" w:rsidRPr="000242C4">
        <w:rPr>
          <w:b/>
          <w:bCs/>
          <w:color w:val="000000" w:themeColor="text1"/>
          <w:sz w:val="18"/>
          <w:szCs w:val="18"/>
        </w:rPr>
        <w:t>”</w:t>
      </w:r>
      <w:r w:rsidRPr="000242C4">
        <w:rPr>
          <w:b/>
          <w:bCs/>
          <w:color w:val="000000" w:themeColor="text1"/>
          <w:sz w:val="18"/>
          <w:szCs w:val="18"/>
        </w:rPr>
        <w:t xml:space="preserve">, ou d’un </w:t>
      </w:r>
      <w:r w:rsidR="00AD0AEE" w:rsidRPr="000242C4">
        <w:rPr>
          <w:b/>
          <w:bCs/>
          <w:color w:val="000000" w:themeColor="text1"/>
          <w:sz w:val="18"/>
          <w:szCs w:val="18"/>
        </w:rPr>
        <w:t>“</w:t>
      </w:r>
      <w:r w:rsidRPr="000242C4">
        <w:rPr>
          <w:b/>
          <w:bCs/>
          <w:color w:val="000000" w:themeColor="text1"/>
          <w:sz w:val="18"/>
          <w:szCs w:val="18"/>
        </w:rPr>
        <w:t>Ͱ</w:t>
      </w:r>
      <w:r w:rsidR="00AD0AEE" w:rsidRPr="000242C4">
        <w:rPr>
          <w:b/>
          <w:bCs/>
          <w:color w:val="000000" w:themeColor="text1"/>
          <w:sz w:val="18"/>
          <w:szCs w:val="18"/>
        </w:rPr>
        <w:t>”</w:t>
      </w:r>
      <w:r w:rsidRPr="000242C4">
        <w:rPr>
          <w:b/>
          <w:bCs/>
          <w:color w:val="000000" w:themeColor="text1"/>
          <w:sz w:val="18"/>
          <w:szCs w:val="18"/>
        </w:rPr>
        <w:t xml:space="preserve"> (Unicode 0370 </w:t>
      </w:r>
      <w:proofErr w:type="spellStart"/>
      <w:r w:rsidRPr="000242C4">
        <w:rPr>
          <w:b/>
          <w:bCs/>
          <w:color w:val="000000" w:themeColor="text1"/>
          <w:sz w:val="18"/>
          <w:szCs w:val="18"/>
        </w:rPr>
        <w:t>Hex</w:t>
      </w:r>
      <w:proofErr w:type="spellEnd"/>
      <w:r w:rsidRPr="000242C4">
        <w:rPr>
          <w:b/>
          <w:bCs/>
          <w:color w:val="000000" w:themeColor="text1"/>
          <w:sz w:val="18"/>
          <w:szCs w:val="18"/>
        </w:rPr>
        <w:t xml:space="preserve">) collé à un </w:t>
      </w:r>
      <w:r w:rsidR="00AD0AEE" w:rsidRPr="000242C4">
        <w:rPr>
          <w:b/>
          <w:bCs/>
          <w:color w:val="000000" w:themeColor="text1"/>
          <w:sz w:val="18"/>
          <w:szCs w:val="18"/>
        </w:rPr>
        <w:t>“</w:t>
      </w:r>
      <w:r w:rsidRPr="000242C4">
        <w:rPr>
          <w:b/>
          <w:bCs/>
          <w:color w:val="000000" w:themeColor="text1"/>
          <w:sz w:val="18"/>
          <w:szCs w:val="18"/>
        </w:rPr>
        <w:t>E</w:t>
      </w:r>
      <w:r w:rsidR="00AD0AEE" w:rsidRPr="000242C4">
        <w:rPr>
          <w:b/>
          <w:bCs/>
          <w:color w:val="000000" w:themeColor="text1"/>
          <w:sz w:val="18"/>
          <w:szCs w:val="18"/>
        </w:rPr>
        <w:t>”</w:t>
      </w:r>
      <w:r w:rsidRPr="000242C4">
        <w:rPr>
          <w:b/>
          <w:bCs/>
          <w:color w:val="000000" w:themeColor="text1"/>
          <w:sz w:val="18"/>
          <w:szCs w:val="18"/>
        </w:rPr>
        <w:t xml:space="preserve"> (Unicode 0045 </w:t>
      </w:r>
      <w:proofErr w:type="spellStart"/>
      <w:r w:rsidRPr="000242C4">
        <w:rPr>
          <w:b/>
          <w:bCs/>
          <w:color w:val="000000" w:themeColor="text1"/>
          <w:sz w:val="18"/>
          <w:szCs w:val="18"/>
        </w:rPr>
        <w:t>Hex</w:t>
      </w:r>
      <w:proofErr w:type="spellEnd"/>
      <w:r w:rsidRPr="000242C4">
        <w:rPr>
          <w:b/>
          <w:bCs/>
          <w:color w:val="000000" w:themeColor="text1"/>
          <w:sz w:val="18"/>
          <w:szCs w:val="18"/>
        </w:rPr>
        <w:t>).</w:t>
      </w:r>
    </w:p>
    <w:p w14:paraId="6D53216D" w14:textId="77777777" w:rsidR="00A34D73" w:rsidRPr="00A87926" w:rsidRDefault="00A34D73" w:rsidP="00A34D73">
      <w:pPr>
        <w:pStyle w:val="SingleTxtG"/>
        <w:ind w:left="2268" w:hanging="1134"/>
        <w:rPr>
          <w:color w:val="000000" w:themeColor="text1"/>
        </w:rPr>
      </w:pPr>
      <w:r w:rsidRPr="00A87926">
        <w:rPr>
          <w:b/>
          <w:bCs/>
          <w:color w:val="000000" w:themeColor="text1"/>
        </w:rPr>
        <w:t>2.3.1.6</w:t>
      </w:r>
      <w:r w:rsidRPr="00A87926">
        <w:rPr>
          <w:color w:val="000000" w:themeColor="text1"/>
        </w:rPr>
        <w:tab/>
        <w:t>Un emplacement de grandeur suffisante pour la marque d’homologation</w:t>
      </w:r>
      <w:r w:rsidRPr="00A87926">
        <w:rPr>
          <w:strike/>
          <w:color w:val="000000" w:themeColor="text1"/>
        </w:rPr>
        <w:t>.</w:t>
      </w:r>
      <w:r w:rsidRPr="00AD0AEE">
        <w:rPr>
          <w:b/>
          <w:bCs/>
          <w:color w:val="000000" w:themeColor="text1"/>
        </w:rPr>
        <w:t> ;</w:t>
      </w:r>
    </w:p>
    <w:p w14:paraId="2936470A" w14:textId="77777777" w:rsidR="00A34D73" w:rsidRPr="00A87926" w:rsidRDefault="00A34D73" w:rsidP="00A34D73">
      <w:pPr>
        <w:pStyle w:val="SingleTxtG"/>
        <w:ind w:left="2268" w:hanging="1134"/>
        <w:rPr>
          <w:b/>
          <w:bCs/>
          <w:color w:val="000000" w:themeColor="text1"/>
        </w:rPr>
      </w:pPr>
      <w:r w:rsidRPr="00A87926">
        <w:rPr>
          <w:b/>
          <w:bCs/>
          <w:color w:val="000000" w:themeColor="text1"/>
        </w:rPr>
        <w:t>2.3.1.7</w:t>
      </w:r>
      <w:r w:rsidRPr="00A87926">
        <w:rPr>
          <w:b/>
          <w:bCs/>
          <w:color w:val="000000" w:themeColor="text1"/>
        </w:rPr>
        <w:tab/>
      </w:r>
      <w:r w:rsidR="0077447F" w:rsidRPr="008B3BA5">
        <w:rPr>
          <w:b/>
          <w:bCs/>
        </w:rPr>
        <w:t xml:space="preserve">Pour une </w:t>
      </w:r>
      <w:bookmarkStart w:id="2" w:name="_Hlk49447012"/>
      <w:r w:rsidR="0077447F" w:rsidRPr="008B3BA5">
        <w:rPr>
          <w:b/>
          <w:bCs/>
        </w:rPr>
        <w:t xml:space="preserve">source lumineuse à DEL de remplacement </w:t>
      </w:r>
      <w:bookmarkEnd w:id="2"/>
      <w:r w:rsidR="0077447F" w:rsidRPr="008B3BA5">
        <w:rPr>
          <w:b/>
          <w:bCs/>
        </w:rPr>
        <w:t>pour laquelle le demandeur de l’homologation déclare au moins l’une des caractéristiques énumérées au paragraphe 2.2.2.2.2, le symbole suivant</w:t>
      </w:r>
      <w:r w:rsidRPr="000242C4">
        <w:rPr>
          <w:b/>
          <w:bCs/>
          <w:color w:val="000000" w:themeColor="text1"/>
          <w:sz w:val="18"/>
          <w:szCs w:val="18"/>
          <w:vertAlign w:val="superscript"/>
        </w:rPr>
        <w:t>4</w:t>
      </w:r>
      <w:r>
        <w:rPr>
          <w:b/>
          <w:bCs/>
          <w:color w:val="000000" w:themeColor="text1"/>
        </w:rPr>
        <w:t> :</w:t>
      </w:r>
    </w:p>
    <w:p w14:paraId="2250089A" w14:textId="77777777" w:rsidR="00A34D73" w:rsidRPr="00A87926" w:rsidRDefault="00A34D73" w:rsidP="00834BD7">
      <w:pPr>
        <w:pStyle w:val="SingleTxtG"/>
        <w:jc w:val="center"/>
      </w:pPr>
      <w:r w:rsidRPr="00A87926">
        <w:rPr>
          <w:noProof/>
        </w:rPr>
        <w:drawing>
          <wp:inline distT="0" distB="0" distL="0" distR="0" wp14:anchorId="0E1C79D5" wp14:editId="757AA503">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7366B7BC" w14:textId="77777777" w:rsidR="00A34D73" w:rsidRPr="000242C4" w:rsidRDefault="00A34D73" w:rsidP="000242C4">
      <w:pPr>
        <w:pStyle w:val="para"/>
        <w:spacing w:line="220" w:lineRule="atLeast"/>
        <w:ind w:left="2552" w:hanging="284"/>
        <w:rPr>
          <w:color w:val="000000" w:themeColor="text1"/>
          <w:sz w:val="18"/>
          <w:szCs w:val="18"/>
        </w:rPr>
      </w:pPr>
      <w:r w:rsidRPr="000242C4">
        <w:rPr>
          <w:b/>
          <w:bCs/>
          <w:color w:val="000000" w:themeColor="text1"/>
          <w:sz w:val="18"/>
          <w:szCs w:val="18"/>
          <w:vertAlign w:val="superscript"/>
        </w:rPr>
        <w:t>4</w:t>
      </w:r>
      <w:r w:rsidRPr="000242C4">
        <w:rPr>
          <w:b/>
          <w:bCs/>
          <w:color w:val="000000" w:themeColor="text1"/>
          <w:sz w:val="18"/>
          <w:szCs w:val="18"/>
        </w:rPr>
        <w:tab/>
        <w:t>ISO 7000, symbole 1641</w:t>
      </w:r>
      <w:r w:rsidR="00834BD7" w:rsidRPr="000242C4">
        <w:rPr>
          <w:b/>
          <w:bCs/>
          <w:color w:val="000000" w:themeColor="text1"/>
          <w:sz w:val="18"/>
          <w:szCs w:val="18"/>
        </w:rPr>
        <w:t>.</w:t>
      </w:r>
    </w:p>
    <w:p w14:paraId="46A3A58D" w14:textId="77777777" w:rsidR="00A34D73" w:rsidRPr="00A87926" w:rsidRDefault="00A34D73" w:rsidP="00A34D73">
      <w:pPr>
        <w:pStyle w:val="SingleTxtG"/>
        <w:ind w:left="2268" w:hanging="1134"/>
        <w:rPr>
          <w:color w:val="000000" w:themeColor="text1"/>
        </w:rPr>
      </w:pPr>
      <w:r w:rsidRPr="00A87926">
        <w:rPr>
          <w:color w:val="000000" w:themeColor="text1"/>
        </w:rPr>
        <w:t>2.3.2</w:t>
      </w:r>
      <w:r w:rsidRPr="00A87926">
        <w:rPr>
          <w:color w:val="000000" w:themeColor="text1"/>
        </w:rPr>
        <w:tab/>
        <w:t xml:space="preserve">L’emplacement visé au paragraphe </w:t>
      </w:r>
      <w:r w:rsidRPr="00A87926">
        <w:rPr>
          <w:strike/>
          <w:color w:val="000000" w:themeColor="text1"/>
        </w:rPr>
        <w:t>2.3.1.5</w:t>
      </w:r>
      <w:r w:rsidRPr="00A87926">
        <w:rPr>
          <w:color w:val="000000" w:themeColor="text1"/>
        </w:rPr>
        <w:t xml:space="preserve"> </w:t>
      </w:r>
      <w:r w:rsidRPr="00A87926">
        <w:rPr>
          <w:b/>
          <w:bCs/>
          <w:color w:val="000000" w:themeColor="text1"/>
        </w:rPr>
        <w:t>2.3.1.6</w:t>
      </w:r>
      <w:r w:rsidRPr="00A87926">
        <w:rPr>
          <w:color w:val="000000" w:themeColor="text1"/>
        </w:rPr>
        <w:t xml:space="preserve"> ci-dessus doit être indiqué sur les dessins accompagnant la demande d’homologation.</w:t>
      </w:r>
    </w:p>
    <w:p w14:paraId="0F12EE9D" w14:textId="77777777" w:rsidR="00A34D73" w:rsidRPr="00A87926" w:rsidRDefault="00A34D73" w:rsidP="00A34D73">
      <w:pPr>
        <w:pStyle w:val="SingleTxtG"/>
        <w:ind w:left="2268" w:hanging="1134"/>
        <w:rPr>
          <w:color w:val="000000" w:themeColor="text1"/>
        </w:rPr>
      </w:pPr>
      <w:r w:rsidRPr="00A87926">
        <w:rPr>
          <w:color w:val="000000" w:themeColor="text1"/>
        </w:rPr>
        <w:t>2.3.3</w:t>
      </w:r>
      <w:r w:rsidRPr="00A87926">
        <w:rPr>
          <w:color w:val="000000" w:themeColor="text1"/>
        </w:rPr>
        <w:tab/>
        <w:t xml:space="preserve">Les sources lumineuses à incandescence à halogène conformes aux prescriptions du paragraphe </w:t>
      </w:r>
      <w:r w:rsidRPr="00A87926">
        <w:rPr>
          <w:strike/>
          <w:color w:val="000000" w:themeColor="text1"/>
        </w:rPr>
        <w:t>3.7</w:t>
      </w:r>
      <w:r w:rsidRPr="00A87926">
        <w:rPr>
          <w:color w:val="000000" w:themeColor="text1"/>
        </w:rPr>
        <w:t xml:space="preserve"> </w:t>
      </w:r>
      <w:r w:rsidRPr="00A87926">
        <w:rPr>
          <w:b/>
          <w:bCs/>
          <w:color w:val="000000" w:themeColor="text1"/>
        </w:rPr>
        <w:t>3.3.4</w:t>
      </w:r>
      <w:r w:rsidRPr="00A87926">
        <w:rPr>
          <w:color w:val="000000" w:themeColor="text1"/>
        </w:rPr>
        <w:t xml:space="preserve"> ci-après doivent être marquées de la lettre </w:t>
      </w:r>
      <w:r w:rsidR="00834BD7">
        <w:rPr>
          <w:color w:val="000000" w:themeColor="text1"/>
        </w:rPr>
        <w:t>“</w:t>
      </w:r>
      <w:r w:rsidRPr="00A87926">
        <w:rPr>
          <w:color w:val="000000" w:themeColor="text1"/>
        </w:rPr>
        <w:t>U</w:t>
      </w:r>
      <w:r w:rsidR="00834BD7">
        <w:rPr>
          <w:color w:val="000000" w:themeColor="text1"/>
        </w:rPr>
        <w:t>”</w:t>
      </w:r>
      <w:r w:rsidRPr="00A87926">
        <w:rPr>
          <w:color w:val="000000" w:themeColor="text1"/>
        </w:rPr>
        <w:t>.</w:t>
      </w:r>
    </w:p>
    <w:p w14:paraId="6458AF16" w14:textId="77777777" w:rsidR="00A34D73" w:rsidRPr="00A87926" w:rsidRDefault="00A34D73" w:rsidP="00A34D73">
      <w:pPr>
        <w:pStyle w:val="SingleTxtG"/>
        <w:ind w:left="2268" w:hanging="1134"/>
        <w:rPr>
          <w:b/>
          <w:bCs/>
          <w:color w:val="000000" w:themeColor="text1"/>
        </w:rPr>
      </w:pPr>
      <w:r w:rsidRPr="00A87926">
        <w:rPr>
          <w:color w:val="000000" w:themeColor="text1"/>
        </w:rPr>
        <w:t>2.3.4</w:t>
      </w:r>
      <w:r w:rsidRPr="00A87926">
        <w:rPr>
          <w:color w:val="000000" w:themeColor="text1"/>
        </w:rPr>
        <w:tab/>
      </w:r>
      <w:r w:rsidRPr="00A87926">
        <w:rPr>
          <w:b/>
          <w:bCs/>
          <w:color w:val="000000" w:themeColor="text1"/>
        </w:rPr>
        <w:t xml:space="preserve">La marque </w:t>
      </w:r>
      <w:r w:rsidR="00834BD7">
        <w:rPr>
          <w:b/>
          <w:bCs/>
          <w:color w:val="000000" w:themeColor="text1"/>
        </w:rPr>
        <w:t>“</w:t>
      </w:r>
      <w:proofErr w:type="spellStart"/>
      <w:r w:rsidRPr="00A87926">
        <w:rPr>
          <w:b/>
          <w:bCs/>
          <w:color w:val="000000" w:themeColor="text1"/>
        </w:rPr>
        <w:t>LEDr</w:t>
      </w:r>
      <w:proofErr w:type="spellEnd"/>
      <w:r w:rsidR="00834BD7">
        <w:rPr>
          <w:b/>
          <w:bCs/>
          <w:color w:val="000000" w:themeColor="text1"/>
        </w:rPr>
        <w:t>”</w:t>
      </w:r>
      <w:r w:rsidRPr="00A87926">
        <w:rPr>
          <w:b/>
          <w:bCs/>
          <w:color w:val="000000" w:themeColor="text1"/>
        </w:rPr>
        <w:t xml:space="preserve"> doit être apposée sur les sources lumineuses à DEL de remplacement. Cette marque doit être placée à la suite de la désignation de la catégorie de sources lumineuses à DEL de remplacement à laquelle elle se rapporte, ou sous cette désignation, dont elle est séparée par un espace ou un interligne simple.</w:t>
      </w:r>
    </w:p>
    <w:p w14:paraId="3941C5B8" w14:textId="77777777" w:rsidR="00A34D73" w:rsidRPr="00A87926" w:rsidRDefault="00A34D73" w:rsidP="00A34D73">
      <w:pPr>
        <w:pStyle w:val="SingleTxtG"/>
        <w:ind w:left="2268" w:hanging="1134"/>
        <w:rPr>
          <w:b/>
          <w:bCs/>
          <w:color w:val="000000" w:themeColor="text1"/>
        </w:rPr>
      </w:pPr>
      <w:r w:rsidRPr="00A87926">
        <w:rPr>
          <w:b/>
          <w:bCs/>
          <w:color w:val="000000" w:themeColor="text1"/>
        </w:rPr>
        <w:t>2.3.5</w:t>
      </w:r>
      <w:r w:rsidRPr="00A87926">
        <w:rPr>
          <w:b/>
          <w:bCs/>
          <w:color w:val="000000" w:themeColor="text1"/>
        </w:rPr>
        <w:tab/>
        <w:t xml:space="preserve">La polarité de tension doit être indiquée sur les sources lumineuses à DEL de remplacement qui fonctionnent dans une seule position alors que la source ou son connecteur électrique sont conçus pour être insérés dans plusieurs positions. Cette information doit être indiquée sur les bornes de la source lumineuse à connecter, à l’aide des symboles </w:t>
      </w:r>
      <w:r w:rsidR="00834BD7">
        <w:rPr>
          <w:b/>
          <w:bCs/>
          <w:color w:val="000000" w:themeColor="text1"/>
        </w:rPr>
        <w:t>“</w:t>
      </w:r>
      <w:r w:rsidRPr="00A87926">
        <w:rPr>
          <w:b/>
          <w:bCs/>
          <w:color w:val="000000" w:themeColor="text1"/>
        </w:rPr>
        <w:t>+</w:t>
      </w:r>
      <w:r w:rsidR="00834BD7">
        <w:rPr>
          <w:b/>
          <w:bCs/>
          <w:color w:val="000000" w:themeColor="text1"/>
        </w:rPr>
        <w:t>”</w:t>
      </w:r>
      <w:r w:rsidRPr="00A87926">
        <w:rPr>
          <w:b/>
          <w:bCs/>
          <w:color w:val="000000" w:themeColor="text1"/>
        </w:rPr>
        <w:t xml:space="preserve"> ou </w:t>
      </w:r>
      <w:r w:rsidR="00834BD7">
        <w:rPr>
          <w:b/>
          <w:bCs/>
          <w:color w:val="000000" w:themeColor="text1"/>
        </w:rPr>
        <w:t>“−”</w:t>
      </w:r>
      <w:r w:rsidRPr="00A87926">
        <w:rPr>
          <w:b/>
          <w:bCs/>
          <w:color w:val="000000" w:themeColor="text1"/>
        </w:rPr>
        <w:t>, selon la spécification mentionnée sur la feuille de données de la catégorie pertinente pour la source lumineuse, directement sur la borne concernée ou à proximité de celle-ci.</w:t>
      </w:r>
    </w:p>
    <w:p w14:paraId="2B4AFECF" w14:textId="77777777" w:rsidR="00A34D73" w:rsidRPr="00A87926" w:rsidRDefault="00A34D73" w:rsidP="00A34D73">
      <w:pPr>
        <w:pStyle w:val="SingleTxtG"/>
        <w:ind w:left="2268" w:hanging="1134"/>
        <w:rPr>
          <w:b/>
          <w:bCs/>
          <w:color w:val="000000" w:themeColor="text1"/>
        </w:rPr>
      </w:pPr>
      <w:r w:rsidRPr="00A87926">
        <w:rPr>
          <w:b/>
          <w:bCs/>
          <w:color w:val="000000" w:themeColor="text1"/>
        </w:rPr>
        <w:t>2.3.6</w:t>
      </w:r>
      <w:r w:rsidRPr="00A87926">
        <w:rPr>
          <w:b/>
          <w:bCs/>
          <w:color w:val="000000" w:themeColor="text1"/>
        </w:rPr>
        <w:tab/>
        <w:t xml:space="preserve">Le type et la marque de fabrique ainsi que la tension nominale et la puissance nominale doivent figurer sur les commandes électriques ou électroniques non intégrées à la source </w:t>
      </w:r>
      <w:bookmarkStart w:id="3" w:name="_Hlk49498415"/>
      <w:r w:rsidRPr="00A87926">
        <w:rPr>
          <w:b/>
          <w:bCs/>
          <w:color w:val="000000" w:themeColor="text1"/>
        </w:rPr>
        <w:t>lumineuse à DEL de remplacement</w:t>
      </w:r>
      <w:bookmarkEnd w:id="3"/>
      <w:r w:rsidRPr="00A87926">
        <w:rPr>
          <w:b/>
          <w:bCs/>
          <w:color w:val="000000" w:themeColor="text1"/>
        </w:rPr>
        <w:t>, utilisées pour l’homologation de type, comme indiqué sur la feuille de données de la lampe. Il en va de même pour la (les) désignation(s) de catégorie et le(s) code(s) d’homologation de la (des) source(s) lumineuse(s) à DEL de remplacement homologuées avec ces commandes électriques ou électroniques.</w:t>
      </w:r>
    </w:p>
    <w:p w14:paraId="771E124E" w14:textId="77777777" w:rsidR="00A34D73" w:rsidRPr="00A87926" w:rsidRDefault="00A34D73" w:rsidP="00A34D73">
      <w:pPr>
        <w:pStyle w:val="SingleTxtG"/>
        <w:ind w:left="2268" w:hanging="1134"/>
        <w:rPr>
          <w:color w:val="000000" w:themeColor="text1"/>
        </w:rPr>
      </w:pPr>
      <w:r w:rsidRPr="00A87926">
        <w:rPr>
          <w:b/>
          <w:bCs/>
          <w:color w:val="000000" w:themeColor="text1"/>
        </w:rPr>
        <w:lastRenderedPageBreak/>
        <w:t>2.3.7</w:t>
      </w:r>
      <w:r w:rsidRPr="00A87926">
        <w:rPr>
          <w:color w:val="000000" w:themeColor="text1"/>
        </w:rPr>
        <w:tab/>
        <w:t>D’autres inscriptions que celles qui sont prévues aux paragraphes 2.3.1 et 2.4.3 peuvent être portées, à condition qu’elles n’altèrent pas les caractéristiques lumineuses.</w:t>
      </w:r>
    </w:p>
    <w:p w14:paraId="57B122A3" w14:textId="77777777" w:rsidR="00A34D73" w:rsidRPr="00A87926" w:rsidRDefault="00A34D73" w:rsidP="00A34D73">
      <w:pPr>
        <w:pStyle w:val="SingleTxtG"/>
        <w:ind w:left="2268" w:hanging="1134"/>
        <w:rPr>
          <w:color w:val="000000" w:themeColor="text1"/>
        </w:rPr>
      </w:pPr>
      <w:r w:rsidRPr="00A87926">
        <w:rPr>
          <w:color w:val="000000" w:themeColor="text1"/>
        </w:rPr>
        <w:t>2.4</w:t>
      </w:r>
      <w:r w:rsidRPr="00A87926">
        <w:rPr>
          <w:color w:val="000000" w:themeColor="text1"/>
        </w:rPr>
        <w:tab/>
      </w:r>
      <w:r w:rsidRPr="00A87926">
        <w:rPr>
          <w:color w:val="000000" w:themeColor="text1"/>
        </w:rPr>
        <w:tab/>
        <w:t>Homologation</w:t>
      </w:r>
    </w:p>
    <w:p w14:paraId="418A9B0F" w14:textId="77777777" w:rsidR="00A34D73" w:rsidRPr="00A87926" w:rsidRDefault="00A34D73" w:rsidP="00A34D73">
      <w:pPr>
        <w:pStyle w:val="SingleTxtG"/>
        <w:ind w:left="2268" w:hanging="1134"/>
        <w:rPr>
          <w:color w:val="000000" w:themeColor="text1"/>
        </w:rPr>
      </w:pPr>
      <w:r w:rsidRPr="00A87926">
        <w:rPr>
          <w:color w:val="000000" w:themeColor="text1"/>
        </w:rPr>
        <w:t>2.4.1</w:t>
      </w:r>
      <w:r w:rsidRPr="00A87926">
        <w:rPr>
          <w:color w:val="000000" w:themeColor="text1"/>
        </w:rPr>
        <w:tab/>
        <w:t xml:space="preserve">Si tous les échantillons d’un type de source lumineuse </w:t>
      </w:r>
      <w:r w:rsidRPr="00A87926">
        <w:rPr>
          <w:strike/>
          <w:color w:val="000000" w:themeColor="text1"/>
        </w:rPr>
        <w:t>à incandescence</w:t>
      </w:r>
      <w:r w:rsidRPr="00A87926">
        <w:rPr>
          <w:color w:val="000000" w:themeColor="text1"/>
        </w:rPr>
        <w:t xml:space="preserve"> présentés en application des paragraphes 2.2.2.3 et 2.2.3.2 ci-dessus satisfont aux prescriptions du présent Règlement</w:t>
      </w:r>
      <w:r w:rsidRPr="00A87926">
        <w:rPr>
          <w:b/>
          <w:bCs/>
          <w:color w:val="000000" w:themeColor="text1"/>
        </w:rPr>
        <w:t>, selon lesquelles le paragraphe 3.4.7.1 s’applique pour les sources lumineuses à DEL de remplacement</w:t>
      </w:r>
      <w:r w:rsidRPr="00A87926">
        <w:rPr>
          <w:color w:val="000000" w:themeColor="text1"/>
        </w:rPr>
        <w:t>, l’homologation doit être accordée.</w:t>
      </w:r>
    </w:p>
    <w:p w14:paraId="7D6B721A" w14:textId="77777777" w:rsidR="00A34D73" w:rsidRPr="00A87926" w:rsidRDefault="00A34D73" w:rsidP="00A34D73">
      <w:pPr>
        <w:pStyle w:val="SingleTxtG"/>
        <w:ind w:left="2268" w:hanging="1134"/>
        <w:rPr>
          <w:color w:val="000000" w:themeColor="text1"/>
        </w:rPr>
      </w:pPr>
      <w:r w:rsidRPr="00A87926">
        <w:rPr>
          <w:color w:val="000000" w:themeColor="text1"/>
        </w:rPr>
        <w:t>2.4.2</w:t>
      </w:r>
      <w:r w:rsidRPr="00A87926">
        <w:rPr>
          <w:color w:val="000000" w:themeColor="text1"/>
        </w:rPr>
        <w:tab/>
        <w:t>Chaque homologation comporte l’attribution d’un code d’homologation, composé de la section 3 du numéro d’homologation</w:t>
      </w:r>
      <w:r w:rsidRPr="00834BD7">
        <w:rPr>
          <w:color w:val="000000" w:themeColor="text1"/>
          <w:sz w:val="18"/>
          <w:szCs w:val="18"/>
          <w:vertAlign w:val="superscript"/>
        </w:rPr>
        <w:t>5</w:t>
      </w:r>
      <w:r w:rsidRPr="00A87926">
        <w:rPr>
          <w:color w:val="000000" w:themeColor="text1"/>
        </w:rPr>
        <w:t>. Une même Partie contractante ne peut attribuer le même code à un autre type de source lumineuse à incandescence. L’homologation, l’extension de l’homologation, le refus ou le retrait de l’homologation ou l’arrêt définitif de la production d’un type de source lumineuse à incandescence en application du présent Règlement doit être notifié aux Parties à l’Accord de 1958 appliquant le présent Règlement au moyen d’une fiche conforme au modèle visé à l’annexe 2 dudit Règlement et d’un dessin au format maximal A4 (210 x 297 mm) et à une échelle d’au moins 2</w:t>
      </w:r>
      <w:r>
        <w:rPr>
          <w:color w:val="000000" w:themeColor="text1"/>
        </w:rPr>
        <w:t>:</w:t>
      </w:r>
      <w:r w:rsidRPr="00A87926">
        <w:rPr>
          <w:color w:val="000000" w:themeColor="text1"/>
        </w:rPr>
        <w:t xml:space="preserve">1 fourni pour l’homologation par le demandeur. Si le demandeur le souhaite, le même numéro d’homologation (et le même code d’homologation correspondant) peut être assigné à la source lumineuse à incandescence émettant une lumière blanche et à la source lumineuse à incandescence émettant une lumière jaune sélectif (voir le paragraphe </w:t>
      </w:r>
      <w:r w:rsidRPr="00A87926">
        <w:rPr>
          <w:strike/>
          <w:color w:val="000000" w:themeColor="text1"/>
        </w:rPr>
        <w:t>2.1.2.3</w:t>
      </w:r>
      <w:r w:rsidRPr="00A87926">
        <w:rPr>
          <w:color w:val="000000" w:themeColor="text1"/>
        </w:rPr>
        <w:t xml:space="preserve"> </w:t>
      </w:r>
      <w:r w:rsidRPr="00A87926">
        <w:rPr>
          <w:b/>
          <w:bCs/>
          <w:color w:val="000000" w:themeColor="text1"/>
        </w:rPr>
        <w:t>2.1.2</w:t>
      </w:r>
      <w:r w:rsidRPr="00A87926">
        <w:rPr>
          <w:color w:val="000000" w:themeColor="text1"/>
        </w:rPr>
        <w:t>).</w:t>
      </w:r>
    </w:p>
    <w:p w14:paraId="1E053F9E" w14:textId="77777777" w:rsidR="00A34D73" w:rsidRPr="000242C4" w:rsidRDefault="00A34D73" w:rsidP="000242C4">
      <w:pPr>
        <w:pStyle w:val="Notedebasdepage"/>
        <w:widowControl w:val="0"/>
        <w:tabs>
          <w:tab w:val="clear" w:pos="1021"/>
        </w:tabs>
        <w:spacing w:after="120"/>
        <w:ind w:left="2552" w:hanging="284"/>
        <w:rPr>
          <w:color w:val="000000" w:themeColor="text1"/>
          <w:szCs w:val="18"/>
        </w:rPr>
      </w:pPr>
      <w:r w:rsidRPr="000242C4">
        <w:rPr>
          <w:b/>
          <w:bCs/>
          <w:color w:val="000000" w:themeColor="text1"/>
          <w:szCs w:val="18"/>
          <w:vertAlign w:val="superscript"/>
        </w:rPr>
        <w:t>5</w:t>
      </w:r>
      <w:r w:rsidRPr="000242C4">
        <w:rPr>
          <w:color w:val="000000" w:themeColor="text1"/>
          <w:szCs w:val="18"/>
        </w:rPr>
        <w:tab/>
        <w:t>Accord de 1958, révision 3, annexe 4 (E/ECE/TRANS/505/Rev.3).</w:t>
      </w:r>
    </w:p>
    <w:p w14:paraId="4A6640BA" w14:textId="77777777" w:rsidR="00A34D73" w:rsidRPr="00A87926" w:rsidRDefault="00A34D73" w:rsidP="00A34D73">
      <w:pPr>
        <w:pStyle w:val="SingleTxtG"/>
        <w:ind w:left="2268" w:hanging="1134"/>
        <w:rPr>
          <w:color w:val="000000" w:themeColor="text1"/>
        </w:rPr>
      </w:pPr>
      <w:r w:rsidRPr="00A87926">
        <w:rPr>
          <w:color w:val="000000" w:themeColor="text1"/>
        </w:rPr>
        <w:t>2.4.3</w:t>
      </w:r>
      <w:r w:rsidRPr="00A87926">
        <w:rPr>
          <w:color w:val="000000" w:themeColor="text1"/>
        </w:rPr>
        <w:tab/>
        <w:t xml:space="preserve">Sur toute source lumineuse </w:t>
      </w:r>
      <w:r w:rsidRPr="00A87926">
        <w:rPr>
          <w:strike/>
          <w:color w:val="000000" w:themeColor="text1"/>
        </w:rPr>
        <w:t>à incandescence</w:t>
      </w:r>
      <w:r w:rsidRPr="00A87926">
        <w:rPr>
          <w:color w:val="000000" w:themeColor="text1"/>
        </w:rPr>
        <w:t xml:space="preserve"> conforme à un type homologué en application du présent Règlement, il faut apposer à l’emplacement visé au paragraphe </w:t>
      </w:r>
      <w:r w:rsidRPr="00A87926">
        <w:rPr>
          <w:strike/>
          <w:color w:val="000000" w:themeColor="text1"/>
        </w:rPr>
        <w:t>2.3.1.5</w:t>
      </w:r>
      <w:r w:rsidRPr="00A87926">
        <w:rPr>
          <w:color w:val="000000" w:themeColor="text1"/>
        </w:rPr>
        <w:t xml:space="preserve"> </w:t>
      </w:r>
      <w:r w:rsidRPr="00A87926">
        <w:rPr>
          <w:b/>
          <w:bCs/>
          <w:color w:val="000000" w:themeColor="text1"/>
        </w:rPr>
        <w:t>2.3.1.6</w:t>
      </w:r>
      <w:r w:rsidRPr="00A87926">
        <w:rPr>
          <w:color w:val="000000" w:themeColor="text1"/>
        </w:rPr>
        <w:t xml:space="preserve">, en plus des inscriptions requises dans le paragraphe 2.3.1, une marque d’homologation </w:t>
      </w:r>
      <w:r w:rsidRPr="00A87926">
        <w:rPr>
          <w:strike/>
          <w:color w:val="000000" w:themeColor="text1"/>
        </w:rPr>
        <w:t>internationale,</w:t>
      </w:r>
      <w:r w:rsidRPr="00A87926">
        <w:rPr>
          <w:color w:val="000000" w:themeColor="text1"/>
        </w:rPr>
        <w:t xml:space="preserve"> composée</w:t>
      </w:r>
      <w:r>
        <w:rPr>
          <w:color w:val="000000" w:themeColor="text1"/>
        </w:rPr>
        <w:t> :</w:t>
      </w:r>
    </w:p>
    <w:p w14:paraId="4FCDFF7A" w14:textId="77777777" w:rsidR="00A34D73" w:rsidRPr="00A87926" w:rsidRDefault="00A34D73" w:rsidP="00A34D73">
      <w:pPr>
        <w:pStyle w:val="SingleTxtG"/>
        <w:ind w:left="2268" w:hanging="1134"/>
        <w:rPr>
          <w:color w:val="000000" w:themeColor="text1"/>
        </w:rPr>
      </w:pPr>
      <w:r w:rsidRPr="00A87926">
        <w:rPr>
          <w:color w:val="000000" w:themeColor="text1"/>
        </w:rPr>
        <w:t>2.4.3.1</w:t>
      </w:r>
      <w:r w:rsidRPr="00A87926">
        <w:rPr>
          <w:color w:val="000000" w:themeColor="text1"/>
        </w:rPr>
        <w:tab/>
        <w:t xml:space="preserve">D’un cercle tronqué, à l’intérieur duquel est placée la lettre </w:t>
      </w:r>
      <w:r w:rsidR="00834BD7">
        <w:rPr>
          <w:color w:val="000000" w:themeColor="text1"/>
        </w:rPr>
        <w:t>“</w:t>
      </w:r>
      <w:r w:rsidRPr="00A87926">
        <w:rPr>
          <w:color w:val="000000" w:themeColor="text1"/>
        </w:rPr>
        <w:t>E</w:t>
      </w:r>
      <w:r w:rsidR="00834BD7">
        <w:rPr>
          <w:color w:val="000000" w:themeColor="text1"/>
        </w:rPr>
        <w:t>”</w:t>
      </w:r>
      <w:r w:rsidRPr="00A87926">
        <w:rPr>
          <w:color w:val="000000" w:themeColor="text1"/>
        </w:rPr>
        <w:t xml:space="preserve"> suivie du numéro distinctif du pays qui a accordé l’homologation</w:t>
      </w:r>
      <w:r w:rsidRPr="00834BD7">
        <w:rPr>
          <w:color w:val="000000" w:themeColor="text1"/>
          <w:sz w:val="18"/>
          <w:szCs w:val="18"/>
          <w:vertAlign w:val="superscript"/>
        </w:rPr>
        <w:t>6</w:t>
      </w:r>
      <w:r w:rsidRPr="00A87926">
        <w:rPr>
          <w:color w:val="000000" w:themeColor="text1"/>
        </w:rPr>
        <w:t>.</w:t>
      </w:r>
    </w:p>
    <w:p w14:paraId="2CCED858" w14:textId="77777777" w:rsidR="00A34D73" w:rsidRPr="000242C4" w:rsidRDefault="00A34D73" w:rsidP="000242C4">
      <w:pPr>
        <w:pStyle w:val="para"/>
        <w:spacing w:line="220" w:lineRule="atLeast"/>
        <w:ind w:left="2552" w:hanging="284"/>
        <w:rPr>
          <w:color w:val="000000" w:themeColor="text1"/>
          <w:sz w:val="18"/>
          <w:szCs w:val="18"/>
        </w:rPr>
      </w:pPr>
      <w:r w:rsidRPr="000242C4">
        <w:rPr>
          <w:b/>
          <w:bCs/>
          <w:color w:val="000000" w:themeColor="text1"/>
          <w:sz w:val="18"/>
          <w:szCs w:val="18"/>
          <w:vertAlign w:val="superscript"/>
        </w:rPr>
        <w:t>6</w:t>
      </w:r>
      <w:r w:rsidRPr="000242C4">
        <w:rPr>
          <w:color w:val="000000" w:themeColor="text1"/>
          <w:sz w:val="18"/>
          <w:szCs w:val="18"/>
        </w:rPr>
        <w:tab/>
        <w:t>La liste des numéros distinctifs des Parties contractantes à l’Accord de 1958 est reproduite à l’annexe 3 de la Résolution d’ensemble sur la construction des véhicules (R.E.3), document TRANS/WP.29/78/Rev.6.</w:t>
      </w:r>
    </w:p>
    <w:p w14:paraId="164E6676" w14:textId="77777777" w:rsidR="00A34D73" w:rsidRPr="00A87926" w:rsidRDefault="00A34D73" w:rsidP="00A34D73">
      <w:pPr>
        <w:pStyle w:val="SingleTxtG"/>
        <w:ind w:left="2268" w:hanging="1134"/>
        <w:rPr>
          <w:color w:val="000000" w:themeColor="text1"/>
        </w:rPr>
      </w:pPr>
      <w:r w:rsidRPr="00A87926">
        <w:rPr>
          <w:color w:val="000000" w:themeColor="text1"/>
        </w:rPr>
        <w:t>2.4.3.2</w:t>
      </w:r>
      <w:r w:rsidRPr="00A87926">
        <w:rPr>
          <w:color w:val="000000" w:themeColor="text1"/>
        </w:rPr>
        <w:tab/>
        <w:t>Du code d’homologation, placé à proximité de ce cercle tronqué.</w:t>
      </w:r>
    </w:p>
    <w:p w14:paraId="58BD8313" w14:textId="77777777" w:rsidR="00A34D73" w:rsidRPr="00A87926" w:rsidRDefault="00A34D73" w:rsidP="00A34D73">
      <w:pPr>
        <w:pStyle w:val="SingleTxtG"/>
        <w:ind w:left="2268" w:hanging="1134"/>
        <w:rPr>
          <w:color w:val="000000" w:themeColor="text1"/>
        </w:rPr>
      </w:pPr>
      <w:r w:rsidRPr="00A87926">
        <w:rPr>
          <w:color w:val="000000" w:themeColor="text1"/>
        </w:rPr>
        <w:t>2.4.4</w:t>
      </w:r>
      <w:r w:rsidRPr="00A87926">
        <w:rPr>
          <w:color w:val="000000" w:themeColor="text1"/>
        </w:rPr>
        <w:tab/>
        <w:t>Si le demandeur a obtenu le même numéro d’homologation (et le même code d’homologation correspondant) pour différentes marques de fabrique ou de commerce, il suffit d’apposer une ou plusieurs d’entre elles pour satisfaire aux exigences du paragraphe 2.3.1.1.</w:t>
      </w:r>
    </w:p>
    <w:p w14:paraId="795A514E" w14:textId="77777777" w:rsidR="00A34D73" w:rsidRPr="00A87926" w:rsidRDefault="00A34D73" w:rsidP="00A34D73">
      <w:pPr>
        <w:pStyle w:val="SingleTxtG"/>
        <w:ind w:left="2268" w:hanging="1134"/>
        <w:rPr>
          <w:color w:val="000000" w:themeColor="text1"/>
        </w:rPr>
      </w:pPr>
      <w:r w:rsidRPr="00A87926">
        <w:rPr>
          <w:color w:val="000000" w:themeColor="text1"/>
        </w:rPr>
        <w:t>2.4.5</w:t>
      </w:r>
      <w:r w:rsidRPr="00A87926">
        <w:rPr>
          <w:color w:val="000000" w:themeColor="text1"/>
        </w:rPr>
        <w:tab/>
        <w:t>Les marques et inscriptions prévues aux paragraphes 2.3.1 et 2.4.3 doivent être nettement lisibles et indélébiles.</w:t>
      </w:r>
    </w:p>
    <w:p w14:paraId="18EE22A3" w14:textId="77777777" w:rsidR="00A34D73" w:rsidRPr="00A87926" w:rsidRDefault="00A34D73" w:rsidP="00A34D73">
      <w:pPr>
        <w:pStyle w:val="SingleTxtG"/>
        <w:ind w:left="2268" w:hanging="1134"/>
        <w:rPr>
          <w:color w:val="000000" w:themeColor="text1"/>
        </w:rPr>
      </w:pPr>
      <w:r w:rsidRPr="00A87926">
        <w:rPr>
          <w:color w:val="000000" w:themeColor="text1"/>
        </w:rPr>
        <w:t>2.4.6</w:t>
      </w:r>
      <w:r w:rsidRPr="00A87926">
        <w:rPr>
          <w:color w:val="000000" w:themeColor="text1"/>
        </w:rPr>
        <w:tab/>
        <w:t>L’annexe 3 du présent Règlement contient un exemple de marque d’homologation. ».</w:t>
      </w:r>
    </w:p>
    <w:p w14:paraId="02B38017" w14:textId="77777777" w:rsidR="00A34D73" w:rsidRPr="00A87926" w:rsidRDefault="00A34D73" w:rsidP="00834BD7">
      <w:pPr>
        <w:pStyle w:val="SingleTxtG"/>
        <w:keepNext/>
      </w:pPr>
      <w:r w:rsidRPr="00834BD7">
        <w:rPr>
          <w:i/>
          <w:iCs/>
        </w:rPr>
        <w:t>Paragraphe 3.2</w:t>
      </w:r>
      <w:r w:rsidRPr="00A87926">
        <w:t>, lire</w:t>
      </w:r>
      <w:r>
        <w:t> :</w:t>
      </w:r>
    </w:p>
    <w:p w14:paraId="3B45A0A9" w14:textId="77777777" w:rsidR="00A34D73" w:rsidRPr="00A87926" w:rsidRDefault="00A34D73" w:rsidP="00A34D73">
      <w:pPr>
        <w:pStyle w:val="SingleTxtG"/>
        <w:ind w:left="2268" w:hanging="1134"/>
        <w:rPr>
          <w:color w:val="000000" w:themeColor="text1"/>
        </w:rPr>
      </w:pPr>
      <w:r w:rsidRPr="00A87926">
        <w:rPr>
          <w:color w:val="000000" w:themeColor="text1"/>
        </w:rPr>
        <w:t>«</w:t>
      </w:r>
      <w:r w:rsidR="00834BD7">
        <w:rPr>
          <w:color w:val="000000" w:themeColor="text1"/>
        </w:rPr>
        <w:t> </w:t>
      </w:r>
      <w:r w:rsidRPr="00A87926">
        <w:rPr>
          <w:color w:val="000000" w:themeColor="text1"/>
        </w:rPr>
        <w:t>3.2</w:t>
      </w:r>
      <w:r w:rsidRPr="00A87926">
        <w:rPr>
          <w:color w:val="000000" w:themeColor="text1"/>
        </w:rPr>
        <w:tab/>
        <w:t>Prescriptions générales</w:t>
      </w:r>
    </w:p>
    <w:p w14:paraId="793156F9" w14:textId="77777777" w:rsidR="00A34D73" w:rsidRPr="00A87926" w:rsidRDefault="00A34D73" w:rsidP="00A34D73">
      <w:pPr>
        <w:pStyle w:val="SingleTxtG"/>
        <w:ind w:left="2268" w:hanging="1134"/>
        <w:rPr>
          <w:color w:val="000000" w:themeColor="text1"/>
        </w:rPr>
      </w:pPr>
      <w:r w:rsidRPr="00A87926">
        <w:rPr>
          <w:color w:val="000000" w:themeColor="text1"/>
        </w:rPr>
        <w:t>3.2.1</w:t>
      </w:r>
      <w:r w:rsidRPr="00A87926">
        <w:rPr>
          <w:color w:val="000000" w:themeColor="text1"/>
        </w:rPr>
        <w:tab/>
        <w:t>Chacun des échantillons doit être conforme aux spécifications pertinentes du présent Règlement.</w:t>
      </w:r>
    </w:p>
    <w:p w14:paraId="74E28EA8" w14:textId="77777777" w:rsidR="00A34D73" w:rsidRPr="00A87926" w:rsidRDefault="00A34D73" w:rsidP="00A34D73">
      <w:pPr>
        <w:pStyle w:val="SingleTxtG"/>
        <w:ind w:left="2268" w:hanging="1134"/>
        <w:rPr>
          <w:color w:val="000000" w:themeColor="text1"/>
        </w:rPr>
      </w:pPr>
      <w:r w:rsidRPr="00A87926">
        <w:rPr>
          <w:color w:val="000000" w:themeColor="text1"/>
        </w:rPr>
        <w:t>3.2.2</w:t>
      </w:r>
      <w:r w:rsidRPr="00A87926">
        <w:rPr>
          <w:color w:val="000000" w:themeColor="text1"/>
        </w:rPr>
        <w:tab/>
        <w:t xml:space="preserve">La conception des sources lumineuses </w:t>
      </w:r>
      <w:r w:rsidRPr="00A87926">
        <w:rPr>
          <w:strike/>
          <w:color w:val="000000" w:themeColor="text1"/>
        </w:rPr>
        <w:t>à incandescence</w:t>
      </w:r>
      <w:r w:rsidRPr="00A87926">
        <w:rPr>
          <w:color w:val="000000" w:themeColor="text1"/>
        </w:rPr>
        <w:t xml:space="preserve"> doit être telle que leur bon fonctionnement soit et demeure assuré lorsqu’elles sont utilisées dans des conditions normales. Elles ne doivent présenter aucun vice de conception ou de fabrication.</w:t>
      </w:r>
    </w:p>
    <w:p w14:paraId="3287BB24" w14:textId="77777777" w:rsidR="00A34D73" w:rsidRPr="00A87926" w:rsidRDefault="00A34D73" w:rsidP="00A34D73">
      <w:pPr>
        <w:pStyle w:val="SingleTxtG"/>
        <w:ind w:left="2268" w:hanging="1134"/>
        <w:rPr>
          <w:color w:val="000000" w:themeColor="text1"/>
        </w:rPr>
      </w:pPr>
      <w:r w:rsidRPr="00A87926">
        <w:rPr>
          <w:color w:val="000000" w:themeColor="text1"/>
        </w:rPr>
        <w:lastRenderedPageBreak/>
        <w:t>3.2.3</w:t>
      </w:r>
      <w:r w:rsidRPr="00A87926">
        <w:rPr>
          <w:color w:val="000000" w:themeColor="text1"/>
        </w:rPr>
        <w:tab/>
        <w:t>Le ou les filaments spécifiés doivent être les seuls éléments de la source lumineuse à incandescence qui produisent et émettent de la lumière lorsqu’ils sont mis sous tension.</w:t>
      </w:r>
    </w:p>
    <w:p w14:paraId="1C233483" w14:textId="77777777" w:rsidR="00A34D73" w:rsidRPr="00A87926" w:rsidRDefault="00A34D73" w:rsidP="00AD0AEE">
      <w:pPr>
        <w:pStyle w:val="SingleTxtG"/>
        <w:ind w:left="2268"/>
        <w:rPr>
          <w:b/>
          <w:bCs/>
          <w:color w:val="000000" w:themeColor="text1"/>
        </w:rPr>
      </w:pPr>
      <w:r w:rsidRPr="00A87926">
        <w:rPr>
          <w:b/>
          <w:bCs/>
          <w:color w:val="000000" w:themeColor="text1"/>
        </w:rPr>
        <w:t xml:space="preserve">La ou les jonctions de semi-conducteur, et éventuellement un ou plusieurs éléments utilisés pour la conversion de la fluorescence, doivent être les seuls éléments de la </w:t>
      </w:r>
      <w:bookmarkStart w:id="4" w:name="_Hlk49499423"/>
      <w:r w:rsidRPr="00A87926">
        <w:rPr>
          <w:b/>
          <w:bCs/>
          <w:color w:val="000000" w:themeColor="text1"/>
        </w:rPr>
        <w:t>source lumineuse à DEL de remplacement</w:t>
      </w:r>
      <w:bookmarkEnd w:id="4"/>
      <w:r w:rsidRPr="00A87926">
        <w:rPr>
          <w:b/>
          <w:bCs/>
          <w:color w:val="000000" w:themeColor="text1"/>
        </w:rPr>
        <w:t xml:space="preserve"> qui produisent et émettent de la lumière lorsqu’ils sont mis sous tension.</w:t>
      </w:r>
      <w:r w:rsidR="00834BD7">
        <w:rPr>
          <w:b/>
          <w:bCs/>
          <w:color w:val="000000" w:themeColor="text1"/>
        </w:rPr>
        <w:t> </w:t>
      </w:r>
      <w:r w:rsidRPr="00834BD7">
        <w:rPr>
          <w:color w:val="000000" w:themeColor="text1"/>
        </w:rPr>
        <w:t>».</w:t>
      </w:r>
    </w:p>
    <w:p w14:paraId="0DA256AA" w14:textId="77777777" w:rsidR="00A34D73" w:rsidRPr="00A87926" w:rsidRDefault="00A34D73" w:rsidP="00834BD7">
      <w:pPr>
        <w:pStyle w:val="SingleTxtG"/>
      </w:pPr>
      <w:r w:rsidRPr="00834BD7">
        <w:rPr>
          <w:i/>
          <w:iCs/>
        </w:rPr>
        <w:t>L’ancien paragraphe 3.3</w:t>
      </w:r>
      <w:r w:rsidRPr="00A87926">
        <w:t xml:space="preserve"> se lit comme suit</w:t>
      </w:r>
      <w:r>
        <w:t> :</w:t>
      </w:r>
    </w:p>
    <w:p w14:paraId="27E37FC4" w14:textId="77777777" w:rsidR="00A34D73" w:rsidRPr="00A87926" w:rsidRDefault="00A34D73" w:rsidP="00A34D73">
      <w:pPr>
        <w:pStyle w:val="SingleTxtG"/>
        <w:ind w:left="2268" w:hanging="1134"/>
        <w:rPr>
          <w:color w:val="000000" w:themeColor="text1"/>
        </w:rPr>
      </w:pPr>
      <w:r w:rsidRPr="00A87926">
        <w:rPr>
          <w:color w:val="000000" w:themeColor="text1"/>
        </w:rPr>
        <w:t>«</w:t>
      </w:r>
      <w:r w:rsidR="00834BD7" w:rsidRPr="00834BD7">
        <w:rPr>
          <w:color w:val="000000" w:themeColor="text1"/>
        </w:rPr>
        <w:t> </w:t>
      </w:r>
      <w:r w:rsidRPr="00A87926">
        <w:rPr>
          <w:strike/>
          <w:color w:val="000000" w:themeColor="text1"/>
        </w:rPr>
        <w:t>3.3.</w:t>
      </w:r>
      <w:r w:rsidRPr="00A87926">
        <w:rPr>
          <w:strike/>
          <w:color w:val="000000" w:themeColor="text1"/>
        </w:rPr>
        <w:tab/>
        <w:t>Fabrication</w:t>
      </w:r>
    </w:p>
    <w:p w14:paraId="5DA94B08" w14:textId="77777777" w:rsidR="00A34D73" w:rsidRPr="00A87926" w:rsidRDefault="00A34D73" w:rsidP="00A34D73">
      <w:pPr>
        <w:pStyle w:val="SingleTxtG"/>
        <w:ind w:left="2268" w:hanging="1134"/>
        <w:rPr>
          <w:color w:val="000000" w:themeColor="text1"/>
        </w:rPr>
      </w:pPr>
      <w:r w:rsidRPr="00A87926">
        <w:rPr>
          <w:strike/>
          <w:color w:val="000000" w:themeColor="text1"/>
        </w:rPr>
        <w:t>3.3.1</w:t>
      </w:r>
      <w:r w:rsidRPr="00A87926">
        <w:rPr>
          <w:b/>
          <w:bCs/>
          <w:color w:val="000000" w:themeColor="text1"/>
        </w:rPr>
        <w:t>3.2.4</w:t>
      </w:r>
      <w:r w:rsidRPr="00A87926">
        <w:rPr>
          <w:color w:val="000000" w:themeColor="text1"/>
        </w:rPr>
        <w:tab/>
        <w:t xml:space="preserve">Les </w:t>
      </w:r>
      <w:r w:rsidRPr="00A87926">
        <w:rPr>
          <w:strike/>
          <w:color w:val="000000" w:themeColor="text1"/>
        </w:rPr>
        <w:t>ampoules des</w:t>
      </w:r>
      <w:r w:rsidRPr="00A87926">
        <w:rPr>
          <w:color w:val="000000" w:themeColor="text1"/>
        </w:rPr>
        <w:t xml:space="preserve"> sources lumineuses </w:t>
      </w:r>
      <w:r w:rsidRPr="00A87926">
        <w:rPr>
          <w:strike/>
          <w:color w:val="000000" w:themeColor="text1"/>
        </w:rPr>
        <w:t>à incandescence</w:t>
      </w:r>
      <w:r w:rsidRPr="00A87926">
        <w:rPr>
          <w:color w:val="000000" w:themeColor="text1"/>
        </w:rPr>
        <w:t xml:space="preserve"> ne doivent présenter ni stries ni taches ayant une influence défavorable sur leur bon fonctionnement et sur leurs performances optiques. </w:t>
      </w:r>
      <w:r w:rsidRPr="00A87926">
        <w:rPr>
          <w:b/>
          <w:bCs/>
          <w:color w:val="000000" w:themeColor="text1"/>
        </w:rPr>
        <w:t>Ce point doit être contrôlé pour les sources lumineuses à DEL de remplacement au début des essais d’homologation et lorsque les paragraphes pertinents du présent Règlement le prescrivent.</w:t>
      </w:r>
    </w:p>
    <w:p w14:paraId="42B06106" w14:textId="77777777" w:rsidR="00A34D73" w:rsidRPr="00A87926" w:rsidRDefault="00A34D73" w:rsidP="00A34D73">
      <w:pPr>
        <w:pStyle w:val="SingleTxtG"/>
        <w:ind w:left="2268" w:hanging="1134"/>
        <w:rPr>
          <w:color w:val="000000" w:themeColor="text1"/>
        </w:rPr>
      </w:pPr>
      <w:r w:rsidRPr="00A87926">
        <w:rPr>
          <w:strike/>
          <w:color w:val="000000" w:themeColor="text1"/>
        </w:rPr>
        <w:t>3.3.2</w:t>
      </w:r>
      <w:r w:rsidRPr="00A87926">
        <w:rPr>
          <w:b/>
          <w:bCs/>
          <w:color w:val="000000" w:themeColor="text1"/>
        </w:rPr>
        <w:t>3.2.5</w:t>
      </w:r>
      <w:r w:rsidRPr="00A87926">
        <w:rPr>
          <w:color w:val="000000" w:themeColor="text1"/>
        </w:rPr>
        <w:tab/>
        <w:t xml:space="preserve">Les sources lumineuses </w:t>
      </w:r>
      <w:r w:rsidRPr="00A87926">
        <w:rPr>
          <w:strike/>
          <w:color w:val="000000" w:themeColor="text1"/>
        </w:rPr>
        <w:t>à incandescence</w:t>
      </w:r>
      <w:r w:rsidRPr="00A87926">
        <w:rPr>
          <w:color w:val="000000" w:themeColor="text1"/>
        </w:rPr>
        <w:t xml:space="preserve"> doivent être munies de culots normalisés conformément à la publication 60061 de la CEI, comme indiqué à la page correspondante de l’annexe 1.</w:t>
      </w:r>
    </w:p>
    <w:p w14:paraId="03870B56" w14:textId="77777777" w:rsidR="00A34D73" w:rsidRPr="00A87926" w:rsidRDefault="00A34D73" w:rsidP="00A34D73">
      <w:pPr>
        <w:pStyle w:val="SingleTxtG"/>
        <w:ind w:left="2268" w:hanging="1134"/>
        <w:rPr>
          <w:b/>
          <w:bCs/>
          <w:color w:val="000000" w:themeColor="text1"/>
        </w:rPr>
      </w:pPr>
      <w:r w:rsidRPr="00A87926">
        <w:rPr>
          <w:b/>
          <w:bCs/>
          <w:color w:val="000000" w:themeColor="text1"/>
        </w:rPr>
        <w:t>3.2.5.1</w:t>
      </w:r>
      <w:r w:rsidRPr="00A87926">
        <w:rPr>
          <w:color w:val="000000" w:themeColor="text1"/>
        </w:rPr>
        <w:tab/>
      </w:r>
      <w:r w:rsidRPr="00A87926">
        <w:rPr>
          <w:b/>
          <w:bCs/>
          <w:color w:val="000000" w:themeColor="text1"/>
        </w:rPr>
        <w:t>Les sources lumineuses à DEL de remplacement</w:t>
      </w:r>
      <w:r w:rsidRPr="00A87926">
        <w:rPr>
          <w:color w:val="000000" w:themeColor="text1"/>
        </w:rPr>
        <w:t xml:space="preserve"> </w:t>
      </w:r>
      <w:r w:rsidRPr="00A87926">
        <w:rPr>
          <w:b/>
          <w:bCs/>
          <w:color w:val="000000" w:themeColor="text1"/>
        </w:rPr>
        <w:t>doivent être équipées d’un culot portant la même désignation que celle indiquée pour les sources lumineuses à incandescence correspondantes de la même catégorie.</w:t>
      </w:r>
    </w:p>
    <w:p w14:paraId="6ECA81C9" w14:textId="77777777" w:rsidR="00A34D73" w:rsidRPr="00A87926" w:rsidRDefault="00A34D73" w:rsidP="00A34D73">
      <w:pPr>
        <w:pStyle w:val="SingleTxtG"/>
        <w:ind w:left="2268" w:hanging="1134"/>
        <w:rPr>
          <w:b/>
          <w:bCs/>
          <w:color w:val="000000" w:themeColor="text1"/>
        </w:rPr>
      </w:pPr>
      <w:r w:rsidRPr="00A87926">
        <w:rPr>
          <w:b/>
          <w:bCs/>
          <w:color w:val="000000" w:themeColor="text1"/>
        </w:rPr>
        <w:t>3.2.5.2</w:t>
      </w:r>
      <w:r w:rsidRPr="00A87926">
        <w:rPr>
          <w:b/>
          <w:bCs/>
          <w:color w:val="000000" w:themeColor="text1"/>
        </w:rPr>
        <w:tab/>
        <w:t>Les dimensions extérieures du culot de la source lumineuse à DEL de remplacement peuvent s’écarter des dimensions figurant sur la feuille de données relative au culot de la publication 60061 de la CEI lorsqu’elles sont indiquées dans la feuille de données de la catégorie de sources lumineuses concernée.</w:t>
      </w:r>
    </w:p>
    <w:p w14:paraId="69E1E7EA" w14:textId="77777777" w:rsidR="00A34D73" w:rsidRPr="00A87926" w:rsidRDefault="00A34D73" w:rsidP="00A34D73">
      <w:pPr>
        <w:pStyle w:val="SingleTxtG"/>
        <w:ind w:left="2268" w:hanging="1134"/>
        <w:rPr>
          <w:color w:val="000000" w:themeColor="text1"/>
        </w:rPr>
      </w:pPr>
      <w:r w:rsidRPr="00A87926">
        <w:rPr>
          <w:strike/>
          <w:color w:val="000000" w:themeColor="text1"/>
        </w:rPr>
        <w:t>3.3.3</w:t>
      </w:r>
      <w:r w:rsidRPr="00A87926">
        <w:rPr>
          <w:b/>
          <w:bCs/>
          <w:color w:val="000000" w:themeColor="text1"/>
        </w:rPr>
        <w:t>3.2.6</w:t>
      </w:r>
      <w:r w:rsidRPr="00A87926">
        <w:rPr>
          <w:color w:val="000000" w:themeColor="text1"/>
        </w:rPr>
        <w:tab/>
        <w:t xml:space="preserve">Le culot doit être robuste et solidement fixé sur l’ampoule </w:t>
      </w:r>
      <w:r w:rsidRPr="00A87926">
        <w:rPr>
          <w:b/>
          <w:bCs/>
          <w:color w:val="000000" w:themeColor="text1"/>
        </w:rPr>
        <w:t>de la source lumineuse à incandescence</w:t>
      </w:r>
      <w:r w:rsidRPr="00A87926">
        <w:rPr>
          <w:color w:val="000000" w:themeColor="text1"/>
        </w:rPr>
        <w:t>.</w:t>
      </w:r>
    </w:p>
    <w:p w14:paraId="1A8AEB6E" w14:textId="77777777" w:rsidR="00A34D73" w:rsidRPr="00A87926" w:rsidRDefault="00A34D73" w:rsidP="00A34D73">
      <w:pPr>
        <w:pStyle w:val="SingleTxtG"/>
        <w:ind w:left="2268" w:hanging="1134"/>
        <w:rPr>
          <w:color w:val="000000" w:themeColor="text1"/>
        </w:rPr>
      </w:pPr>
      <w:r w:rsidRPr="00A87926">
        <w:rPr>
          <w:strike/>
          <w:color w:val="000000" w:themeColor="text1"/>
        </w:rPr>
        <w:t>3.3.4</w:t>
      </w:r>
      <w:r w:rsidRPr="00A87926">
        <w:rPr>
          <w:b/>
          <w:bCs/>
          <w:color w:val="000000" w:themeColor="text1"/>
        </w:rPr>
        <w:t>3.2.7</w:t>
      </w:r>
      <w:r w:rsidRPr="00A87926">
        <w:rPr>
          <w:color w:val="000000" w:themeColor="text1"/>
        </w:rPr>
        <w:tab/>
        <w:t xml:space="preserve">La vérification de la conformité aux prescriptions des paragraphes </w:t>
      </w:r>
      <w:r w:rsidRPr="00A87926">
        <w:rPr>
          <w:strike/>
          <w:color w:val="000000" w:themeColor="text1"/>
        </w:rPr>
        <w:t>3.3.1</w:t>
      </w:r>
      <w:r w:rsidRPr="00A87926">
        <w:rPr>
          <w:color w:val="000000" w:themeColor="text1"/>
        </w:rPr>
        <w:t xml:space="preserve"> </w:t>
      </w:r>
      <w:r w:rsidRPr="00A87926">
        <w:rPr>
          <w:b/>
          <w:bCs/>
          <w:color w:val="000000" w:themeColor="text1"/>
        </w:rPr>
        <w:t>3.2.4</w:t>
      </w:r>
      <w:r w:rsidRPr="00A87926">
        <w:rPr>
          <w:color w:val="000000" w:themeColor="text1"/>
        </w:rPr>
        <w:t xml:space="preserve"> à </w:t>
      </w:r>
      <w:r w:rsidRPr="00A87926">
        <w:rPr>
          <w:strike/>
          <w:color w:val="000000" w:themeColor="text1"/>
        </w:rPr>
        <w:t>3.3.3</w:t>
      </w:r>
      <w:r w:rsidRPr="00A87926">
        <w:rPr>
          <w:color w:val="000000" w:themeColor="text1"/>
        </w:rPr>
        <w:t xml:space="preserve"> </w:t>
      </w:r>
      <w:r w:rsidRPr="00A87926">
        <w:rPr>
          <w:b/>
          <w:bCs/>
          <w:color w:val="000000" w:themeColor="text1"/>
        </w:rPr>
        <w:t>3.2.6</w:t>
      </w:r>
      <w:r w:rsidRPr="00A87926">
        <w:rPr>
          <w:color w:val="000000" w:themeColor="text1"/>
        </w:rPr>
        <w:t xml:space="preserve"> ci-dessus doit être effectuée par inspection visuelle, par contrôle des dimensions et, s’il y a lieu, au moyen d’un montage d’essai </w:t>
      </w:r>
      <w:r w:rsidRPr="00A87926">
        <w:rPr>
          <w:b/>
          <w:bCs/>
          <w:color w:val="000000" w:themeColor="text1"/>
        </w:rPr>
        <w:t>sur le support, comme décrit dans la publication 60061 de la CEI</w:t>
      </w:r>
      <w:r w:rsidRPr="00A87926">
        <w:rPr>
          <w:color w:val="000000" w:themeColor="text1"/>
        </w:rPr>
        <w:t>.</w:t>
      </w:r>
      <w:r w:rsidR="00834BD7">
        <w:rPr>
          <w:color w:val="000000" w:themeColor="text1"/>
        </w:rPr>
        <w:t> </w:t>
      </w:r>
      <w:r w:rsidRPr="00A87926">
        <w:rPr>
          <w:color w:val="000000" w:themeColor="text1"/>
        </w:rPr>
        <w:t>».</w:t>
      </w:r>
    </w:p>
    <w:p w14:paraId="5E769242" w14:textId="77777777" w:rsidR="00A34D73" w:rsidRPr="00A87926" w:rsidRDefault="00A34D73" w:rsidP="00834BD7">
      <w:pPr>
        <w:pStyle w:val="SingleTxtG"/>
      </w:pPr>
      <w:r w:rsidRPr="00834BD7">
        <w:rPr>
          <w:i/>
          <w:iCs/>
        </w:rPr>
        <w:t>Ajouter le nouveau paragraphe 3.3</w:t>
      </w:r>
      <w:r w:rsidRPr="00A87926">
        <w:t>, libellé comme suit</w:t>
      </w:r>
      <w:r>
        <w:t> :</w:t>
      </w:r>
    </w:p>
    <w:p w14:paraId="05D5C9C5" w14:textId="77777777" w:rsidR="00A34D73" w:rsidRPr="00834BD7" w:rsidRDefault="00A34D73" w:rsidP="00A34D73">
      <w:pPr>
        <w:pStyle w:val="SingleTxtG"/>
        <w:ind w:left="2268" w:hanging="1134"/>
        <w:rPr>
          <w:color w:val="000000" w:themeColor="text1"/>
        </w:rPr>
      </w:pPr>
      <w:r w:rsidRPr="00A87926">
        <w:rPr>
          <w:color w:val="000000" w:themeColor="text1"/>
        </w:rPr>
        <w:t>«</w:t>
      </w:r>
      <w:r w:rsidR="00834BD7">
        <w:rPr>
          <w:color w:val="000000" w:themeColor="text1"/>
        </w:rPr>
        <w:t> </w:t>
      </w:r>
      <w:r w:rsidRPr="00A87926">
        <w:rPr>
          <w:b/>
          <w:bCs/>
          <w:color w:val="000000" w:themeColor="text1"/>
        </w:rPr>
        <w:t>3.3</w:t>
      </w:r>
      <w:r w:rsidRPr="00A87926">
        <w:rPr>
          <w:b/>
          <w:bCs/>
          <w:color w:val="000000" w:themeColor="text1"/>
        </w:rPr>
        <w:tab/>
        <w:t>Sources lumineuses à incandescence (technologie de l’incandescence)</w:t>
      </w:r>
      <w:r w:rsidR="00834BD7">
        <w:rPr>
          <w:b/>
          <w:bCs/>
          <w:color w:val="000000" w:themeColor="text1"/>
        </w:rPr>
        <w:t> </w:t>
      </w:r>
      <w:r w:rsidRPr="00A87926">
        <w:rPr>
          <w:color w:val="000000" w:themeColor="text1"/>
        </w:rPr>
        <w:t>».</w:t>
      </w:r>
    </w:p>
    <w:p w14:paraId="75AA2B3B" w14:textId="77777777" w:rsidR="00A34D73" w:rsidRPr="00A87926" w:rsidRDefault="00A34D73" w:rsidP="00834BD7">
      <w:pPr>
        <w:pStyle w:val="SingleTxtG"/>
      </w:pPr>
      <w:r w:rsidRPr="00834BD7">
        <w:rPr>
          <w:i/>
          <w:iCs/>
        </w:rPr>
        <w:t>Les paragraphes 3.4 à 3.10, y compris les alinéas et les références</w:t>
      </w:r>
      <w:r w:rsidRPr="00A87926">
        <w:t>, deviennent les paragraphes 3.3.1 à 3.3.7 respectivement.</w:t>
      </w:r>
    </w:p>
    <w:p w14:paraId="1C497E22" w14:textId="77777777" w:rsidR="00A34D73" w:rsidRPr="00A87926" w:rsidRDefault="00A34D73" w:rsidP="00834BD7">
      <w:pPr>
        <w:pStyle w:val="SingleTxtG"/>
      </w:pPr>
      <w:r w:rsidRPr="00834BD7">
        <w:rPr>
          <w:i/>
          <w:iCs/>
        </w:rPr>
        <w:t>Paragraphe 3.3.3.3 (dans la nouvelle numérotation)</w:t>
      </w:r>
      <w:r w:rsidRPr="00A87926">
        <w:t>, lire</w:t>
      </w:r>
      <w:r>
        <w:t> :</w:t>
      </w:r>
    </w:p>
    <w:p w14:paraId="4A789007" w14:textId="77777777" w:rsidR="00A34D73" w:rsidRPr="00A87926" w:rsidRDefault="00A34D73" w:rsidP="00A34D73">
      <w:pPr>
        <w:pStyle w:val="SingleTxtG"/>
        <w:ind w:left="2268" w:hanging="1134"/>
        <w:rPr>
          <w:color w:val="000000" w:themeColor="text1"/>
        </w:rPr>
      </w:pPr>
      <w:r w:rsidRPr="00A87926">
        <w:rPr>
          <w:color w:val="000000" w:themeColor="text1"/>
        </w:rPr>
        <w:t>«</w:t>
      </w:r>
      <w:r w:rsidR="00834BD7">
        <w:rPr>
          <w:color w:val="000000" w:themeColor="text1"/>
        </w:rPr>
        <w:t> </w:t>
      </w:r>
      <w:r w:rsidRPr="00A87926">
        <w:rPr>
          <w:color w:val="000000" w:themeColor="text1"/>
        </w:rPr>
        <w:t>3.3.3.3</w:t>
      </w:r>
      <w:r w:rsidRPr="00A87926">
        <w:rPr>
          <w:color w:val="000000" w:themeColor="text1"/>
        </w:rPr>
        <w:tab/>
        <w:t>La couleur de la lumière émise doit être mesurée selon la méthode définie à l’annexe 5. Chaque valeur mesurée doit se situer dans la zone de chromaticité requise</w:t>
      </w:r>
      <w:r w:rsidRPr="00834BD7">
        <w:rPr>
          <w:color w:val="000000" w:themeColor="text1"/>
          <w:sz w:val="18"/>
          <w:szCs w:val="18"/>
          <w:vertAlign w:val="superscript"/>
        </w:rPr>
        <w:t>7</w:t>
      </w:r>
      <w:r w:rsidRPr="00A87926">
        <w:rPr>
          <w:color w:val="000000" w:themeColor="text1"/>
        </w:rPr>
        <w:t xml:space="preserve">. En outre, dans le cas des sources lumineuses à incandescence émettant une lumière blanche, les valeurs mesurées ne doivent pas s’écarter de plus de 0,020 unité, sur l’axe des abscisses et/ou des ordonnées, d’un point choisi sur le lieu de Planck (CEI </w:t>
      </w:r>
      <w:r w:rsidRPr="00A87926">
        <w:rPr>
          <w:b/>
          <w:bCs/>
          <w:color w:val="000000" w:themeColor="text1"/>
        </w:rPr>
        <w:t>015</w:t>
      </w:r>
      <w:r>
        <w:rPr>
          <w:b/>
          <w:bCs/>
          <w:color w:val="000000" w:themeColor="text1"/>
        </w:rPr>
        <w:t>:</w:t>
      </w:r>
      <w:r w:rsidRPr="00A87926">
        <w:rPr>
          <w:b/>
          <w:bCs/>
          <w:color w:val="000000" w:themeColor="text1"/>
        </w:rPr>
        <w:t>2018</w:t>
      </w:r>
      <w:r w:rsidRPr="00A87926">
        <w:rPr>
          <w:color w:val="000000" w:themeColor="text1"/>
        </w:rPr>
        <w:t xml:space="preserve">, </w:t>
      </w:r>
      <w:r w:rsidRPr="00A87926">
        <w:rPr>
          <w:strike/>
          <w:color w:val="000000" w:themeColor="text1"/>
        </w:rPr>
        <w:t>3</w:t>
      </w:r>
      <w:r w:rsidRPr="00A87926">
        <w:rPr>
          <w:strike/>
          <w:color w:val="000000" w:themeColor="text1"/>
          <w:vertAlign w:val="superscript"/>
        </w:rPr>
        <w:t>e</w:t>
      </w:r>
      <w:r w:rsidRPr="00A87926">
        <w:rPr>
          <w:color w:val="000000" w:themeColor="text1"/>
        </w:rPr>
        <w:t xml:space="preserve"> </w:t>
      </w:r>
      <w:r w:rsidRPr="00A87926">
        <w:rPr>
          <w:b/>
          <w:bCs/>
          <w:color w:val="000000" w:themeColor="text1"/>
        </w:rPr>
        <w:t>4</w:t>
      </w:r>
      <w:r w:rsidRPr="00A87926">
        <w:rPr>
          <w:b/>
          <w:bCs/>
          <w:color w:val="000000" w:themeColor="text1"/>
          <w:vertAlign w:val="superscript"/>
        </w:rPr>
        <w:t>e</w:t>
      </w:r>
      <w:r w:rsidRPr="00A87926">
        <w:rPr>
          <w:color w:val="000000" w:themeColor="text1"/>
        </w:rPr>
        <w:t xml:space="preserve"> éd.). Les sources lumineuses à incandescence destinées aux dispositifs de signalisation lumineuse doivent être conformes aux exigences énoncées au paragraphe 4.4.2 de la publication 60809 de la CEI, troisième édition.</w:t>
      </w:r>
    </w:p>
    <w:p w14:paraId="0E3A46CB" w14:textId="77777777" w:rsidR="00A34D73" w:rsidRPr="00A87926" w:rsidRDefault="00A34D73" w:rsidP="00B246EE">
      <w:pPr>
        <w:pStyle w:val="para"/>
        <w:spacing w:line="220" w:lineRule="atLeast"/>
        <w:ind w:left="2552" w:hanging="284"/>
        <w:rPr>
          <w:color w:val="000000" w:themeColor="text1"/>
        </w:rPr>
      </w:pPr>
      <w:r w:rsidRPr="00B246EE">
        <w:rPr>
          <w:b/>
          <w:bCs/>
          <w:color w:val="000000" w:themeColor="text1"/>
          <w:sz w:val="18"/>
          <w:szCs w:val="18"/>
          <w:vertAlign w:val="superscript"/>
        </w:rPr>
        <w:t>7</w:t>
      </w:r>
      <w:r w:rsidRPr="00B246EE">
        <w:rPr>
          <w:color w:val="000000" w:themeColor="text1"/>
          <w:sz w:val="18"/>
          <w:szCs w:val="18"/>
        </w:rPr>
        <w:tab/>
        <w:t>Afin de satisfaire aux exigences relatives à la conformité de production, en ce qui concerne les couleurs jaune-auto et rouge uniquement, au moins 80</w:t>
      </w:r>
      <w:r w:rsidR="00834BD7" w:rsidRPr="00B246EE">
        <w:rPr>
          <w:color w:val="000000" w:themeColor="text1"/>
          <w:sz w:val="18"/>
          <w:szCs w:val="18"/>
        </w:rPr>
        <w:t> </w:t>
      </w:r>
      <w:r w:rsidRPr="00B246EE">
        <w:rPr>
          <w:color w:val="000000" w:themeColor="text1"/>
          <w:sz w:val="18"/>
          <w:szCs w:val="18"/>
        </w:rPr>
        <w:t>% des valeurs mesurées doivent se situer dans la zone de chromaticité requise.</w:t>
      </w:r>
      <w:r w:rsidR="00834BD7">
        <w:rPr>
          <w:color w:val="000000" w:themeColor="text1"/>
        </w:rPr>
        <w:t> ».</w:t>
      </w:r>
    </w:p>
    <w:p w14:paraId="6CBAA2F3" w14:textId="77777777" w:rsidR="00A34D73" w:rsidRPr="00A87926" w:rsidRDefault="00A34D73" w:rsidP="00834BD7">
      <w:pPr>
        <w:pStyle w:val="SingleTxtG"/>
      </w:pPr>
      <w:r w:rsidRPr="00834BD7">
        <w:rPr>
          <w:i/>
          <w:iCs/>
        </w:rPr>
        <w:lastRenderedPageBreak/>
        <w:t>Ajouter le nouveau paragraphe 3.4</w:t>
      </w:r>
      <w:r w:rsidRPr="00A87926">
        <w:t>, libellé comme suit</w:t>
      </w:r>
      <w:r>
        <w:t> :</w:t>
      </w:r>
    </w:p>
    <w:p w14:paraId="4F0A2FE0" w14:textId="77777777" w:rsidR="00A34D73" w:rsidRPr="00A87926" w:rsidRDefault="00A34D73" w:rsidP="00A34D73">
      <w:pPr>
        <w:pStyle w:val="SingleTxtG"/>
        <w:ind w:left="2268" w:hanging="1134"/>
        <w:rPr>
          <w:b/>
          <w:bCs/>
          <w:color w:val="000000" w:themeColor="text1"/>
        </w:rPr>
      </w:pPr>
      <w:r w:rsidRPr="00A87926">
        <w:rPr>
          <w:color w:val="000000" w:themeColor="text1"/>
        </w:rPr>
        <w:t>«</w:t>
      </w:r>
      <w:r w:rsidR="00834BD7">
        <w:rPr>
          <w:color w:val="000000" w:themeColor="text1"/>
        </w:rPr>
        <w:t> </w:t>
      </w:r>
      <w:r w:rsidRPr="00A87926">
        <w:rPr>
          <w:b/>
          <w:bCs/>
          <w:color w:val="000000" w:themeColor="text1"/>
        </w:rPr>
        <w:t>3.4</w:t>
      </w:r>
      <w:r w:rsidRPr="00A87926">
        <w:rPr>
          <w:b/>
          <w:bCs/>
          <w:color w:val="000000" w:themeColor="text1"/>
        </w:rPr>
        <w:tab/>
        <w:t>Sources lumineuses à DEL de remplacement (technologie des DEL)</w:t>
      </w:r>
    </w:p>
    <w:p w14:paraId="54DB77EB" w14:textId="77777777" w:rsidR="00A34D73" w:rsidRPr="00A87926" w:rsidRDefault="00A34D73" w:rsidP="00A34D73">
      <w:pPr>
        <w:pStyle w:val="SingleTxtG"/>
        <w:ind w:left="2268" w:hanging="1134"/>
        <w:rPr>
          <w:b/>
          <w:bCs/>
          <w:color w:val="000000" w:themeColor="text1"/>
        </w:rPr>
      </w:pPr>
      <w:r w:rsidRPr="00A87926">
        <w:rPr>
          <w:b/>
          <w:bCs/>
          <w:color w:val="000000" w:themeColor="text1"/>
        </w:rPr>
        <w:t>3.4.1</w:t>
      </w:r>
      <w:r w:rsidRPr="00A87926">
        <w:rPr>
          <w:b/>
          <w:bCs/>
          <w:color w:val="000000" w:themeColor="text1"/>
        </w:rPr>
        <w:tab/>
        <w:t>Essais</w:t>
      </w:r>
    </w:p>
    <w:p w14:paraId="02946085" w14:textId="77777777" w:rsidR="00A34D73" w:rsidRPr="00A87926" w:rsidRDefault="00A34D73" w:rsidP="00A34D73">
      <w:pPr>
        <w:pStyle w:val="SingleTxtG"/>
        <w:ind w:left="2268" w:hanging="1134"/>
        <w:rPr>
          <w:b/>
          <w:bCs/>
          <w:color w:val="000000" w:themeColor="text1"/>
        </w:rPr>
      </w:pPr>
      <w:r w:rsidRPr="00A87926">
        <w:rPr>
          <w:b/>
          <w:bCs/>
          <w:color w:val="000000" w:themeColor="text1"/>
        </w:rPr>
        <w:t>3.4.1.1</w:t>
      </w:r>
      <w:r w:rsidRPr="00A87926">
        <w:rPr>
          <w:b/>
          <w:bCs/>
          <w:color w:val="000000" w:themeColor="text1"/>
        </w:rPr>
        <w:tab/>
        <w:t xml:space="preserve">Les </w:t>
      </w:r>
      <w:bookmarkStart w:id="5" w:name="_Hlk49501599"/>
      <w:r w:rsidRPr="00A87926">
        <w:rPr>
          <w:b/>
          <w:bCs/>
          <w:color w:val="000000" w:themeColor="text1"/>
        </w:rPr>
        <w:t xml:space="preserve">sources lumineuses à DEL de remplacement </w:t>
      </w:r>
      <w:bookmarkEnd w:id="5"/>
      <w:r w:rsidRPr="00A87926">
        <w:rPr>
          <w:b/>
          <w:bCs/>
          <w:color w:val="000000" w:themeColor="text1"/>
        </w:rPr>
        <w:t>doivent être préalablement vieillies à leur tension d’essai pendant au moins quarante-huit heures. Pour les sources lumineuses à DEL de remplacement de sources lumineuses à deux filaments, chaque fonction doit être vieillie séparément.</w:t>
      </w:r>
    </w:p>
    <w:p w14:paraId="1147823F" w14:textId="77777777" w:rsidR="00A34D73" w:rsidRPr="00A87926" w:rsidRDefault="00A34D73" w:rsidP="00A34D73">
      <w:pPr>
        <w:pStyle w:val="SingleTxtG"/>
        <w:ind w:left="2268" w:hanging="1134"/>
        <w:rPr>
          <w:b/>
          <w:bCs/>
          <w:color w:val="000000" w:themeColor="text1"/>
        </w:rPr>
      </w:pPr>
      <w:r w:rsidRPr="00A87926">
        <w:rPr>
          <w:b/>
          <w:bCs/>
          <w:color w:val="000000" w:themeColor="text1"/>
        </w:rPr>
        <w:t>3.4.1.2</w:t>
      </w:r>
      <w:r w:rsidRPr="00A87926">
        <w:rPr>
          <w:b/>
          <w:bCs/>
          <w:color w:val="000000" w:themeColor="text1"/>
        </w:rPr>
        <w:tab/>
        <w:t>Sauf indication contraire, les mesures électriques et photométriques doivent être effectuées à la (aux) tension(s) d’essai.</w:t>
      </w:r>
    </w:p>
    <w:p w14:paraId="7F5C59A4" w14:textId="77777777" w:rsidR="00A34D73" w:rsidRPr="00A87926" w:rsidRDefault="00A34D73" w:rsidP="00A34D73">
      <w:pPr>
        <w:pStyle w:val="SingleTxtG"/>
        <w:ind w:left="2268" w:hanging="1134"/>
        <w:rPr>
          <w:b/>
          <w:bCs/>
          <w:color w:val="000000" w:themeColor="text1"/>
        </w:rPr>
      </w:pPr>
      <w:r w:rsidRPr="00A87926">
        <w:rPr>
          <w:b/>
          <w:bCs/>
          <w:color w:val="000000" w:themeColor="text1"/>
        </w:rPr>
        <w:t>3.4.1.3</w:t>
      </w:r>
      <w:r w:rsidRPr="00A87926">
        <w:rPr>
          <w:b/>
          <w:bCs/>
          <w:color w:val="000000" w:themeColor="text1"/>
        </w:rPr>
        <w:tab/>
        <w:t>Les mesures électriques spécifiées dans l’annexe 6 doivent être effectuées avec des instruments de mesure de la classe 0.2 au moins (précision de 0,2</w:t>
      </w:r>
      <w:r w:rsidR="00834BD7">
        <w:rPr>
          <w:b/>
          <w:bCs/>
          <w:color w:val="000000" w:themeColor="text1"/>
        </w:rPr>
        <w:t> </w:t>
      </w:r>
      <w:r w:rsidRPr="00A87926">
        <w:rPr>
          <w:b/>
          <w:bCs/>
          <w:color w:val="000000" w:themeColor="text1"/>
        </w:rPr>
        <w:t>% sur toute l’échelle).</w:t>
      </w:r>
    </w:p>
    <w:p w14:paraId="14E7E69C" w14:textId="77777777" w:rsidR="00A34D73" w:rsidRPr="00A87926" w:rsidRDefault="00A34D73" w:rsidP="00A34D73">
      <w:pPr>
        <w:pStyle w:val="SingleTxtG"/>
        <w:ind w:left="2268" w:hanging="1134"/>
        <w:rPr>
          <w:b/>
          <w:bCs/>
          <w:color w:val="000000" w:themeColor="text1"/>
        </w:rPr>
      </w:pPr>
      <w:r w:rsidRPr="00A87926">
        <w:rPr>
          <w:b/>
          <w:bCs/>
          <w:color w:val="000000" w:themeColor="text1"/>
        </w:rPr>
        <w:t>3.4.2</w:t>
      </w:r>
      <w:r w:rsidRPr="00A87926">
        <w:rPr>
          <w:b/>
          <w:bCs/>
          <w:color w:val="000000" w:themeColor="text1"/>
        </w:rPr>
        <w:tab/>
        <w:t>Position et dimensions de la zone d’émission de la lumière</w:t>
      </w:r>
    </w:p>
    <w:p w14:paraId="1F86B63B" w14:textId="77777777" w:rsidR="00A34D73" w:rsidRPr="00A87926" w:rsidRDefault="00A34D73" w:rsidP="00A34D73">
      <w:pPr>
        <w:pStyle w:val="SingleTxtG"/>
        <w:ind w:left="2268" w:hanging="1134"/>
        <w:rPr>
          <w:b/>
          <w:bCs/>
          <w:color w:val="000000" w:themeColor="text1"/>
        </w:rPr>
      </w:pPr>
      <w:r w:rsidRPr="00A87926">
        <w:rPr>
          <w:b/>
          <w:bCs/>
          <w:color w:val="000000" w:themeColor="text1"/>
        </w:rPr>
        <w:t>3.4.2.1</w:t>
      </w:r>
      <w:r w:rsidRPr="00A87926">
        <w:rPr>
          <w:b/>
          <w:bCs/>
          <w:color w:val="000000" w:themeColor="text1"/>
        </w:rPr>
        <w:tab/>
        <w:t>La position et les dimensions de la zone d’émission de la lumière doivent satisfaire aux prescriptions indiquées sur la feuille de données pertinente de l’annexe 1.</w:t>
      </w:r>
    </w:p>
    <w:p w14:paraId="0E09BAD2" w14:textId="77777777" w:rsidR="00A34D73" w:rsidRPr="00A87926" w:rsidRDefault="00A34D73" w:rsidP="00A34D73">
      <w:pPr>
        <w:pStyle w:val="SingleTxtG"/>
        <w:ind w:left="2268" w:hanging="1134"/>
        <w:rPr>
          <w:b/>
          <w:bCs/>
          <w:color w:val="000000" w:themeColor="text1"/>
        </w:rPr>
      </w:pPr>
      <w:r w:rsidRPr="00A87926">
        <w:rPr>
          <w:b/>
          <w:bCs/>
          <w:color w:val="000000" w:themeColor="text1"/>
        </w:rPr>
        <w:t>3.4.2.2</w:t>
      </w:r>
      <w:r w:rsidRPr="00A87926">
        <w:rPr>
          <w:b/>
          <w:bCs/>
          <w:color w:val="000000" w:themeColor="text1"/>
        </w:rPr>
        <w:tab/>
        <w:t>La mesure doit être effectuée après que la source lumineuse à DEL a été vieillie conformément au paragraphe 3.4.1.1</w:t>
      </w:r>
    </w:p>
    <w:p w14:paraId="2650C569" w14:textId="77777777" w:rsidR="00A34D73" w:rsidRPr="00A87926" w:rsidRDefault="00A34D73" w:rsidP="00A34D73">
      <w:pPr>
        <w:pStyle w:val="SingleTxtG"/>
        <w:ind w:left="2268" w:hanging="1134"/>
        <w:rPr>
          <w:b/>
          <w:bCs/>
          <w:color w:val="000000" w:themeColor="text1"/>
        </w:rPr>
      </w:pPr>
      <w:r w:rsidRPr="00A87926">
        <w:rPr>
          <w:b/>
          <w:bCs/>
          <w:color w:val="000000" w:themeColor="text1"/>
        </w:rPr>
        <w:t>3.4.3</w:t>
      </w:r>
      <w:r w:rsidRPr="00A87926">
        <w:rPr>
          <w:b/>
          <w:bCs/>
          <w:color w:val="000000" w:themeColor="text1"/>
        </w:rPr>
        <w:tab/>
        <w:t>Flux lumineux</w:t>
      </w:r>
    </w:p>
    <w:p w14:paraId="03B20CB0" w14:textId="77777777" w:rsidR="00A34D73" w:rsidRPr="00A87926" w:rsidRDefault="00A34D73" w:rsidP="00A34D73">
      <w:pPr>
        <w:pStyle w:val="SingleTxtG"/>
        <w:ind w:left="2268" w:hanging="1134"/>
        <w:rPr>
          <w:b/>
          <w:bCs/>
          <w:color w:val="000000" w:themeColor="text1"/>
        </w:rPr>
      </w:pPr>
      <w:r w:rsidRPr="00A87926">
        <w:rPr>
          <w:b/>
          <w:bCs/>
          <w:color w:val="000000" w:themeColor="text1"/>
        </w:rPr>
        <w:t>3.4.3.1</w:t>
      </w:r>
      <w:r w:rsidRPr="00A87926">
        <w:rPr>
          <w:b/>
          <w:bCs/>
          <w:color w:val="000000" w:themeColor="text1"/>
        </w:rPr>
        <w:tab/>
      </w:r>
      <w:bookmarkStart w:id="6" w:name="_Hlk49518645"/>
      <w:r w:rsidRPr="00A87926">
        <w:rPr>
          <w:b/>
          <w:bCs/>
          <w:color w:val="000000" w:themeColor="text1"/>
        </w:rPr>
        <w:t xml:space="preserve">Lorsqu’il est mesuré dans les conditions spécifiées à l’annexe 6, </w:t>
      </w:r>
      <w:bookmarkEnd w:id="6"/>
      <w:r w:rsidRPr="00A87926">
        <w:rPr>
          <w:b/>
          <w:bCs/>
          <w:color w:val="000000" w:themeColor="text1"/>
        </w:rPr>
        <w:t>le flux lumineux doit demeurer en deçà des limites indiquées sur la feuille de données pertinente de l’annexe 1.</w:t>
      </w:r>
    </w:p>
    <w:p w14:paraId="609D709C" w14:textId="77777777" w:rsidR="00A34D73" w:rsidRPr="00A87926" w:rsidRDefault="00A34D73" w:rsidP="00A34D73">
      <w:pPr>
        <w:pStyle w:val="SingleTxtG"/>
        <w:ind w:left="2268" w:hanging="1134"/>
        <w:rPr>
          <w:b/>
          <w:bCs/>
          <w:color w:val="000000" w:themeColor="text1"/>
        </w:rPr>
      </w:pPr>
      <w:r w:rsidRPr="00A87926">
        <w:rPr>
          <w:b/>
          <w:bCs/>
          <w:color w:val="000000" w:themeColor="text1"/>
        </w:rPr>
        <w:t>3.4.3.2</w:t>
      </w:r>
      <w:r w:rsidRPr="00A87926">
        <w:rPr>
          <w:b/>
          <w:bCs/>
          <w:color w:val="000000" w:themeColor="text1"/>
        </w:rPr>
        <w:tab/>
        <w:t>La mesure doit être effectuée après que la source lumineuse à DEL a été vieillie conformément au 3.4.1.1.</w:t>
      </w:r>
    </w:p>
    <w:p w14:paraId="12F6051D" w14:textId="77777777" w:rsidR="00A34D73" w:rsidRPr="00A87926" w:rsidRDefault="00A34D73" w:rsidP="00A34D73">
      <w:pPr>
        <w:pStyle w:val="SingleTxtG"/>
        <w:ind w:left="2268" w:hanging="1134"/>
        <w:rPr>
          <w:b/>
          <w:bCs/>
          <w:color w:val="000000" w:themeColor="text1"/>
        </w:rPr>
      </w:pPr>
      <w:r w:rsidRPr="00A87926">
        <w:rPr>
          <w:b/>
          <w:bCs/>
          <w:color w:val="000000" w:themeColor="text1"/>
        </w:rPr>
        <w:t>3.4.4</w:t>
      </w:r>
      <w:r w:rsidRPr="00A87926">
        <w:rPr>
          <w:b/>
          <w:bCs/>
          <w:color w:val="000000" w:themeColor="text1"/>
        </w:rPr>
        <w:tab/>
        <w:t>Répartition de l’intensité lumineuse normalisée ou répartition du flux lumineux cumulé</w:t>
      </w:r>
    </w:p>
    <w:p w14:paraId="032EE75B" w14:textId="77777777" w:rsidR="00A34D73" w:rsidRPr="00A87926" w:rsidRDefault="00A34D73" w:rsidP="00A34D73">
      <w:pPr>
        <w:pStyle w:val="SingleTxtG"/>
        <w:ind w:left="2268" w:hanging="1134"/>
        <w:rPr>
          <w:b/>
          <w:bCs/>
          <w:color w:val="000000" w:themeColor="text1"/>
        </w:rPr>
      </w:pPr>
      <w:r w:rsidRPr="00A87926">
        <w:rPr>
          <w:b/>
          <w:bCs/>
          <w:color w:val="000000" w:themeColor="text1"/>
        </w:rPr>
        <w:t>3.4.4.1</w:t>
      </w:r>
      <w:r w:rsidRPr="00A87926">
        <w:rPr>
          <w:b/>
          <w:bCs/>
          <w:color w:val="000000" w:themeColor="text1"/>
        </w:rPr>
        <w:tab/>
        <w:t>Lorsqu’elle est mesurée dans les conditions d’essai spécifiées à l’annexe 6, la répartition de l’intensité lumineuse normalisée ou du flux lumineux cumulé doit demeurer en deçà des limites indiquées sur la feuille de données pertinente de l’annexe 1.</w:t>
      </w:r>
    </w:p>
    <w:p w14:paraId="396E3BEA" w14:textId="77777777" w:rsidR="00A34D73" w:rsidRPr="00A87926" w:rsidRDefault="00A34D73" w:rsidP="00A34D73">
      <w:pPr>
        <w:pStyle w:val="SingleTxtG"/>
        <w:ind w:left="2268" w:hanging="1134"/>
        <w:rPr>
          <w:b/>
          <w:bCs/>
          <w:color w:val="000000" w:themeColor="text1"/>
        </w:rPr>
      </w:pPr>
      <w:r w:rsidRPr="00A87926">
        <w:rPr>
          <w:b/>
          <w:bCs/>
          <w:color w:val="000000" w:themeColor="text1"/>
        </w:rPr>
        <w:t>3.4.4.2</w:t>
      </w:r>
      <w:r w:rsidRPr="00A87926">
        <w:rPr>
          <w:b/>
          <w:bCs/>
          <w:color w:val="000000" w:themeColor="text1"/>
        </w:rPr>
        <w:tab/>
        <w:t>La mesure doit être effectuée après que la source lumineuse à DEL a été vieillie conformément au paragraphe 3.4.1.1.</w:t>
      </w:r>
    </w:p>
    <w:p w14:paraId="54FD6024" w14:textId="77777777" w:rsidR="00A34D73" w:rsidRPr="00A87926" w:rsidRDefault="00A34D73" w:rsidP="00A34D73">
      <w:pPr>
        <w:pStyle w:val="SingleTxtG"/>
        <w:ind w:left="2268" w:hanging="1134"/>
        <w:rPr>
          <w:b/>
          <w:bCs/>
          <w:color w:val="000000" w:themeColor="text1"/>
        </w:rPr>
      </w:pPr>
      <w:r w:rsidRPr="00A87926">
        <w:rPr>
          <w:b/>
          <w:bCs/>
          <w:color w:val="000000" w:themeColor="text1"/>
        </w:rPr>
        <w:t>3.4.5</w:t>
      </w:r>
      <w:r w:rsidRPr="00A87926">
        <w:rPr>
          <w:b/>
          <w:bCs/>
          <w:color w:val="000000" w:themeColor="text1"/>
        </w:rPr>
        <w:tab/>
        <w:t>Couleur</w:t>
      </w:r>
    </w:p>
    <w:p w14:paraId="175E37A5" w14:textId="77777777" w:rsidR="00A34D73" w:rsidRPr="00A87926" w:rsidRDefault="00A34D73" w:rsidP="00A34D73">
      <w:pPr>
        <w:pStyle w:val="SingleTxtG"/>
        <w:ind w:left="2268" w:hanging="1134"/>
        <w:rPr>
          <w:b/>
          <w:bCs/>
          <w:color w:val="000000" w:themeColor="text1"/>
        </w:rPr>
      </w:pPr>
      <w:r w:rsidRPr="00A87926">
        <w:rPr>
          <w:b/>
          <w:bCs/>
          <w:color w:val="000000" w:themeColor="text1"/>
        </w:rPr>
        <w:t>3.4.5.1</w:t>
      </w:r>
      <w:r w:rsidRPr="00A87926">
        <w:rPr>
          <w:b/>
          <w:bCs/>
          <w:color w:val="000000" w:themeColor="text1"/>
        </w:rPr>
        <w:tab/>
        <w:t>La couleur de la lumière émise par les sources lumineuses à DEL de remplacement doit être indiquée sur la feuille de données pertinente. Les définitions de la couleur de la lumière émise qui figurent dans le Règlement n</w:t>
      </w:r>
      <w:r w:rsidRPr="00A87926">
        <w:rPr>
          <w:b/>
          <w:bCs/>
          <w:color w:val="000000" w:themeColor="text1"/>
          <w:vertAlign w:val="superscript"/>
        </w:rPr>
        <w:t>o</w:t>
      </w:r>
      <w:r w:rsidR="00834BD7">
        <w:rPr>
          <w:b/>
          <w:bCs/>
          <w:color w:val="000000" w:themeColor="text1"/>
        </w:rPr>
        <w:t> </w:t>
      </w:r>
      <w:r w:rsidRPr="00A87926">
        <w:rPr>
          <w:b/>
          <w:bCs/>
          <w:color w:val="000000" w:themeColor="text1"/>
        </w:rPr>
        <w:t>48 et ses séries d’amendements en vigueur à la date de la demande d’homologation de type s’appliquent au présent Règlement.</w:t>
      </w:r>
    </w:p>
    <w:p w14:paraId="1489845E" w14:textId="77777777" w:rsidR="00A34D73" w:rsidRPr="00A87926" w:rsidRDefault="00A34D73" w:rsidP="00A34D73">
      <w:pPr>
        <w:pStyle w:val="SingleTxtG"/>
        <w:ind w:left="2268" w:hanging="1134"/>
        <w:rPr>
          <w:b/>
          <w:bCs/>
          <w:color w:val="000000" w:themeColor="text1"/>
        </w:rPr>
      </w:pPr>
      <w:r w:rsidRPr="00A87926">
        <w:rPr>
          <w:b/>
          <w:bCs/>
          <w:color w:val="000000" w:themeColor="text1"/>
        </w:rPr>
        <w:t>3.4.5.2</w:t>
      </w:r>
      <w:r w:rsidRPr="00A87926">
        <w:rPr>
          <w:b/>
          <w:bCs/>
          <w:color w:val="000000" w:themeColor="text1"/>
        </w:rPr>
        <w:tab/>
        <w:t>La couleur de la lumière émise doit être mesurée selon la méthode indiquée à l’annexe 6. La valeur intégrale mesurée des coordonnées chromatiques doit se situer dans l’intervalle de chromaticité requis.</w:t>
      </w:r>
    </w:p>
    <w:p w14:paraId="7AA7D24D" w14:textId="77777777" w:rsidR="00A34D73" w:rsidRPr="00A87926" w:rsidRDefault="00A34D73" w:rsidP="00A34D73">
      <w:pPr>
        <w:pStyle w:val="SingleTxtG"/>
        <w:ind w:left="2268" w:hanging="1134"/>
        <w:rPr>
          <w:b/>
          <w:bCs/>
          <w:color w:val="000000" w:themeColor="text1"/>
        </w:rPr>
      </w:pPr>
      <w:r w:rsidRPr="00A87926">
        <w:rPr>
          <w:b/>
          <w:bCs/>
          <w:color w:val="000000" w:themeColor="text1"/>
        </w:rPr>
        <w:t>3.4.5.2.1</w:t>
      </w:r>
      <w:r w:rsidRPr="00A87926">
        <w:rPr>
          <w:b/>
          <w:bCs/>
          <w:color w:val="000000" w:themeColor="text1"/>
        </w:rPr>
        <w:tab/>
      </w:r>
      <w:bookmarkStart w:id="7" w:name="_Hlk49505324"/>
      <w:r w:rsidRPr="00A87926">
        <w:rPr>
          <w:b/>
          <w:bCs/>
          <w:color w:val="000000" w:themeColor="text1"/>
        </w:rPr>
        <w:t xml:space="preserve">En outre, dans le cas des sources lumineuses à DEL de remplacement émettant une lumière blanche </w:t>
      </w:r>
      <w:bookmarkEnd w:id="7"/>
      <w:r w:rsidRPr="00A87926">
        <w:rPr>
          <w:b/>
          <w:bCs/>
          <w:color w:val="000000" w:themeColor="text1"/>
        </w:rPr>
        <w:t>qui sont destinées à être utilisées dans des dispositifs d’éclairage avant, la couleur doit être mesurée dans les directions correspondant à la répartition de l’intensité lumineuse telle qu’elle est indiquée sur la feuille de données pertinente, mais uniquement lorsque l’intensité lumineuse minimale spécifiée est supérieure à 50</w:t>
      </w:r>
      <w:r w:rsidR="00834BD7">
        <w:rPr>
          <w:b/>
          <w:bCs/>
          <w:color w:val="000000" w:themeColor="text1"/>
        </w:rPr>
        <w:t> </w:t>
      </w:r>
      <w:r w:rsidRPr="00A87926">
        <w:rPr>
          <w:b/>
          <w:bCs/>
          <w:color w:val="000000" w:themeColor="text1"/>
        </w:rPr>
        <w:t>cd/</w:t>
      </w:r>
      <w:proofErr w:type="spellStart"/>
      <w:r w:rsidRPr="00A87926">
        <w:rPr>
          <w:b/>
          <w:bCs/>
          <w:color w:val="000000" w:themeColor="text1"/>
        </w:rPr>
        <w:t>klm</w:t>
      </w:r>
      <w:proofErr w:type="spellEnd"/>
      <w:r w:rsidRPr="00A87926">
        <w:rPr>
          <w:b/>
          <w:bCs/>
          <w:color w:val="000000" w:themeColor="text1"/>
        </w:rPr>
        <w:t>. La valeur mesurée doit se situer dans la zone de chromaticité requise pour la lumière blanche.</w:t>
      </w:r>
    </w:p>
    <w:p w14:paraId="133BD11B" w14:textId="77777777" w:rsidR="00A34D73" w:rsidRPr="00A87926" w:rsidRDefault="00A34D73" w:rsidP="00A34D73">
      <w:pPr>
        <w:pStyle w:val="SingleTxtG"/>
        <w:ind w:left="2268" w:hanging="1134"/>
        <w:rPr>
          <w:b/>
          <w:bCs/>
          <w:color w:val="000000" w:themeColor="text1"/>
        </w:rPr>
      </w:pPr>
      <w:r w:rsidRPr="00A87926">
        <w:rPr>
          <w:b/>
          <w:bCs/>
          <w:color w:val="000000" w:themeColor="text1"/>
        </w:rPr>
        <w:lastRenderedPageBreak/>
        <w:t>3.4.5.3</w:t>
      </w:r>
      <w:r w:rsidRPr="00A87926">
        <w:rPr>
          <w:b/>
          <w:bCs/>
          <w:color w:val="000000" w:themeColor="text1"/>
        </w:rPr>
        <w:tab/>
        <w:t>En outre, dans le cas des sources lumineuses à DEL de remplacement émettant une lumière blanche, la composante rouge minimale de la lumière doit être telle que</w:t>
      </w:r>
      <w:r>
        <w:rPr>
          <w:b/>
          <w:bCs/>
          <w:color w:val="000000" w:themeColor="text1"/>
        </w:rPr>
        <w:t> :</w:t>
      </w:r>
    </w:p>
    <w:p w14:paraId="78D1B978" w14:textId="77777777" w:rsidR="00A34D73" w:rsidRPr="00A87926" w:rsidRDefault="00A34D73" w:rsidP="00834BD7">
      <w:pPr>
        <w:pStyle w:val="SingleTxtG"/>
        <w:jc w:val="center"/>
      </w:pPr>
      <w:r w:rsidRPr="00A87926">
        <w:object w:dxaOrig="3300" w:dyaOrig="1460" w14:anchorId="7D194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72.65pt" o:ole="" fillcolor="window">
            <v:imagedata r:id="rId9" o:title=""/>
          </v:shape>
          <o:OLEObject Type="Embed" ProgID="Equation.3" ShapeID="_x0000_i1025" DrawAspect="Content" ObjectID="_1660629590" r:id="rId10"/>
        </w:object>
      </w:r>
    </w:p>
    <w:p w14:paraId="20C5276F" w14:textId="77777777" w:rsidR="00A34D73" w:rsidRPr="00A87926" w:rsidRDefault="00A34D73" w:rsidP="00AD0AEE">
      <w:pPr>
        <w:pStyle w:val="SingleTxtG"/>
        <w:ind w:left="2268"/>
        <w:rPr>
          <w:b/>
          <w:bCs/>
          <w:color w:val="000000" w:themeColor="text1"/>
        </w:rPr>
      </w:pPr>
      <w:r w:rsidRPr="00A87926">
        <w:rPr>
          <w:b/>
          <w:bCs/>
          <w:color w:val="000000" w:themeColor="text1"/>
        </w:rPr>
        <w:t>où</w:t>
      </w:r>
      <w:r>
        <w:rPr>
          <w:b/>
          <w:bCs/>
          <w:color w:val="000000" w:themeColor="text1"/>
        </w:rPr>
        <w:t> :</w:t>
      </w:r>
    </w:p>
    <w:p w14:paraId="46868419" w14:textId="77777777" w:rsidR="00A34D73" w:rsidRPr="00A87926" w:rsidRDefault="00A34D73" w:rsidP="00AD0AEE">
      <w:pPr>
        <w:pStyle w:val="SingleTxtG"/>
        <w:ind w:left="2268"/>
        <w:rPr>
          <w:b/>
          <w:bCs/>
          <w:color w:val="000000" w:themeColor="text1"/>
        </w:rPr>
      </w:pPr>
      <w:proofErr w:type="spellStart"/>
      <w:r w:rsidRPr="00A87926">
        <w:rPr>
          <w:b/>
          <w:bCs/>
          <w:color w:val="000000" w:themeColor="text1"/>
        </w:rPr>
        <w:t>E</w:t>
      </w:r>
      <w:r w:rsidRPr="00A87926">
        <w:rPr>
          <w:b/>
          <w:bCs/>
          <w:color w:val="000000" w:themeColor="text1"/>
          <w:vertAlign w:val="subscript"/>
        </w:rPr>
        <w:t>e</w:t>
      </w:r>
      <w:proofErr w:type="spellEnd"/>
      <w:r w:rsidRPr="00A87926">
        <w:rPr>
          <w:b/>
          <w:bCs/>
          <w:color w:val="000000" w:themeColor="text1"/>
        </w:rPr>
        <w:t>(</w:t>
      </w:r>
      <w:r w:rsidRPr="00A87926">
        <w:rPr>
          <w:b/>
          <w:bCs/>
          <w:color w:val="000000" w:themeColor="text1"/>
        </w:rPr>
        <w:sym w:font="Symbol" w:char="F06C"/>
      </w:r>
      <w:r w:rsidRPr="00A87926">
        <w:rPr>
          <w:b/>
          <w:bCs/>
          <w:color w:val="000000" w:themeColor="text1"/>
        </w:rPr>
        <w:t>)</w:t>
      </w:r>
      <w:r w:rsidR="00834BD7">
        <w:rPr>
          <w:b/>
          <w:bCs/>
          <w:color w:val="000000" w:themeColor="text1"/>
        </w:rPr>
        <w:tab/>
      </w:r>
      <w:r w:rsidRPr="00A87926">
        <w:rPr>
          <w:b/>
          <w:bCs/>
          <w:color w:val="000000" w:themeColor="text1"/>
        </w:rPr>
        <w:t>(unité</w:t>
      </w:r>
      <w:r>
        <w:rPr>
          <w:b/>
          <w:bCs/>
          <w:color w:val="000000" w:themeColor="text1"/>
        </w:rPr>
        <w:t> :</w:t>
      </w:r>
      <w:r w:rsidRPr="00A87926">
        <w:rPr>
          <w:b/>
          <w:bCs/>
          <w:color w:val="000000" w:themeColor="text1"/>
        </w:rPr>
        <w:t xml:space="preserve"> W)</w:t>
      </w:r>
      <w:r w:rsidRPr="00A87926">
        <w:rPr>
          <w:b/>
          <w:bCs/>
          <w:color w:val="000000" w:themeColor="text1"/>
        </w:rPr>
        <w:tab/>
        <w:t>est la distribution spectrale de l’irradiance</w:t>
      </w:r>
      <w:r>
        <w:rPr>
          <w:b/>
          <w:bCs/>
          <w:color w:val="000000" w:themeColor="text1"/>
        </w:rPr>
        <w:t> ;</w:t>
      </w:r>
    </w:p>
    <w:p w14:paraId="31868475" w14:textId="77777777" w:rsidR="00A34D73" w:rsidRPr="00A87926" w:rsidRDefault="00A34D73" w:rsidP="00AD0AEE">
      <w:pPr>
        <w:pStyle w:val="SingleTxtG"/>
        <w:ind w:left="2268"/>
        <w:rPr>
          <w:b/>
          <w:bCs/>
          <w:color w:val="000000" w:themeColor="text1"/>
        </w:rPr>
      </w:pPr>
      <w:r w:rsidRPr="00A87926">
        <w:rPr>
          <w:b/>
          <w:bCs/>
          <w:color w:val="000000" w:themeColor="text1"/>
        </w:rPr>
        <w:t>V(</w:t>
      </w:r>
      <w:r w:rsidRPr="00A87926">
        <w:rPr>
          <w:b/>
          <w:bCs/>
          <w:color w:val="000000" w:themeColor="text1"/>
        </w:rPr>
        <w:sym w:font="Symbol" w:char="F06C"/>
      </w:r>
      <w:r w:rsidRPr="00A87926">
        <w:rPr>
          <w:b/>
          <w:bCs/>
          <w:color w:val="000000" w:themeColor="text1"/>
        </w:rPr>
        <w:t>)</w:t>
      </w:r>
      <w:r w:rsidRPr="00A87926">
        <w:rPr>
          <w:b/>
          <w:bCs/>
          <w:color w:val="000000" w:themeColor="text1"/>
        </w:rPr>
        <w:tab/>
        <w:t>(unité</w:t>
      </w:r>
      <w:r>
        <w:rPr>
          <w:b/>
          <w:bCs/>
          <w:color w:val="000000" w:themeColor="text1"/>
        </w:rPr>
        <w:t> :</w:t>
      </w:r>
      <w:r w:rsidRPr="00A87926">
        <w:rPr>
          <w:b/>
          <w:bCs/>
          <w:color w:val="000000" w:themeColor="text1"/>
        </w:rPr>
        <w:t xml:space="preserve"> 1)</w:t>
      </w:r>
      <w:r w:rsidRPr="00A87926">
        <w:rPr>
          <w:b/>
          <w:bCs/>
          <w:color w:val="000000" w:themeColor="text1"/>
        </w:rPr>
        <w:tab/>
        <w:t>est l’efficacité lumineuse spectrale</w:t>
      </w:r>
      <w:r>
        <w:rPr>
          <w:b/>
          <w:bCs/>
          <w:color w:val="000000" w:themeColor="text1"/>
        </w:rPr>
        <w:t> ;</w:t>
      </w:r>
    </w:p>
    <w:p w14:paraId="10943A06" w14:textId="77777777" w:rsidR="00A34D73" w:rsidRPr="00A87926" w:rsidRDefault="00A34D73" w:rsidP="00AD0AEE">
      <w:pPr>
        <w:pStyle w:val="SingleTxtG"/>
        <w:ind w:left="2268"/>
        <w:rPr>
          <w:b/>
          <w:bCs/>
          <w:color w:val="000000" w:themeColor="text1"/>
        </w:rPr>
      </w:pPr>
      <w:r w:rsidRPr="00A87926">
        <w:rPr>
          <w:b/>
          <w:bCs/>
          <w:color w:val="000000" w:themeColor="text1"/>
        </w:rPr>
        <w:sym w:font="Symbol" w:char="F06C"/>
      </w:r>
      <w:r w:rsidRPr="00A87926">
        <w:rPr>
          <w:b/>
          <w:bCs/>
          <w:color w:val="000000" w:themeColor="text1"/>
        </w:rPr>
        <w:tab/>
        <w:t>(unité</w:t>
      </w:r>
      <w:r>
        <w:rPr>
          <w:b/>
          <w:bCs/>
          <w:color w:val="000000" w:themeColor="text1"/>
        </w:rPr>
        <w:t> :</w:t>
      </w:r>
      <w:r w:rsidRPr="00A87926">
        <w:rPr>
          <w:b/>
          <w:bCs/>
          <w:color w:val="000000" w:themeColor="text1"/>
        </w:rPr>
        <w:t xml:space="preserve"> nm)</w:t>
      </w:r>
      <w:r w:rsidRPr="00A87926">
        <w:rPr>
          <w:b/>
          <w:bCs/>
          <w:color w:val="000000" w:themeColor="text1"/>
        </w:rPr>
        <w:tab/>
        <w:t>est la longueur d’onde.</w:t>
      </w:r>
    </w:p>
    <w:p w14:paraId="2182B087" w14:textId="77777777" w:rsidR="00A34D73" w:rsidRPr="00A87926" w:rsidRDefault="00A34D73" w:rsidP="00AD0AEE">
      <w:pPr>
        <w:pStyle w:val="SingleTxtG"/>
        <w:ind w:left="2268"/>
        <w:rPr>
          <w:b/>
          <w:bCs/>
          <w:color w:val="000000" w:themeColor="text1"/>
        </w:rPr>
      </w:pPr>
      <w:r w:rsidRPr="00A87926">
        <w:rPr>
          <w:b/>
          <w:bCs/>
          <w:color w:val="000000" w:themeColor="text1"/>
        </w:rPr>
        <w:t>Cette valeur doit être calculée à des intervalles d’un nanomètre.</w:t>
      </w:r>
    </w:p>
    <w:p w14:paraId="2DBAF54C" w14:textId="77777777" w:rsidR="00A34D73" w:rsidRPr="00A87926" w:rsidRDefault="00A34D73" w:rsidP="00A34D73">
      <w:pPr>
        <w:pStyle w:val="SingleTxtG"/>
        <w:ind w:left="2268" w:hanging="1134"/>
        <w:rPr>
          <w:b/>
          <w:bCs/>
          <w:color w:val="000000" w:themeColor="text1"/>
        </w:rPr>
      </w:pPr>
      <w:r w:rsidRPr="00A87926">
        <w:rPr>
          <w:b/>
          <w:bCs/>
          <w:color w:val="000000" w:themeColor="text1"/>
        </w:rPr>
        <w:t>3.4.5.4</w:t>
      </w:r>
      <w:r w:rsidRPr="00A87926">
        <w:rPr>
          <w:b/>
          <w:bCs/>
          <w:color w:val="000000" w:themeColor="text1"/>
        </w:rPr>
        <w:tab/>
        <w:t>La température de couleur proximale</w:t>
      </w:r>
      <w:r w:rsidRPr="00834BD7">
        <w:rPr>
          <w:b/>
          <w:bCs/>
          <w:color w:val="000000" w:themeColor="text1"/>
          <w:sz w:val="18"/>
          <w:szCs w:val="18"/>
          <w:vertAlign w:val="superscript"/>
        </w:rPr>
        <w:t>8</w:t>
      </w:r>
      <w:r w:rsidRPr="00A87926">
        <w:rPr>
          <w:b/>
          <w:bCs/>
          <w:color w:val="000000" w:themeColor="text1"/>
        </w:rPr>
        <w:t xml:space="preserve"> des sources lumineuses à DEL de remplacement émettant une lumière blanche ne doit pas être supérieure à 3</w:t>
      </w:r>
      <w:r w:rsidR="00834BD7">
        <w:rPr>
          <w:b/>
          <w:bCs/>
          <w:color w:val="000000" w:themeColor="text1"/>
        </w:rPr>
        <w:t> </w:t>
      </w:r>
      <w:r w:rsidRPr="00A87926">
        <w:rPr>
          <w:b/>
          <w:bCs/>
          <w:color w:val="000000" w:themeColor="text1"/>
        </w:rPr>
        <w:t>000</w:t>
      </w:r>
      <w:r w:rsidR="00834BD7">
        <w:rPr>
          <w:b/>
          <w:bCs/>
          <w:color w:val="000000" w:themeColor="text1"/>
        </w:rPr>
        <w:t xml:space="preserve"> </w:t>
      </w:r>
      <w:r w:rsidRPr="00A87926">
        <w:rPr>
          <w:b/>
          <w:bCs/>
          <w:color w:val="000000" w:themeColor="text1"/>
        </w:rPr>
        <w:t>K, sauf indication contraire dans la feuille de données pertinente de l’annexe 1.</w:t>
      </w:r>
    </w:p>
    <w:p w14:paraId="78613EAC" w14:textId="77777777" w:rsidR="00A34D73" w:rsidRPr="006B6616" w:rsidRDefault="00A34D73" w:rsidP="006B6616">
      <w:pPr>
        <w:pStyle w:val="para"/>
        <w:spacing w:line="220" w:lineRule="atLeast"/>
        <w:ind w:left="2552" w:hanging="284"/>
        <w:rPr>
          <w:b/>
          <w:bCs/>
          <w:color w:val="000000" w:themeColor="text1"/>
          <w:sz w:val="18"/>
          <w:szCs w:val="18"/>
          <w:lang w:val="en-US"/>
        </w:rPr>
      </w:pPr>
      <w:r w:rsidRPr="006B6616">
        <w:rPr>
          <w:b/>
          <w:bCs/>
          <w:color w:val="000000" w:themeColor="text1"/>
          <w:sz w:val="18"/>
          <w:szCs w:val="18"/>
          <w:vertAlign w:val="superscript"/>
          <w:lang w:val="en-US"/>
        </w:rPr>
        <w:t>8</w:t>
      </w:r>
      <w:r w:rsidRPr="006B6616">
        <w:rPr>
          <w:b/>
          <w:bCs/>
          <w:color w:val="000000" w:themeColor="text1"/>
          <w:sz w:val="18"/>
          <w:szCs w:val="18"/>
          <w:lang w:val="en-US"/>
        </w:rPr>
        <w:tab/>
        <w:t>CIE S 017/E</w:t>
      </w:r>
      <w:r w:rsidR="00834BD7" w:rsidRPr="006B6616">
        <w:rPr>
          <w:b/>
          <w:bCs/>
          <w:color w:val="000000" w:themeColor="text1"/>
          <w:sz w:val="18"/>
          <w:szCs w:val="18"/>
          <w:lang w:val="en-US"/>
        </w:rPr>
        <w:t> </w:t>
      </w:r>
      <w:r w:rsidRPr="006B6616">
        <w:rPr>
          <w:b/>
          <w:bCs/>
          <w:color w:val="000000" w:themeColor="text1"/>
          <w:sz w:val="18"/>
          <w:szCs w:val="18"/>
          <w:lang w:val="en-US"/>
        </w:rPr>
        <w:t xml:space="preserve">: 2011 : ILV : International Lighting Vocabulary, </w:t>
      </w:r>
      <w:proofErr w:type="spellStart"/>
      <w:r w:rsidRPr="006B6616">
        <w:rPr>
          <w:b/>
          <w:bCs/>
          <w:color w:val="000000" w:themeColor="text1"/>
          <w:sz w:val="18"/>
          <w:szCs w:val="18"/>
          <w:lang w:val="en-US"/>
        </w:rPr>
        <w:t>ou</w:t>
      </w:r>
      <w:proofErr w:type="spellEnd"/>
      <w:r w:rsidRPr="006B6616">
        <w:rPr>
          <w:b/>
          <w:bCs/>
          <w:color w:val="000000" w:themeColor="text1"/>
          <w:sz w:val="18"/>
          <w:szCs w:val="18"/>
          <w:lang w:val="en-US"/>
        </w:rPr>
        <w:t xml:space="preserve"> </w:t>
      </w:r>
      <w:proofErr w:type="spellStart"/>
      <w:r w:rsidRPr="006B6616">
        <w:rPr>
          <w:b/>
          <w:bCs/>
          <w:color w:val="000000" w:themeColor="text1"/>
          <w:sz w:val="18"/>
          <w:szCs w:val="18"/>
          <w:lang w:val="en-US"/>
        </w:rPr>
        <w:t>eILV</w:t>
      </w:r>
      <w:proofErr w:type="spellEnd"/>
      <w:r w:rsidRPr="006B6616">
        <w:rPr>
          <w:b/>
          <w:bCs/>
          <w:color w:val="000000" w:themeColor="text1"/>
          <w:sz w:val="18"/>
          <w:szCs w:val="18"/>
          <w:lang w:val="en-US"/>
        </w:rPr>
        <w:t xml:space="preserve"> ; </w:t>
      </w:r>
      <w:proofErr w:type="spellStart"/>
      <w:r w:rsidRPr="006B6616">
        <w:rPr>
          <w:b/>
          <w:bCs/>
          <w:color w:val="000000" w:themeColor="text1"/>
          <w:sz w:val="18"/>
          <w:szCs w:val="18"/>
          <w:lang w:val="en-US"/>
        </w:rPr>
        <w:t>terme</w:t>
      </w:r>
      <w:proofErr w:type="spellEnd"/>
      <w:r w:rsidRPr="006B6616">
        <w:rPr>
          <w:b/>
          <w:bCs/>
          <w:color w:val="000000" w:themeColor="text1"/>
          <w:sz w:val="18"/>
          <w:szCs w:val="18"/>
          <w:lang w:val="en-US"/>
        </w:rPr>
        <w:t xml:space="preserve"> 17-258 (correlated </w:t>
      </w:r>
      <w:proofErr w:type="spellStart"/>
      <w:r w:rsidRPr="006B6616">
        <w:rPr>
          <w:b/>
          <w:bCs/>
          <w:color w:val="000000" w:themeColor="text1"/>
          <w:sz w:val="18"/>
          <w:szCs w:val="18"/>
          <w:lang w:val="en-US"/>
        </w:rPr>
        <w:t>colour</w:t>
      </w:r>
      <w:proofErr w:type="spellEnd"/>
      <w:r w:rsidRPr="006B6616">
        <w:rPr>
          <w:b/>
          <w:bCs/>
          <w:color w:val="000000" w:themeColor="text1"/>
          <w:sz w:val="18"/>
          <w:szCs w:val="18"/>
          <w:lang w:val="en-US"/>
        </w:rPr>
        <w:t xml:space="preserve"> temperature).</w:t>
      </w:r>
    </w:p>
    <w:p w14:paraId="45AE3310" w14:textId="77777777" w:rsidR="00A34D73" w:rsidRPr="00A87926" w:rsidRDefault="00A34D73" w:rsidP="00A34D73">
      <w:pPr>
        <w:pStyle w:val="SingleTxtG"/>
        <w:ind w:left="2268" w:hanging="1134"/>
        <w:rPr>
          <w:b/>
          <w:bCs/>
          <w:color w:val="000000" w:themeColor="text1"/>
        </w:rPr>
      </w:pPr>
      <w:r w:rsidRPr="00A87926">
        <w:rPr>
          <w:b/>
          <w:bCs/>
          <w:color w:val="000000" w:themeColor="text1"/>
        </w:rPr>
        <w:t>3.4.6</w:t>
      </w:r>
      <w:r w:rsidRPr="00A87926">
        <w:rPr>
          <w:b/>
          <w:bCs/>
          <w:color w:val="000000" w:themeColor="text1"/>
        </w:rPr>
        <w:tab/>
        <w:t>Rayonnement ultraviolet</w:t>
      </w:r>
    </w:p>
    <w:p w14:paraId="46E9B9EA" w14:textId="77777777" w:rsidR="00A34D73" w:rsidRPr="00A87926" w:rsidRDefault="00A34D73" w:rsidP="00AD0AEE">
      <w:pPr>
        <w:pStyle w:val="SingleTxtG"/>
        <w:ind w:left="2268"/>
        <w:rPr>
          <w:b/>
          <w:bCs/>
          <w:color w:val="000000" w:themeColor="text1"/>
        </w:rPr>
      </w:pPr>
      <w:r w:rsidRPr="00A87926">
        <w:rPr>
          <w:b/>
          <w:bCs/>
          <w:color w:val="000000" w:themeColor="text1"/>
        </w:rPr>
        <w:t>Le rayonnement ultraviolet de la source lumineuse à DEL de remplacement doit être tel que la source lumineuse à DEL est du type à faible rayonnement ultraviolet, conformément à l’équation suivante</w:t>
      </w:r>
      <w:r>
        <w:rPr>
          <w:b/>
          <w:bCs/>
          <w:color w:val="000000" w:themeColor="text1"/>
        </w:rPr>
        <w:t> :</w:t>
      </w:r>
    </w:p>
    <w:p w14:paraId="0F8E1C54" w14:textId="77777777" w:rsidR="00A34D73" w:rsidRPr="00A87926" w:rsidRDefault="00A34D73" w:rsidP="00834BD7">
      <w:pPr>
        <w:pStyle w:val="SingleTxtG"/>
        <w:jc w:val="center"/>
        <w:rPr>
          <w:iCs/>
        </w:rPr>
      </w:pPr>
      <w:r w:rsidRPr="00A87926">
        <w:object w:dxaOrig="3980" w:dyaOrig="1540" w14:anchorId="4E9D0BDC">
          <v:shape id="_x0000_i1026" type="#_x0000_t75" style="width:206.6pt;height:79.5pt" o:ole="" fillcolor="window">
            <v:imagedata r:id="rId11" o:title=""/>
          </v:shape>
          <o:OLEObject Type="Embed" ProgID="Equation.3" ShapeID="_x0000_i1026" DrawAspect="Content" ObjectID="_1660629591" r:id="rId12"/>
        </w:object>
      </w:r>
    </w:p>
    <w:p w14:paraId="59E17F95" w14:textId="77777777" w:rsidR="00A34D73" w:rsidRPr="00A87926" w:rsidRDefault="00A34D73" w:rsidP="00AD0AEE">
      <w:pPr>
        <w:pStyle w:val="SingleTxtG"/>
        <w:ind w:left="2268"/>
        <w:rPr>
          <w:b/>
          <w:bCs/>
          <w:color w:val="000000" w:themeColor="text1"/>
        </w:rPr>
      </w:pPr>
      <w:r w:rsidRPr="00A87926">
        <w:rPr>
          <w:b/>
          <w:bCs/>
          <w:color w:val="000000" w:themeColor="text1"/>
        </w:rPr>
        <w:t>où</w:t>
      </w:r>
      <w:r>
        <w:rPr>
          <w:b/>
          <w:bCs/>
          <w:color w:val="000000" w:themeColor="text1"/>
        </w:rPr>
        <w:t> :</w:t>
      </w:r>
    </w:p>
    <w:p w14:paraId="3AE85264" w14:textId="77777777" w:rsidR="00A34D73" w:rsidRPr="00A87926" w:rsidRDefault="00A34D73" w:rsidP="00AD0AEE">
      <w:pPr>
        <w:pStyle w:val="SingleTxtG"/>
        <w:ind w:left="2268"/>
        <w:rPr>
          <w:b/>
          <w:bCs/>
          <w:color w:val="000000" w:themeColor="text1"/>
        </w:rPr>
      </w:pPr>
      <w:r w:rsidRPr="00A87926">
        <w:rPr>
          <w:b/>
          <w:bCs/>
          <w:color w:val="000000" w:themeColor="text1"/>
        </w:rPr>
        <w:t>S(</w:t>
      </w:r>
      <w:r w:rsidRPr="00A87926">
        <w:rPr>
          <w:b/>
          <w:bCs/>
          <w:color w:val="000000" w:themeColor="text1"/>
        </w:rPr>
        <w:sym w:font="Symbol" w:char="F06C"/>
      </w:r>
      <w:r w:rsidRPr="00A87926">
        <w:rPr>
          <w:b/>
          <w:bCs/>
          <w:color w:val="000000" w:themeColor="text1"/>
        </w:rPr>
        <w:t>)</w:t>
      </w:r>
      <w:r w:rsidR="00834BD7">
        <w:rPr>
          <w:b/>
          <w:bCs/>
          <w:color w:val="000000" w:themeColor="text1"/>
        </w:rPr>
        <w:tab/>
      </w:r>
      <w:r w:rsidRPr="00A87926">
        <w:rPr>
          <w:b/>
          <w:bCs/>
          <w:color w:val="000000" w:themeColor="text1"/>
        </w:rPr>
        <w:t>(unité</w:t>
      </w:r>
      <w:r>
        <w:rPr>
          <w:b/>
          <w:bCs/>
          <w:color w:val="000000" w:themeColor="text1"/>
        </w:rPr>
        <w:t> :</w:t>
      </w:r>
      <w:r w:rsidRPr="00A87926">
        <w:rPr>
          <w:b/>
          <w:bCs/>
          <w:color w:val="000000" w:themeColor="text1"/>
        </w:rPr>
        <w:t xml:space="preserve"> 1)</w:t>
      </w:r>
      <w:r w:rsidR="00834BD7">
        <w:rPr>
          <w:b/>
          <w:bCs/>
          <w:color w:val="000000" w:themeColor="text1"/>
        </w:rPr>
        <w:tab/>
      </w:r>
      <w:r w:rsidRPr="00A87926">
        <w:rPr>
          <w:b/>
          <w:bCs/>
          <w:color w:val="000000" w:themeColor="text1"/>
        </w:rPr>
        <w:t>est la fonction de pondération du spectre lumineux</w:t>
      </w:r>
      <w:r>
        <w:rPr>
          <w:b/>
          <w:bCs/>
          <w:color w:val="000000" w:themeColor="text1"/>
        </w:rPr>
        <w:t> ;</w:t>
      </w:r>
    </w:p>
    <w:p w14:paraId="7DADA94E" w14:textId="77777777" w:rsidR="00A34D73" w:rsidRPr="00A87926" w:rsidRDefault="00A34D73" w:rsidP="00AD0AEE">
      <w:pPr>
        <w:pStyle w:val="SingleTxtG"/>
        <w:ind w:left="2268"/>
        <w:rPr>
          <w:b/>
          <w:bCs/>
          <w:color w:val="000000" w:themeColor="text1"/>
        </w:rPr>
      </w:pPr>
      <w:r w:rsidRPr="00A87926">
        <w:rPr>
          <w:b/>
          <w:bCs/>
          <w:color w:val="000000" w:themeColor="text1"/>
        </w:rPr>
        <w:t>k</w:t>
      </w:r>
      <w:r w:rsidRPr="00A87926">
        <w:rPr>
          <w:b/>
          <w:bCs/>
          <w:color w:val="000000" w:themeColor="text1"/>
          <w:vertAlign w:val="subscript"/>
        </w:rPr>
        <w:t>m</w:t>
      </w:r>
      <w:r w:rsidRPr="00A87926">
        <w:rPr>
          <w:b/>
          <w:bCs/>
          <w:color w:val="000000" w:themeColor="text1"/>
        </w:rPr>
        <w:t xml:space="preserve"> = 683 lm/W</w:t>
      </w:r>
      <w:r w:rsidR="00834BD7">
        <w:rPr>
          <w:b/>
          <w:bCs/>
          <w:color w:val="000000" w:themeColor="text1"/>
        </w:rPr>
        <w:tab/>
      </w:r>
      <w:r w:rsidRPr="00A87926">
        <w:rPr>
          <w:b/>
          <w:bCs/>
          <w:color w:val="000000" w:themeColor="text1"/>
        </w:rPr>
        <w:t>est la valeur maximale de l’efficacité lumineuse du rayonnement.</w:t>
      </w:r>
    </w:p>
    <w:p w14:paraId="0A451385" w14:textId="77777777" w:rsidR="00A34D73" w:rsidRPr="00A87926" w:rsidRDefault="00A34D73" w:rsidP="00AD0AEE">
      <w:pPr>
        <w:pStyle w:val="SingleTxtG"/>
        <w:ind w:left="2268"/>
        <w:rPr>
          <w:b/>
          <w:bCs/>
          <w:color w:val="000000" w:themeColor="text1"/>
        </w:rPr>
      </w:pPr>
      <w:r w:rsidRPr="00A87926">
        <w:rPr>
          <w:b/>
          <w:bCs/>
          <w:color w:val="000000" w:themeColor="text1"/>
        </w:rPr>
        <w:t>(Pour la définition des autres symboles, voir le paragraphe 3.4.5.3.)</w:t>
      </w:r>
    </w:p>
    <w:p w14:paraId="170A844D" w14:textId="77777777" w:rsidR="00A34D73" w:rsidRPr="00A87926" w:rsidRDefault="00A34D73" w:rsidP="00AD0AEE">
      <w:pPr>
        <w:pStyle w:val="SingleTxtG"/>
        <w:ind w:left="2268"/>
        <w:rPr>
          <w:b/>
          <w:bCs/>
          <w:color w:val="000000" w:themeColor="text1"/>
        </w:rPr>
      </w:pPr>
      <w:r w:rsidRPr="00A87926">
        <w:rPr>
          <w:b/>
          <w:bCs/>
          <w:color w:val="000000" w:themeColor="text1"/>
        </w:rPr>
        <w:t>Cette valeur doit être calculée à des intervalles d’un nanomètre. Le rayonnement ultraviolet doit être pondéré selon les valeurs indiquées dans le tableau ci-dessous</w:t>
      </w:r>
      <w:r>
        <w:rPr>
          <w:b/>
          <w:bCs/>
          <w:color w:val="000000" w:themeColor="text1"/>
        </w:rPr>
        <w:t> :</w:t>
      </w:r>
    </w:p>
    <w:tbl>
      <w:tblPr>
        <w:tblW w:w="8505" w:type="dxa"/>
        <w:tblInd w:w="1142" w:type="dxa"/>
        <w:tblLayout w:type="fixed"/>
        <w:tblCellMar>
          <w:left w:w="0" w:type="dxa"/>
          <w:right w:w="0" w:type="dxa"/>
        </w:tblCellMar>
        <w:tblLook w:val="0000" w:firstRow="0" w:lastRow="0" w:firstColumn="0" w:lastColumn="0" w:noHBand="0" w:noVBand="0"/>
      </w:tblPr>
      <w:tblGrid>
        <w:gridCol w:w="928"/>
        <w:gridCol w:w="1669"/>
        <w:gridCol w:w="341"/>
        <w:gridCol w:w="960"/>
        <w:gridCol w:w="1669"/>
        <w:gridCol w:w="309"/>
        <w:gridCol w:w="959"/>
        <w:gridCol w:w="1670"/>
      </w:tblGrid>
      <w:tr w:rsidR="00A34D73" w:rsidRPr="00A87926" w14:paraId="6877C964" w14:textId="77777777" w:rsidTr="006B6616">
        <w:trPr>
          <w:trHeight w:hRule="exact" w:val="340"/>
          <w:tblHeader/>
        </w:trPr>
        <w:tc>
          <w:tcPr>
            <w:tcW w:w="851" w:type="dxa"/>
            <w:tcBorders>
              <w:top w:val="single" w:sz="6" w:space="0" w:color="auto"/>
              <w:left w:val="single" w:sz="6" w:space="0" w:color="auto"/>
              <w:bottom w:val="single" w:sz="12" w:space="0" w:color="auto"/>
              <w:right w:val="single" w:sz="6" w:space="0" w:color="auto"/>
            </w:tcBorders>
            <w:vAlign w:val="center"/>
          </w:tcPr>
          <w:p w14:paraId="09822D2E"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sym w:font="Symbol" w:char="F06C"/>
            </w:r>
          </w:p>
        </w:tc>
        <w:tc>
          <w:tcPr>
            <w:tcW w:w="1530" w:type="dxa"/>
            <w:tcBorders>
              <w:top w:val="single" w:sz="6" w:space="0" w:color="auto"/>
              <w:left w:val="single" w:sz="6" w:space="0" w:color="auto"/>
              <w:bottom w:val="single" w:sz="12" w:space="0" w:color="auto"/>
            </w:tcBorders>
            <w:vAlign w:val="center"/>
          </w:tcPr>
          <w:p w14:paraId="620C01D2"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t>S(</w:t>
            </w:r>
            <w:r w:rsidRPr="00A87926">
              <w:rPr>
                <w:b/>
                <w:bCs/>
                <w:snapToGrid w:val="0"/>
                <w:color w:val="000000" w:themeColor="text1"/>
              </w:rPr>
              <w:sym w:font="Symbol" w:char="F06C"/>
            </w:r>
            <w:r w:rsidRPr="00A87926">
              <w:rPr>
                <w:b/>
                <w:bCs/>
                <w:snapToGrid w:val="0"/>
                <w:color w:val="000000" w:themeColor="text1"/>
              </w:rPr>
              <w:t>)</w:t>
            </w:r>
          </w:p>
        </w:tc>
        <w:tc>
          <w:tcPr>
            <w:tcW w:w="313" w:type="dxa"/>
            <w:tcBorders>
              <w:left w:val="single" w:sz="4" w:space="0" w:color="auto"/>
              <w:right w:val="single" w:sz="4" w:space="0" w:color="auto"/>
            </w:tcBorders>
            <w:vAlign w:val="center"/>
          </w:tcPr>
          <w:p w14:paraId="01AEB367"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p>
        </w:tc>
        <w:tc>
          <w:tcPr>
            <w:tcW w:w="880" w:type="dxa"/>
            <w:tcBorders>
              <w:top w:val="single" w:sz="6" w:space="0" w:color="auto"/>
              <w:left w:val="nil"/>
              <w:bottom w:val="single" w:sz="12" w:space="0" w:color="auto"/>
              <w:right w:val="single" w:sz="6" w:space="0" w:color="auto"/>
            </w:tcBorders>
            <w:vAlign w:val="center"/>
          </w:tcPr>
          <w:p w14:paraId="26252F4A"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sym w:font="Symbol" w:char="F06C"/>
            </w:r>
          </w:p>
        </w:tc>
        <w:tc>
          <w:tcPr>
            <w:tcW w:w="1530" w:type="dxa"/>
            <w:tcBorders>
              <w:top w:val="single" w:sz="6" w:space="0" w:color="auto"/>
              <w:left w:val="single" w:sz="6" w:space="0" w:color="auto"/>
              <w:bottom w:val="single" w:sz="12" w:space="0" w:color="auto"/>
            </w:tcBorders>
            <w:vAlign w:val="center"/>
          </w:tcPr>
          <w:p w14:paraId="7B93FE8D"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t>S(</w:t>
            </w:r>
            <w:r w:rsidRPr="00A87926">
              <w:rPr>
                <w:b/>
                <w:bCs/>
                <w:snapToGrid w:val="0"/>
                <w:color w:val="000000" w:themeColor="text1"/>
              </w:rPr>
              <w:sym w:font="Symbol" w:char="F06C"/>
            </w:r>
            <w:r w:rsidRPr="00A87926">
              <w:rPr>
                <w:b/>
                <w:bCs/>
                <w:snapToGrid w:val="0"/>
                <w:color w:val="000000" w:themeColor="text1"/>
              </w:rPr>
              <w:t>)</w:t>
            </w:r>
          </w:p>
        </w:tc>
        <w:tc>
          <w:tcPr>
            <w:tcW w:w="283" w:type="dxa"/>
            <w:tcBorders>
              <w:left w:val="single" w:sz="4" w:space="0" w:color="auto"/>
              <w:right w:val="single" w:sz="4" w:space="0" w:color="auto"/>
            </w:tcBorders>
            <w:vAlign w:val="center"/>
          </w:tcPr>
          <w:p w14:paraId="779961CD"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p>
        </w:tc>
        <w:tc>
          <w:tcPr>
            <w:tcW w:w="879" w:type="dxa"/>
            <w:tcBorders>
              <w:top w:val="single" w:sz="6" w:space="0" w:color="auto"/>
              <w:left w:val="nil"/>
              <w:bottom w:val="single" w:sz="12" w:space="0" w:color="auto"/>
              <w:right w:val="single" w:sz="6" w:space="0" w:color="auto"/>
            </w:tcBorders>
            <w:vAlign w:val="center"/>
          </w:tcPr>
          <w:p w14:paraId="5249FBF8"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sym w:font="Symbol" w:char="F06C"/>
            </w:r>
          </w:p>
        </w:tc>
        <w:tc>
          <w:tcPr>
            <w:tcW w:w="1531" w:type="dxa"/>
            <w:tcBorders>
              <w:top w:val="single" w:sz="6" w:space="0" w:color="auto"/>
              <w:left w:val="single" w:sz="6" w:space="0" w:color="auto"/>
              <w:bottom w:val="single" w:sz="12" w:space="0" w:color="auto"/>
              <w:right w:val="single" w:sz="6" w:space="0" w:color="auto"/>
            </w:tcBorders>
            <w:vAlign w:val="center"/>
          </w:tcPr>
          <w:p w14:paraId="7B5434BA" w14:textId="77777777" w:rsidR="00A34D73" w:rsidRPr="00A87926" w:rsidRDefault="00A34D73" w:rsidP="00834BD7">
            <w:pPr>
              <w:keepNext/>
              <w:keepLines/>
              <w:suppressAutoHyphens w:val="0"/>
              <w:spacing w:line="240" w:lineRule="auto"/>
              <w:ind w:left="57" w:right="57"/>
              <w:jc w:val="center"/>
              <w:rPr>
                <w:b/>
                <w:bCs/>
                <w:snapToGrid w:val="0"/>
                <w:color w:val="000000" w:themeColor="text1"/>
              </w:rPr>
            </w:pPr>
            <w:r w:rsidRPr="00A87926">
              <w:rPr>
                <w:b/>
                <w:bCs/>
                <w:snapToGrid w:val="0"/>
                <w:color w:val="000000" w:themeColor="text1"/>
              </w:rPr>
              <w:t>S(</w:t>
            </w:r>
            <w:r w:rsidRPr="00A87926">
              <w:rPr>
                <w:b/>
                <w:bCs/>
                <w:snapToGrid w:val="0"/>
                <w:color w:val="000000" w:themeColor="text1"/>
              </w:rPr>
              <w:sym w:font="Symbol" w:char="F06C"/>
            </w:r>
            <w:r w:rsidRPr="00A87926">
              <w:rPr>
                <w:b/>
                <w:bCs/>
                <w:snapToGrid w:val="0"/>
                <w:color w:val="000000" w:themeColor="text1"/>
              </w:rPr>
              <w:t>)</w:t>
            </w:r>
          </w:p>
        </w:tc>
      </w:tr>
      <w:tr w:rsidR="00A34D73" w:rsidRPr="00A87926" w14:paraId="56437FE2" w14:textId="77777777" w:rsidTr="006B6616">
        <w:trPr>
          <w:trHeight w:hRule="exact" w:val="340"/>
        </w:trPr>
        <w:tc>
          <w:tcPr>
            <w:tcW w:w="851" w:type="dxa"/>
            <w:tcBorders>
              <w:top w:val="single" w:sz="12" w:space="0" w:color="auto"/>
              <w:left w:val="single" w:sz="6" w:space="0" w:color="auto"/>
              <w:bottom w:val="single" w:sz="6" w:space="0" w:color="auto"/>
              <w:right w:val="single" w:sz="6" w:space="0" w:color="auto"/>
            </w:tcBorders>
            <w:vAlign w:val="center"/>
          </w:tcPr>
          <w:p w14:paraId="5675EB0D"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250</w:t>
            </w:r>
          </w:p>
        </w:tc>
        <w:tc>
          <w:tcPr>
            <w:tcW w:w="1530" w:type="dxa"/>
            <w:tcBorders>
              <w:top w:val="single" w:sz="12" w:space="0" w:color="auto"/>
              <w:left w:val="single" w:sz="6" w:space="0" w:color="auto"/>
              <w:bottom w:val="single" w:sz="6" w:space="0" w:color="auto"/>
            </w:tcBorders>
            <w:vAlign w:val="center"/>
          </w:tcPr>
          <w:p w14:paraId="04C736E1"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0,430</w:t>
            </w:r>
          </w:p>
        </w:tc>
        <w:tc>
          <w:tcPr>
            <w:tcW w:w="313" w:type="dxa"/>
            <w:tcBorders>
              <w:left w:val="single" w:sz="4" w:space="0" w:color="auto"/>
              <w:right w:val="single" w:sz="4" w:space="0" w:color="auto"/>
            </w:tcBorders>
            <w:vAlign w:val="center"/>
          </w:tcPr>
          <w:p w14:paraId="69911174"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80" w:type="dxa"/>
            <w:tcBorders>
              <w:top w:val="single" w:sz="12" w:space="0" w:color="auto"/>
              <w:left w:val="nil"/>
              <w:bottom w:val="single" w:sz="6" w:space="0" w:color="auto"/>
              <w:right w:val="single" w:sz="6" w:space="0" w:color="auto"/>
            </w:tcBorders>
            <w:vAlign w:val="center"/>
          </w:tcPr>
          <w:p w14:paraId="7D57866C"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305</w:t>
            </w:r>
          </w:p>
        </w:tc>
        <w:tc>
          <w:tcPr>
            <w:tcW w:w="1530" w:type="dxa"/>
            <w:tcBorders>
              <w:top w:val="single" w:sz="12" w:space="0" w:color="auto"/>
              <w:left w:val="single" w:sz="6" w:space="0" w:color="auto"/>
              <w:bottom w:val="single" w:sz="6" w:space="0" w:color="auto"/>
            </w:tcBorders>
            <w:vAlign w:val="center"/>
          </w:tcPr>
          <w:p w14:paraId="21CCE408"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0,060</w:t>
            </w:r>
          </w:p>
        </w:tc>
        <w:tc>
          <w:tcPr>
            <w:tcW w:w="283" w:type="dxa"/>
            <w:tcBorders>
              <w:left w:val="single" w:sz="4" w:space="0" w:color="auto"/>
              <w:right w:val="single" w:sz="4" w:space="0" w:color="auto"/>
            </w:tcBorders>
            <w:vAlign w:val="center"/>
          </w:tcPr>
          <w:p w14:paraId="4C54D80E"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79" w:type="dxa"/>
            <w:tcBorders>
              <w:top w:val="single" w:sz="12" w:space="0" w:color="auto"/>
              <w:left w:val="nil"/>
              <w:bottom w:val="single" w:sz="6" w:space="0" w:color="auto"/>
              <w:right w:val="single" w:sz="6" w:space="0" w:color="auto"/>
            </w:tcBorders>
            <w:vAlign w:val="center"/>
          </w:tcPr>
          <w:p w14:paraId="6DF1600F"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355</w:t>
            </w:r>
          </w:p>
        </w:tc>
        <w:tc>
          <w:tcPr>
            <w:tcW w:w="1531" w:type="dxa"/>
            <w:tcBorders>
              <w:top w:val="single" w:sz="12" w:space="0" w:color="auto"/>
              <w:left w:val="single" w:sz="6" w:space="0" w:color="auto"/>
              <w:bottom w:val="single" w:sz="6" w:space="0" w:color="auto"/>
              <w:right w:val="single" w:sz="6" w:space="0" w:color="auto"/>
            </w:tcBorders>
            <w:vAlign w:val="center"/>
          </w:tcPr>
          <w:p w14:paraId="5FFF0A85"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snapToGrid w:val="0"/>
                <w:color w:val="000000" w:themeColor="text1"/>
              </w:rPr>
              <w:t>0,000 16</w:t>
            </w:r>
          </w:p>
        </w:tc>
      </w:tr>
      <w:tr w:rsidR="00A34D73" w:rsidRPr="00A87926" w14:paraId="03DB4C3C"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68DECB2"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255</w:t>
            </w:r>
          </w:p>
        </w:tc>
        <w:tc>
          <w:tcPr>
            <w:tcW w:w="1530" w:type="dxa"/>
            <w:tcBorders>
              <w:top w:val="single" w:sz="6" w:space="0" w:color="auto"/>
              <w:left w:val="single" w:sz="6" w:space="0" w:color="auto"/>
              <w:bottom w:val="single" w:sz="6" w:space="0" w:color="auto"/>
            </w:tcBorders>
            <w:vAlign w:val="center"/>
          </w:tcPr>
          <w:p w14:paraId="3DBE6293"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0,520</w:t>
            </w:r>
          </w:p>
        </w:tc>
        <w:tc>
          <w:tcPr>
            <w:tcW w:w="313" w:type="dxa"/>
            <w:tcBorders>
              <w:left w:val="single" w:sz="4" w:space="0" w:color="auto"/>
              <w:right w:val="single" w:sz="4" w:space="0" w:color="auto"/>
            </w:tcBorders>
            <w:vAlign w:val="center"/>
          </w:tcPr>
          <w:p w14:paraId="4BD86942"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484AEA3C"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310</w:t>
            </w:r>
          </w:p>
        </w:tc>
        <w:tc>
          <w:tcPr>
            <w:tcW w:w="1530" w:type="dxa"/>
            <w:tcBorders>
              <w:top w:val="single" w:sz="6" w:space="0" w:color="auto"/>
              <w:left w:val="single" w:sz="6" w:space="0" w:color="auto"/>
              <w:bottom w:val="single" w:sz="6" w:space="0" w:color="auto"/>
            </w:tcBorders>
            <w:vAlign w:val="center"/>
          </w:tcPr>
          <w:p w14:paraId="7D08D0CA"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0,015</w:t>
            </w:r>
          </w:p>
        </w:tc>
        <w:tc>
          <w:tcPr>
            <w:tcW w:w="283" w:type="dxa"/>
            <w:tcBorders>
              <w:left w:val="single" w:sz="4" w:space="0" w:color="auto"/>
              <w:right w:val="single" w:sz="4" w:space="0" w:color="auto"/>
            </w:tcBorders>
            <w:vAlign w:val="center"/>
          </w:tcPr>
          <w:p w14:paraId="563EE325"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459CF5C2"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318CDBDC"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snapToGrid w:val="0"/>
                <w:color w:val="000000" w:themeColor="text1"/>
              </w:rPr>
              <w:t>0,000 13</w:t>
            </w:r>
          </w:p>
        </w:tc>
      </w:tr>
      <w:tr w:rsidR="00A34D73" w:rsidRPr="00A87926" w14:paraId="161081A2"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F084DF3"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260</w:t>
            </w:r>
          </w:p>
        </w:tc>
        <w:tc>
          <w:tcPr>
            <w:tcW w:w="1530" w:type="dxa"/>
            <w:tcBorders>
              <w:top w:val="single" w:sz="6" w:space="0" w:color="auto"/>
              <w:left w:val="single" w:sz="6" w:space="0" w:color="auto"/>
              <w:bottom w:val="single" w:sz="6" w:space="0" w:color="auto"/>
            </w:tcBorders>
            <w:vAlign w:val="center"/>
          </w:tcPr>
          <w:p w14:paraId="4CA326F0"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0,650</w:t>
            </w:r>
          </w:p>
        </w:tc>
        <w:tc>
          <w:tcPr>
            <w:tcW w:w="313" w:type="dxa"/>
            <w:tcBorders>
              <w:left w:val="single" w:sz="4" w:space="0" w:color="auto"/>
              <w:right w:val="single" w:sz="4" w:space="0" w:color="auto"/>
            </w:tcBorders>
            <w:vAlign w:val="center"/>
          </w:tcPr>
          <w:p w14:paraId="2A199FDA"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34163FCB"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315</w:t>
            </w:r>
          </w:p>
        </w:tc>
        <w:tc>
          <w:tcPr>
            <w:tcW w:w="1530" w:type="dxa"/>
            <w:tcBorders>
              <w:top w:val="single" w:sz="6" w:space="0" w:color="auto"/>
              <w:left w:val="single" w:sz="6" w:space="0" w:color="auto"/>
              <w:bottom w:val="single" w:sz="6" w:space="0" w:color="auto"/>
            </w:tcBorders>
            <w:vAlign w:val="center"/>
          </w:tcPr>
          <w:p w14:paraId="549A212B"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0,003</w:t>
            </w:r>
          </w:p>
        </w:tc>
        <w:tc>
          <w:tcPr>
            <w:tcW w:w="283" w:type="dxa"/>
            <w:tcBorders>
              <w:left w:val="single" w:sz="4" w:space="0" w:color="auto"/>
              <w:right w:val="single" w:sz="4" w:space="0" w:color="auto"/>
            </w:tcBorders>
            <w:vAlign w:val="center"/>
          </w:tcPr>
          <w:p w14:paraId="37F740F8" w14:textId="77777777" w:rsidR="00A34D73" w:rsidRPr="00A87926" w:rsidRDefault="00A34D73" w:rsidP="00834BD7">
            <w:pPr>
              <w:keepNext/>
              <w:keepLines/>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23843579"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color w:val="000000" w:themeColor="text1"/>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22043275" w14:textId="77777777" w:rsidR="00A34D73" w:rsidRPr="00A87926" w:rsidRDefault="00A34D73" w:rsidP="00834BD7">
            <w:pPr>
              <w:keepNext/>
              <w:keepLines/>
              <w:suppressAutoHyphens w:val="0"/>
              <w:spacing w:line="240" w:lineRule="auto"/>
              <w:ind w:left="57" w:right="57"/>
              <w:jc w:val="center"/>
              <w:rPr>
                <w:snapToGrid w:val="0"/>
                <w:color w:val="000000" w:themeColor="text1"/>
              </w:rPr>
            </w:pPr>
            <w:r w:rsidRPr="00A87926">
              <w:rPr>
                <w:snapToGrid w:val="0"/>
                <w:color w:val="000000" w:themeColor="text1"/>
              </w:rPr>
              <w:t>0,000 11</w:t>
            </w:r>
          </w:p>
        </w:tc>
      </w:tr>
      <w:tr w:rsidR="00A34D73" w:rsidRPr="00A87926" w14:paraId="2187E3AA"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249D023"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265</w:t>
            </w:r>
          </w:p>
        </w:tc>
        <w:tc>
          <w:tcPr>
            <w:tcW w:w="1530" w:type="dxa"/>
            <w:tcBorders>
              <w:top w:val="single" w:sz="6" w:space="0" w:color="auto"/>
              <w:left w:val="single" w:sz="6" w:space="0" w:color="auto"/>
              <w:bottom w:val="single" w:sz="6" w:space="0" w:color="auto"/>
            </w:tcBorders>
            <w:vAlign w:val="center"/>
          </w:tcPr>
          <w:p w14:paraId="34C28F9B"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0,810</w:t>
            </w:r>
          </w:p>
        </w:tc>
        <w:tc>
          <w:tcPr>
            <w:tcW w:w="313" w:type="dxa"/>
            <w:tcBorders>
              <w:left w:val="single" w:sz="4" w:space="0" w:color="auto"/>
              <w:right w:val="single" w:sz="4" w:space="0" w:color="auto"/>
            </w:tcBorders>
            <w:vAlign w:val="center"/>
          </w:tcPr>
          <w:p w14:paraId="270BEC53"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0F75FCC7"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320</w:t>
            </w:r>
          </w:p>
        </w:tc>
        <w:tc>
          <w:tcPr>
            <w:tcW w:w="1530" w:type="dxa"/>
            <w:tcBorders>
              <w:top w:val="single" w:sz="6" w:space="0" w:color="auto"/>
              <w:left w:val="single" w:sz="6" w:space="0" w:color="auto"/>
              <w:bottom w:val="single" w:sz="6" w:space="0" w:color="auto"/>
            </w:tcBorders>
            <w:vAlign w:val="center"/>
          </w:tcPr>
          <w:p w14:paraId="3C6F22DA"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0,001</w:t>
            </w:r>
          </w:p>
        </w:tc>
        <w:tc>
          <w:tcPr>
            <w:tcW w:w="283" w:type="dxa"/>
            <w:tcBorders>
              <w:left w:val="single" w:sz="4" w:space="0" w:color="auto"/>
              <w:right w:val="single" w:sz="4" w:space="0" w:color="auto"/>
            </w:tcBorders>
            <w:vAlign w:val="center"/>
          </w:tcPr>
          <w:p w14:paraId="0E98E6C1"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1AD940A0"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B90EAAE"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0,000 09</w:t>
            </w:r>
          </w:p>
        </w:tc>
      </w:tr>
      <w:tr w:rsidR="00A34D73" w:rsidRPr="00A87926" w14:paraId="44DCF1B2"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535AB0D"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270</w:t>
            </w:r>
          </w:p>
        </w:tc>
        <w:tc>
          <w:tcPr>
            <w:tcW w:w="1530" w:type="dxa"/>
            <w:tcBorders>
              <w:top w:val="single" w:sz="6" w:space="0" w:color="auto"/>
              <w:left w:val="single" w:sz="6" w:space="0" w:color="auto"/>
              <w:bottom w:val="single" w:sz="6" w:space="0" w:color="auto"/>
            </w:tcBorders>
            <w:vAlign w:val="center"/>
          </w:tcPr>
          <w:p w14:paraId="26EFF7B4"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1,000</w:t>
            </w:r>
          </w:p>
        </w:tc>
        <w:tc>
          <w:tcPr>
            <w:tcW w:w="313" w:type="dxa"/>
            <w:tcBorders>
              <w:left w:val="single" w:sz="4" w:space="0" w:color="auto"/>
              <w:right w:val="single" w:sz="4" w:space="0" w:color="auto"/>
            </w:tcBorders>
            <w:vAlign w:val="center"/>
          </w:tcPr>
          <w:p w14:paraId="5EFE701B"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621FB318"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325</w:t>
            </w:r>
          </w:p>
        </w:tc>
        <w:tc>
          <w:tcPr>
            <w:tcW w:w="1530" w:type="dxa"/>
            <w:tcBorders>
              <w:top w:val="single" w:sz="6" w:space="0" w:color="auto"/>
              <w:left w:val="single" w:sz="6" w:space="0" w:color="auto"/>
              <w:bottom w:val="single" w:sz="6" w:space="0" w:color="auto"/>
            </w:tcBorders>
            <w:vAlign w:val="center"/>
          </w:tcPr>
          <w:p w14:paraId="75268026"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0,000 50</w:t>
            </w:r>
          </w:p>
        </w:tc>
        <w:tc>
          <w:tcPr>
            <w:tcW w:w="283" w:type="dxa"/>
            <w:tcBorders>
              <w:left w:val="single" w:sz="4" w:space="0" w:color="auto"/>
              <w:right w:val="single" w:sz="4" w:space="0" w:color="auto"/>
            </w:tcBorders>
            <w:vAlign w:val="center"/>
          </w:tcPr>
          <w:p w14:paraId="610F293D"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1DADF7AF"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3603A4FB"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0,000 077</w:t>
            </w:r>
          </w:p>
        </w:tc>
      </w:tr>
      <w:tr w:rsidR="00A34D73" w:rsidRPr="00A87926" w14:paraId="46877547"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B312290"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275</w:t>
            </w:r>
          </w:p>
        </w:tc>
        <w:tc>
          <w:tcPr>
            <w:tcW w:w="1530" w:type="dxa"/>
            <w:tcBorders>
              <w:top w:val="single" w:sz="6" w:space="0" w:color="auto"/>
              <w:left w:val="single" w:sz="6" w:space="0" w:color="auto"/>
              <w:bottom w:val="single" w:sz="6" w:space="0" w:color="auto"/>
            </w:tcBorders>
            <w:vAlign w:val="center"/>
          </w:tcPr>
          <w:p w14:paraId="5707D38A"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0,960</w:t>
            </w:r>
          </w:p>
        </w:tc>
        <w:tc>
          <w:tcPr>
            <w:tcW w:w="313" w:type="dxa"/>
            <w:tcBorders>
              <w:left w:val="single" w:sz="4" w:space="0" w:color="auto"/>
              <w:right w:val="single" w:sz="4" w:space="0" w:color="auto"/>
            </w:tcBorders>
            <w:vAlign w:val="center"/>
          </w:tcPr>
          <w:p w14:paraId="624B3E41"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7BA03DBE"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330</w:t>
            </w:r>
          </w:p>
        </w:tc>
        <w:tc>
          <w:tcPr>
            <w:tcW w:w="1530" w:type="dxa"/>
            <w:tcBorders>
              <w:top w:val="single" w:sz="6" w:space="0" w:color="auto"/>
              <w:left w:val="single" w:sz="6" w:space="0" w:color="auto"/>
              <w:bottom w:val="single" w:sz="6" w:space="0" w:color="auto"/>
            </w:tcBorders>
            <w:vAlign w:val="center"/>
          </w:tcPr>
          <w:p w14:paraId="4D6DA513"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0,000 41</w:t>
            </w:r>
          </w:p>
        </w:tc>
        <w:tc>
          <w:tcPr>
            <w:tcW w:w="283" w:type="dxa"/>
            <w:tcBorders>
              <w:left w:val="single" w:sz="4" w:space="0" w:color="auto"/>
              <w:right w:val="single" w:sz="4" w:space="0" w:color="auto"/>
            </w:tcBorders>
            <w:vAlign w:val="center"/>
          </w:tcPr>
          <w:p w14:paraId="026297E8"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1B6A5622"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59770854"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0,000 064</w:t>
            </w:r>
          </w:p>
        </w:tc>
      </w:tr>
      <w:tr w:rsidR="00A34D73" w:rsidRPr="00A87926" w14:paraId="5F3DD09E"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5AAFACF"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280</w:t>
            </w:r>
          </w:p>
        </w:tc>
        <w:tc>
          <w:tcPr>
            <w:tcW w:w="1530" w:type="dxa"/>
            <w:tcBorders>
              <w:top w:val="single" w:sz="6" w:space="0" w:color="auto"/>
              <w:left w:val="single" w:sz="6" w:space="0" w:color="auto"/>
              <w:bottom w:val="single" w:sz="6" w:space="0" w:color="auto"/>
            </w:tcBorders>
            <w:vAlign w:val="center"/>
          </w:tcPr>
          <w:p w14:paraId="1B64C51F"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0,880</w:t>
            </w:r>
          </w:p>
        </w:tc>
        <w:tc>
          <w:tcPr>
            <w:tcW w:w="313" w:type="dxa"/>
            <w:tcBorders>
              <w:left w:val="single" w:sz="4" w:space="0" w:color="auto"/>
              <w:right w:val="single" w:sz="4" w:space="0" w:color="auto"/>
            </w:tcBorders>
            <w:vAlign w:val="center"/>
          </w:tcPr>
          <w:p w14:paraId="03EAFBA6"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68C4CA6C"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335</w:t>
            </w:r>
          </w:p>
        </w:tc>
        <w:tc>
          <w:tcPr>
            <w:tcW w:w="1530" w:type="dxa"/>
            <w:tcBorders>
              <w:top w:val="single" w:sz="6" w:space="0" w:color="auto"/>
              <w:left w:val="single" w:sz="6" w:space="0" w:color="auto"/>
              <w:bottom w:val="single" w:sz="6" w:space="0" w:color="auto"/>
            </w:tcBorders>
            <w:vAlign w:val="center"/>
          </w:tcPr>
          <w:p w14:paraId="60967723"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0,000 34</w:t>
            </w:r>
          </w:p>
        </w:tc>
        <w:tc>
          <w:tcPr>
            <w:tcW w:w="283" w:type="dxa"/>
            <w:tcBorders>
              <w:left w:val="single" w:sz="4" w:space="0" w:color="auto"/>
              <w:right w:val="single" w:sz="4" w:space="0" w:color="auto"/>
            </w:tcBorders>
            <w:vAlign w:val="center"/>
          </w:tcPr>
          <w:p w14:paraId="076554C2"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55713E30"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746B9B9D"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0,000 053</w:t>
            </w:r>
          </w:p>
        </w:tc>
      </w:tr>
      <w:tr w:rsidR="00A34D73" w:rsidRPr="00A87926" w14:paraId="2ED1AB49"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1791D88"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lastRenderedPageBreak/>
              <w:t>285</w:t>
            </w:r>
          </w:p>
        </w:tc>
        <w:tc>
          <w:tcPr>
            <w:tcW w:w="1530" w:type="dxa"/>
            <w:tcBorders>
              <w:top w:val="single" w:sz="6" w:space="0" w:color="auto"/>
              <w:left w:val="single" w:sz="6" w:space="0" w:color="auto"/>
              <w:bottom w:val="single" w:sz="6" w:space="0" w:color="auto"/>
            </w:tcBorders>
            <w:vAlign w:val="center"/>
          </w:tcPr>
          <w:p w14:paraId="7E6EC5F7"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0,770</w:t>
            </w:r>
          </w:p>
        </w:tc>
        <w:tc>
          <w:tcPr>
            <w:tcW w:w="313" w:type="dxa"/>
            <w:tcBorders>
              <w:left w:val="single" w:sz="4" w:space="0" w:color="auto"/>
              <w:right w:val="single" w:sz="4" w:space="0" w:color="auto"/>
            </w:tcBorders>
            <w:vAlign w:val="center"/>
          </w:tcPr>
          <w:p w14:paraId="7AAD9395"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7003A8E5"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340</w:t>
            </w:r>
          </w:p>
        </w:tc>
        <w:tc>
          <w:tcPr>
            <w:tcW w:w="1530" w:type="dxa"/>
            <w:tcBorders>
              <w:top w:val="single" w:sz="6" w:space="0" w:color="auto"/>
              <w:left w:val="single" w:sz="6" w:space="0" w:color="auto"/>
              <w:bottom w:val="single" w:sz="6" w:space="0" w:color="auto"/>
            </w:tcBorders>
            <w:vAlign w:val="center"/>
          </w:tcPr>
          <w:p w14:paraId="57735D70"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0,000 28</w:t>
            </w:r>
          </w:p>
        </w:tc>
        <w:tc>
          <w:tcPr>
            <w:tcW w:w="283" w:type="dxa"/>
            <w:tcBorders>
              <w:left w:val="single" w:sz="4" w:space="0" w:color="auto"/>
              <w:right w:val="single" w:sz="4" w:space="0" w:color="auto"/>
            </w:tcBorders>
            <w:vAlign w:val="center"/>
          </w:tcPr>
          <w:p w14:paraId="7FD48273"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169D8425"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33E3376A"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0,000 044</w:t>
            </w:r>
          </w:p>
        </w:tc>
      </w:tr>
      <w:tr w:rsidR="00A34D73" w:rsidRPr="00A87926" w14:paraId="3A056ACC"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3CA4D7D3"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290</w:t>
            </w:r>
          </w:p>
        </w:tc>
        <w:tc>
          <w:tcPr>
            <w:tcW w:w="1530" w:type="dxa"/>
            <w:tcBorders>
              <w:top w:val="single" w:sz="6" w:space="0" w:color="auto"/>
              <w:left w:val="single" w:sz="6" w:space="0" w:color="auto"/>
              <w:bottom w:val="single" w:sz="6" w:space="0" w:color="auto"/>
            </w:tcBorders>
            <w:vAlign w:val="center"/>
          </w:tcPr>
          <w:p w14:paraId="1AF89E5C"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0,640</w:t>
            </w:r>
          </w:p>
        </w:tc>
        <w:tc>
          <w:tcPr>
            <w:tcW w:w="313" w:type="dxa"/>
            <w:tcBorders>
              <w:left w:val="single" w:sz="4" w:space="0" w:color="auto"/>
              <w:right w:val="single" w:sz="4" w:space="0" w:color="auto"/>
            </w:tcBorders>
            <w:vAlign w:val="center"/>
          </w:tcPr>
          <w:p w14:paraId="4EDFE7B1"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7EC85AF2"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345</w:t>
            </w:r>
          </w:p>
        </w:tc>
        <w:tc>
          <w:tcPr>
            <w:tcW w:w="1530" w:type="dxa"/>
            <w:tcBorders>
              <w:top w:val="single" w:sz="6" w:space="0" w:color="auto"/>
              <w:left w:val="single" w:sz="6" w:space="0" w:color="auto"/>
              <w:bottom w:val="single" w:sz="6" w:space="0" w:color="auto"/>
            </w:tcBorders>
            <w:vAlign w:val="center"/>
          </w:tcPr>
          <w:p w14:paraId="6755FA76"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0,000 24</w:t>
            </w:r>
          </w:p>
        </w:tc>
        <w:tc>
          <w:tcPr>
            <w:tcW w:w="283" w:type="dxa"/>
            <w:tcBorders>
              <w:left w:val="single" w:sz="4" w:space="0" w:color="auto"/>
              <w:right w:val="single" w:sz="4" w:space="0" w:color="auto"/>
            </w:tcBorders>
            <w:vAlign w:val="center"/>
          </w:tcPr>
          <w:p w14:paraId="68766724"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215FCDF6"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736D0FD6"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0,000 036</w:t>
            </w:r>
          </w:p>
        </w:tc>
      </w:tr>
      <w:tr w:rsidR="00A34D73" w:rsidRPr="00A87926" w14:paraId="5F2FC907"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CDED6DE"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295</w:t>
            </w:r>
          </w:p>
        </w:tc>
        <w:tc>
          <w:tcPr>
            <w:tcW w:w="1530" w:type="dxa"/>
            <w:tcBorders>
              <w:top w:val="single" w:sz="6" w:space="0" w:color="auto"/>
              <w:left w:val="single" w:sz="6" w:space="0" w:color="auto"/>
              <w:bottom w:val="single" w:sz="6" w:space="0" w:color="auto"/>
            </w:tcBorders>
            <w:vAlign w:val="center"/>
          </w:tcPr>
          <w:p w14:paraId="0BE5FCC9"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0,540</w:t>
            </w:r>
          </w:p>
        </w:tc>
        <w:tc>
          <w:tcPr>
            <w:tcW w:w="313" w:type="dxa"/>
            <w:tcBorders>
              <w:left w:val="single" w:sz="4" w:space="0" w:color="auto"/>
              <w:right w:val="single" w:sz="4" w:space="0" w:color="auto"/>
            </w:tcBorders>
            <w:vAlign w:val="center"/>
          </w:tcPr>
          <w:p w14:paraId="111F617F"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7BEBFAA2"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350</w:t>
            </w:r>
          </w:p>
        </w:tc>
        <w:tc>
          <w:tcPr>
            <w:tcW w:w="1530" w:type="dxa"/>
            <w:tcBorders>
              <w:top w:val="single" w:sz="6" w:space="0" w:color="auto"/>
              <w:left w:val="single" w:sz="6" w:space="0" w:color="auto"/>
              <w:bottom w:val="single" w:sz="6" w:space="0" w:color="auto"/>
            </w:tcBorders>
            <w:vAlign w:val="center"/>
          </w:tcPr>
          <w:p w14:paraId="26FB0D38"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0,000 20</w:t>
            </w:r>
          </w:p>
        </w:tc>
        <w:tc>
          <w:tcPr>
            <w:tcW w:w="283" w:type="dxa"/>
            <w:tcBorders>
              <w:left w:val="single" w:sz="4" w:space="0" w:color="auto"/>
              <w:right w:val="single" w:sz="4" w:space="0" w:color="auto"/>
            </w:tcBorders>
            <w:vAlign w:val="center"/>
          </w:tcPr>
          <w:p w14:paraId="0836D445"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3A7A1403"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785E92B9"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snapToGrid w:val="0"/>
                <w:color w:val="000000" w:themeColor="text1"/>
              </w:rPr>
              <w:t>0,000 030</w:t>
            </w:r>
          </w:p>
        </w:tc>
      </w:tr>
      <w:tr w:rsidR="00A34D73" w:rsidRPr="00A87926" w14:paraId="543F0D1A" w14:textId="77777777" w:rsidTr="00834BD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73FFB44"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300</w:t>
            </w:r>
          </w:p>
        </w:tc>
        <w:tc>
          <w:tcPr>
            <w:tcW w:w="1530" w:type="dxa"/>
            <w:tcBorders>
              <w:top w:val="single" w:sz="6" w:space="0" w:color="auto"/>
              <w:left w:val="single" w:sz="6" w:space="0" w:color="auto"/>
              <w:bottom w:val="single" w:sz="6" w:space="0" w:color="auto"/>
            </w:tcBorders>
            <w:vAlign w:val="center"/>
          </w:tcPr>
          <w:p w14:paraId="7C9744DA" w14:textId="77777777" w:rsidR="00A34D73" w:rsidRPr="00A87926" w:rsidRDefault="00A34D73" w:rsidP="00834BD7">
            <w:pPr>
              <w:suppressAutoHyphens w:val="0"/>
              <w:spacing w:line="240" w:lineRule="auto"/>
              <w:ind w:left="57" w:right="57"/>
              <w:jc w:val="center"/>
              <w:rPr>
                <w:snapToGrid w:val="0"/>
                <w:color w:val="000000" w:themeColor="text1"/>
              </w:rPr>
            </w:pPr>
            <w:r w:rsidRPr="00A87926">
              <w:rPr>
                <w:color w:val="000000" w:themeColor="text1"/>
              </w:rPr>
              <w:t>0,300</w:t>
            </w:r>
          </w:p>
        </w:tc>
        <w:tc>
          <w:tcPr>
            <w:tcW w:w="313" w:type="dxa"/>
            <w:tcBorders>
              <w:left w:val="single" w:sz="4" w:space="0" w:color="auto"/>
              <w:right w:val="single" w:sz="4" w:space="0" w:color="auto"/>
            </w:tcBorders>
            <w:vAlign w:val="center"/>
          </w:tcPr>
          <w:p w14:paraId="523967A4"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80" w:type="dxa"/>
            <w:tcBorders>
              <w:top w:val="single" w:sz="6" w:space="0" w:color="auto"/>
              <w:left w:val="nil"/>
              <w:bottom w:val="single" w:sz="6" w:space="0" w:color="auto"/>
              <w:right w:val="single" w:sz="6" w:space="0" w:color="auto"/>
            </w:tcBorders>
            <w:vAlign w:val="center"/>
          </w:tcPr>
          <w:p w14:paraId="7F49CF92"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1530" w:type="dxa"/>
            <w:tcBorders>
              <w:top w:val="single" w:sz="6" w:space="0" w:color="auto"/>
              <w:left w:val="single" w:sz="6" w:space="0" w:color="auto"/>
              <w:bottom w:val="single" w:sz="6" w:space="0" w:color="auto"/>
            </w:tcBorders>
            <w:vAlign w:val="center"/>
          </w:tcPr>
          <w:p w14:paraId="4DAD21CE"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283" w:type="dxa"/>
            <w:tcBorders>
              <w:left w:val="single" w:sz="4" w:space="0" w:color="auto"/>
              <w:right w:val="single" w:sz="4" w:space="0" w:color="auto"/>
            </w:tcBorders>
            <w:vAlign w:val="center"/>
          </w:tcPr>
          <w:p w14:paraId="05F6A8CB"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879" w:type="dxa"/>
            <w:tcBorders>
              <w:top w:val="single" w:sz="6" w:space="0" w:color="auto"/>
              <w:left w:val="nil"/>
              <w:bottom w:val="single" w:sz="6" w:space="0" w:color="auto"/>
              <w:right w:val="single" w:sz="6" w:space="0" w:color="auto"/>
            </w:tcBorders>
            <w:vAlign w:val="center"/>
          </w:tcPr>
          <w:p w14:paraId="62B615C3" w14:textId="77777777" w:rsidR="00A34D73" w:rsidRPr="00A87926" w:rsidRDefault="00A34D73" w:rsidP="00834BD7">
            <w:pPr>
              <w:suppressAutoHyphens w:val="0"/>
              <w:spacing w:line="240" w:lineRule="auto"/>
              <w:ind w:left="57" w:right="57"/>
              <w:jc w:val="center"/>
              <w:rPr>
                <w:snapToGrid w:val="0"/>
                <w:color w:val="000000" w:themeColor="text1"/>
              </w:rPr>
            </w:pPr>
          </w:p>
        </w:tc>
        <w:tc>
          <w:tcPr>
            <w:tcW w:w="1531" w:type="dxa"/>
            <w:tcBorders>
              <w:top w:val="single" w:sz="6" w:space="0" w:color="auto"/>
              <w:left w:val="single" w:sz="6" w:space="0" w:color="auto"/>
              <w:bottom w:val="single" w:sz="6" w:space="0" w:color="auto"/>
              <w:right w:val="single" w:sz="6" w:space="0" w:color="auto"/>
            </w:tcBorders>
            <w:vAlign w:val="center"/>
          </w:tcPr>
          <w:p w14:paraId="7E6DC582" w14:textId="77777777" w:rsidR="00A34D73" w:rsidRPr="00A87926" w:rsidRDefault="00A34D73" w:rsidP="00834BD7">
            <w:pPr>
              <w:suppressAutoHyphens w:val="0"/>
              <w:spacing w:line="240" w:lineRule="auto"/>
              <w:ind w:left="57" w:right="57"/>
              <w:jc w:val="center"/>
              <w:rPr>
                <w:snapToGrid w:val="0"/>
                <w:color w:val="000000" w:themeColor="text1"/>
              </w:rPr>
            </w:pPr>
          </w:p>
        </w:tc>
      </w:tr>
    </w:tbl>
    <w:p w14:paraId="11E68879" w14:textId="77777777" w:rsidR="00A34D73" w:rsidRPr="00A87926" w:rsidRDefault="00A34D73" w:rsidP="00834BD7">
      <w:pPr>
        <w:pStyle w:val="SingleTxtG"/>
        <w:spacing w:before="120"/>
        <w:ind w:right="0"/>
        <w:rPr>
          <w:b/>
          <w:bCs/>
          <w:color w:val="000000" w:themeColor="text1"/>
        </w:rPr>
      </w:pPr>
      <w:r w:rsidRPr="00A87926">
        <w:rPr>
          <w:b/>
          <w:bCs/>
          <w:i/>
          <w:color w:val="000000" w:themeColor="text1"/>
        </w:rPr>
        <w:t>Note</w:t>
      </w:r>
      <w:r>
        <w:rPr>
          <w:b/>
          <w:bCs/>
          <w:color w:val="000000" w:themeColor="text1"/>
        </w:rPr>
        <w:t> :</w:t>
      </w:r>
      <w:r w:rsidRPr="00A87926">
        <w:rPr>
          <w:b/>
          <w:bCs/>
          <w:color w:val="000000" w:themeColor="text1"/>
        </w:rPr>
        <w:tab/>
        <w:t xml:space="preserve">Valeurs indiquées dans les </w:t>
      </w:r>
      <w:r w:rsidR="00834BD7">
        <w:rPr>
          <w:b/>
          <w:bCs/>
          <w:color w:val="000000" w:themeColor="text1"/>
        </w:rPr>
        <w:t>“</w:t>
      </w:r>
      <w:r w:rsidRPr="00A87926">
        <w:rPr>
          <w:b/>
          <w:bCs/>
          <w:color w:val="000000" w:themeColor="text1"/>
        </w:rPr>
        <w:t>Lignes directrices IRPA/INIRC relatives aux limites d’exposition au rayonnement ultraviolet</w:t>
      </w:r>
      <w:r w:rsidR="00834BD7">
        <w:rPr>
          <w:b/>
          <w:bCs/>
          <w:color w:val="000000" w:themeColor="text1"/>
        </w:rPr>
        <w:t>”</w:t>
      </w:r>
      <w:r w:rsidRPr="00A87926">
        <w:rPr>
          <w:b/>
          <w:bCs/>
          <w:color w:val="000000" w:themeColor="text1"/>
        </w:rPr>
        <w:t>. Les longueurs d’onde (en nanomètres) ont été choisies à titre indicatif</w:t>
      </w:r>
      <w:r>
        <w:rPr>
          <w:b/>
          <w:bCs/>
          <w:color w:val="000000" w:themeColor="text1"/>
        </w:rPr>
        <w:t> ;</w:t>
      </w:r>
      <w:r w:rsidRPr="00A87926">
        <w:rPr>
          <w:b/>
          <w:bCs/>
          <w:color w:val="000000" w:themeColor="text1"/>
        </w:rPr>
        <w:t xml:space="preserve"> les autres valeurs doivent être estimées par interpolation.</w:t>
      </w:r>
    </w:p>
    <w:p w14:paraId="540E3E42"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w:t>
      </w:r>
      <w:r w:rsidRPr="00A87926">
        <w:rPr>
          <w:b/>
          <w:bCs/>
          <w:color w:val="000000" w:themeColor="text1"/>
        </w:rPr>
        <w:tab/>
        <w:t>Caractéristiques électriques</w:t>
      </w:r>
    </w:p>
    <w:p w14:paraId="41773B93"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3.4.7.1</w:t>
      </w:r>
      <w:r w:rsidRPr="00A87926">
        <w:rPr>
          <w:b/>
          <w:bCs/>
          <w:color w:val="000000" w:themeColor="text1"/>
        </w:rPr>
        <w:tab/>
        <w:t>Les caractéristiques électriques doivent être mises à l’essai sur un échantillon au moins.</w:t>
      </w:r>
    </w:p>
    <w:p w14:paraId="163548D4" w14:textId="77777777" w:rsidR="00AD0AEE" w:rsidRDefault="00A34D73" w:rsidP="00AD0AEE">
      <w:pPr>
        <w:pStyle w:val="SingleTxtG"/>
        <w:ind w:left="2268" w:hanging="1134"/>
        <w:rPr>
          <w:b/>
          <w:bCs/>
          <w:color w:val="000000" w:themeColor="text1"/>
        </w:rPr>
      </w:pPr>
      <w:r w:rsidRPr="00A87926">
        <w:rPr>
          <w:b/>
          <w:bCs/>
          <w:color w:val="000000" w:themeColor="text1"/>
        </w:rPr>
        <w:t>3.4.7.2</w:t>
      </w:r>
      <w:r w:rsidRPr="00A87926">
        <w:rPr>
          <w:b/>
          <w:bCs/>
          <w:color w:val="000000" w:themeColor="text1"/>
        </w:rPr>
        <w:tab/>
        <w:t xml:space="preserve">Le courant électrique de </w:t>
      </w:r>
      <w:bookmarkStart w:id="8" w:name="_Hlk49514717"/>
      <w:r w:rsidRPr="00A87926">
        <w:rPr>
          <w:b/>
          <w:bCs/>
          <w:color w:val="000000" w:themeColor="text1"/>
        </w:rPr>
        <w:t>la source lumineuse à DEL de remplacement</w:t>
      </w:r>
      <w:bookmarkEnd w:id="8"/>
      <w:r w:rsidRPr="00A87926">
        <w:rPr>
          <w:b/>
          <w:bCs/>
          <w:color w:val="000000" w:themeColor="text1"/>
        </w:rPr>
        <w:t xml:space="preserve"> doit être mesuré à température ambiante (23 </w:t>
      </w:r>
      <w:r w:rsidR="00834BD7">
        <w:rPr>
          <w:b/>
          <w:bCs/>
          <w:color w:val="000000" w:themeColor="text1"/>
        </w:rPr>
        <w:sym w:font="Symbol" w:char="F0B1"/>
      </w:r>
      <w:r w:rsidRPr="00A87926">
        <w:rPr>
          <w:b/>
          <w:bCs/>
          <w:color w:val="000000" w:themeColor="text1"/>
        </w:rPr>
        <w:t>2</w:t>
      </w:r>
      <w:r w:rsidR="00834BD7">
        <w:rPr>
          <w:b/>
          <w:bCs/>
          <w:color w:val="000000" w:themeColor="text1"/>
        </w:rPr>
        <w:t> </w:t>
      </w:r>
      <w:r w:rsidRPr="00A87926">
        <w:rPr>
          <w:b/>
          <w:bCs/>
          <w:color w:val="000000" w:themeColor="text1"/>
        </w:rPr>
        <w:t>°C), dans de l’air immobile, après 1</w:t>
      </w:r>
      <w:r w:rsidR="00834BD7">
        <w:rPr>
          <w:b/>
          <w:bCs/>
          <w:color w:val="000000" w:themeColor="text1"/>
        </w:rPr>
        <w:t> </w:t>
      </w:r>
      <w:r w:rsidRPr="00A87926">
        <w:rPr>
          <w:b/>
          <w:bCs/>
          <w:color w:val="000000" w:themeColor="text1"/>
        </w:rPr>
        <w:t>min et après 30</w:t>
      </w:r>
      <w:r w:rsidR="00834BD7">
        <w:rPr>
          <w:b/>
          <w:bCs/>
          <w:color w:val="000000" w:themeColor="text1"/>
        </w:rPr>
        <w:t> </w:t>
      </w:r>
      <w:r w:rsidRPr="00A87926">
        <w:rPr>
          <w:b/>
          <w:bCs/>
          <w:color w:val="000000" w:themeColor="text1"/>
        </w:rPr>
        <w:t>min de fonctionnement à la tension d’essai.</w:t>
      </w:r>
    </w:p>
    <w:p w14:paraId="15379900" w14:textId="77777777" w:rsidR="00A34D73" w:rsidRPr="00A87926" w:rsidRDefault="00A34D73" w:rsidP="00AD0AEE">
      <w:pPr>
        <w:pStyle w:val="SingleTxtG"/>
        <w:ind w:left="2268"/>
        <w:rPr>
          <w:b/>
          <w:bCs/>
          <w:color w:val="000000" w:themeColor="text1"/>
        </w:rPr>
      </w:pPr>
      <w:r w:rsidRPr="00A87926">
        <w:rPr>
          <w:b/>
          <w:bCs/>
          <w:color w:val="000000" w:themeColor="text1"/>
        </w:rPr>
        <w:t xml:space="preserve">Les </w:t>
      </w:r>
      <w:r w:rsidRPr="00AD0AEE">
        <w:rPr>
          <w:b/>
          <w:bCs/>
        </w:rPr>
        <w:t>valeurs</w:t>
      </w:r>
      <w:r w:rsidRPr="00A87926">
        <w:rPr>
          <w:b/>
          <w:bCs/>
          <w:color w:val="000000" w:themeColor="text1"/>
        </w:rPr>
        <w:t xml:space="preserve"> mesurées du courant électrique doivent se situer dans les limites indiquées sur la feuille de données appropriée de l’annexe 1.</w:t>
      </w:r>
    </w:p>
    <w:p w14:paraId="10F56062"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3.4.7.3</w:t>
      </w:r>
      <w:r w:rsidRPr="00A87926">
        <w:rPr>
          <w:b/>
          <w:bCs/>
          <w:color w:val="000000" w:themeColor="text1"/>
        </w:rPr>
        <w:tab/>
        <w:t>La source lumineuse à DEL de remplacement doit satisfaire aux prescriptions techniques d’un sous-ensemble électrique/électronique (SEEE) comme indiqué par le Règlement n</w:t>
      </w:r>
      <w:r w:rsidRPr="00A87926">
        <w:rPr>
          <w:b/>
          <w:bCs/>
          <w:color w:val="000000" w:themeColor="text1"/>
          <w:vertAlign w:val="superscript"/>
        </w:rPr>
        <w:t>o</w:t>
      </w:r>
      <w:r w:rsidR="00834BD7">
        <w:rPr>
          <w:b/>
          <w:bCs/>
          <w:color w:val="000000" w:themeColor="text1"/>
        </w:rPr>
        <w:t> </w:t>
      </w:r>
      <w:r w:rsidRPr="00A87926">
        <w:rPr>
          <w:b/>
          <w:bCs/>
          <w:color w:val="000000" w:themeColor="text1"/>
        </w:rPr>
        <w:t>10 et ses séries d’amendements en vigueur à la date de la demande d’homologation de type.</w:t>
      </w:r>
    </w:p>
    <w:p w14:paraId="307F38BD"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3.4.7.4</w:t>
      </w:r>
      <w:r w:rsidRPr="00A87926">
        <w:rPr>
          <w:b/>
          <w:bCs/>
          <w:color w:val="000000" w:themeColor="text1"/>
        </w:rPr>
        <w:tab/>
        <w:t>La source lumineuse à DEL de remplacement ne doit pas émettre de lumière lorsqu’elle est mise sous tension pendant 2</w:t>
      </w:r>
      <w:r w:rsidR="00834BD7">
        <w:rPr>
          <w:b/>
          <w:bCs/>
          <w:color w:val="000000" w:themeColor="text1"/>
        </w:rPr>
        <w:t> </w:t>
      </w:r>
      <w:r w:rsidRPr="00A87926">
        <w:rPr>
          <w:b/>
          <w:bCs/>
          <w:color w:val="000000" w:themeColor="text1"/>
        </w:rPr>
        <w:t>ms ou moins.</w:t>
      </w:r>
    </w:p>
    <w:p w14:paraId="1BB079C9"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3.4.7.5</w:t>
      </w:r>
      <w:r w:rsidRPr="00A87926">
        <w:rPr>
          <w:b/>
          <w:bCs/>
          <w:color w:val="000000" w:themeColor="text1"/>
        </w:rPr>
        <w:tab/>
        <w:t>La lumière modulée, émise par une source lumineuse à DEL de remplacement fonctionnant à une tension de modulation d’impulsions en durée (PMW) dont la valeur réelle est égale à la valeur de la tension d’essai prescrite, à des fréquences de 100</w:t>
      </w:r>
      <w:r w:rsidR="00834BD7">
        <w:rPr>
          <w:b/>
          <w:bCs/>
          <w:color w:val="000000" w:themeColor="text1"/>
        </w:rPr>
        <w:t> </w:t>
      </w:r>
      <w:r w:rsidRPr="00A87926">
        <w:rPr>
          <w:b/>
          <w:bCs/>
          <w:color w:val="000000" w:themeColor="text1"/>
        </w:rPr>
        <w:t>Hz, 125</w:t>
      </w:r>
      <w:r w:rsidR="00834BD7">
        <w:rPr>
          <w:b/>
          <w:bCs/>
          <w:color w:val="000000" w:themeColor="text1"/>
        </w:rPr>
        <w:t> </w:t>
      </w:r>
      <w:r w:rsidRPr="00A87926">
        <w:rPr>
          <w:b/>
          <w:bCs/>
          <w:color w:val="000000" w:themeColor="text1"/>
        </w:rPr>
        <w:t>Hz, 150</w:t>
      </w:r>
      <w:r w:rsidR="00834BD7">
        <w:rPr>
          <w:b/>
          <w:bCs/>
          <w:color w:val="000000" w:themeColor="text1"/>
        </w:rPr>
        <w:t> </w:t>
      </w:r>
      <w:r w:rsidRPr="00A87926">
        <w:rPr>
          <w:b/>
          <w:bCs/>
          <w:color w:val="000000" w:themeColor="text1"/>
        </w:rPr>
        <w:t>Hz, 175</w:t>
      </w:r>
      <w:r w:rsidR="00834BD7">
        <w:rPr>
          <w:b/>
          <w:bCs/>
          <w:color w:val="000000" w:themeColor="text1"/>
        </w:rPr>
        <w:t> </w:t>
      </w:r>
      <w:r w:rsidRPr="00A87926">
        <w:rPr>
          <w:b/>
          <w:bCs/>
          <w:color w:val="000000" w:themeColor="text1"/>
        </w:rPr>
        <w:t>Hz et 200</w:t>
      </w:r>
      <w:r w:rsidR="00834BD7">
        <w:rPr>
          <w:b/>
          <w:bCs/>
          <w:color w:val="000000" w:themeColor="text1"/>
        </w:rPr>
        <w:t> </w:t>
      </w:r>
      <w:r w:rsidRPr="00A87926">
        <w:rPr>
          <w:b/>
          <w:bCs/>
          <w:color w:val="000000" w:themeColor="text1"/>
        </w:rPr>
        <w:t>Hz, dans tous les cas selon un cycle d’essai de 90</w:t>
      </w:r>
      <w:r w:rsidR="00834BD7">
        <w:rPr>
          <w:b/>
          <w:bCs/>
          <w:color w:val="000000" w:themeColor="text1"/>
        </w:rPr>
        <w:t> </w:t>
      </w:r>
      <w:r w:rsidRPr="00A87926">
        <w:rPr>
          <w:b/>
          <w:bCs/>
          <w:color w:val="000000" w:themeColor="text1"/>
        </w:rPr>
        <w:t>%</w:t>
      </w:r>
      <w:r w:rsidRPr="00834BD7">
        <w:rPr>
          <w:b/>
          <w:bCs/>
          <w:color w:val="000000" w:themeColor="text1"/>
          <w:sz w:val="18"/>
          <w:szCs w:val="18"/>
          <w:vertAlign w:val="superscript"/>
        </w:rPr>
        <w:t>9</w:t>
      </w:r>
      <w:r w:rsidRPr="00A87926">
        <w:rPr>
          <w:b/>
          <w:bCs/>
          <w:color w:val="000000" w:themeColor="text1"/>
        </w:rPr>
        <w:t>, ne doit pas comporter des composantes de fréquence moins élevées que la fréquence PMW appliquée.</w:t>
      </w:r>
    </w:p>
    <w:p w14:paraId="5C3CE6AA" w14:textId="77777777" w:rsidR="00A34D73" w:rsidRPr="006B6616" w:rsidRDefault="00A34D73" w:rsidP="006B6616">
      <w:pPr>
        <w:spacing w:after="120" w:line="220" w:lineRule="atLeast"/>
        <w:ind w:left="2552" w:right="1134" w:hanging="284"/>
        <w:jc w:val="both"/>
        <w:rPr>
          <w:b/>
          <w:bCs/>
          <w:color w:val="000000" w:themeColor="text1"/>
          <w:sz w:val="18"/>
          <w:szCs w:val="18"/>
        </w:rPr>
      </w:pPr>
      <w:r w:rsidRPr="006B6616">
        <w:rPr>
          <w:b/>
          <w:bCs/>
          <w:color w:val="000000" w:themeColor="text1"/>
          <w:sz w:val="18"/>
          <w:szCs w:val="18"/>
          <w:vertAlign w:val="superscript"/>
        </w:rPr>
        <w:t>9</w:t>
      </w:r>
      <w:r w:rsidRPr="006B6616">
        <w:rPr>
          <w:b/>
          <w:bCs/>
          <w:color w:val="000000" w:themeColor="text1"/>
          <w:sz w:val="18"/>
          <w:szCs w:val="18"/>
        </w:rPr>
        <w:tab/>
        <w:t>Temps de fonctionnement en pourcentage du temps total d’un cycle PMW.</w:t>
      </w:r>
    </w:p>
    <w:p w14:paraId="2769EF03" w14:textId="77777777" w:rsidR="00A34D73" w:rsidRPr="00A87926" w:rsidRDefault="00A34D73" w:rsidP="00A34D73">
      <w:pPr>
        <w:pStyle w:val="SingleTxtG"/>
        <w:ind w:left="2268" w:hanging="1134"/>
        <w:rPr>
          <w:b/>
          <w:bCs/>
          <w:color w:val="000000" w:themeColor="text1"/>
        </w:rPr>
      </w:pPr>
      <w:r w:rsidRPr="00A87926">
        <w:rPr>
          <w:b/>
          <w:bCs/>
          <w:color w:val="000000" w:themeColor="text1"/>
        </w:rPr>
        <w:t>3.4.7.6</w:t>
      </w:r>
      <w:r w:rsidRPr="00A87926">
        <w:rPr>
          <w:b/>
          <w:bCs/>
          <w:color w:val="000000" w:themeColor="text1"/>
        </w:rPr>
        <w:tab/>
        <w:t>Lorsqu’une valeur de flux lumineux normal pour le mode veilleuse est indiquée dans la feuille de données pertinente de l’annexe 1, celle-ci doit être mise à l’essai.</w:t>
      </w:r>
    </w:p>
    <w:p w14:paraId="2603051B" w14:textId="77777777" w:rsidR="00A34D73" w:rsidRPr="00A87926" w:rsidRDefault="00A34D73" w:rsidP="00A34D73">
      <w:pPr>
        <w:pStyle w:val="SingleTxtG"/>
        <w:ind w:left="2268" w:hanging="1134"/>
        <w:rPr>
          <w:b/>
          <w:bCs/>
          <w:color w:val="000000" w:themeColor="text1"/>
        </w:rPr>
      </w:pPr>
      <w:r w:rsidRPr="00A87926">
        <w:rPr>
          <w:b/>
          <w:bCs/>
          <w:color w:val="000000" w:themeColor="text1"/>
        </w:rPr>
        <w:t>3.4.8</w:t>
      </w:r>
      <w:r w:rsidRPr="00A87926">
        <w:rPr>
          <w:b/>
          <w:bCs/>
          <w:color w:val="000000" w:themeColor="text1"/>
        </w:rPr>
        <w:tab/>
        <w:t>Température du culot</w:t>
      </w:r>
    </w:p>
    <w:p w14:paraId="5CE7AD6E" w14:textId="77777777" w:rsidR="00A34D73" w:rsidRPr="00A87926" w:rsidRDefault="00A34D73" w:rsidP="00AD0AEE">
      <w:pPr>
        <w:pStyle w:val="SingleTxtG"/>
        <w:ind w:left="2268"/>
        <w:rPr>
          <w:color w:val="000000" w:themeColor="text1"/>
        </w:rPr>
      </w:pPr>
      <w:r w:rsidRPr="00AD0AEE">
        <w:rPr>
          <w:b/>
          <w:bCs/>
        </w:rPr>
        <w:t>Lorsqu’elle</w:t>
      </w:r>
      <w:r w:rsidRPr="00A87926">
        <w:rPr>
          <w:b/>
          <w:bCs/>
          <w:color w:val="000000" w:themeColor="text1"/>
        </w:rPr>
        <w:t xml:space="preserve"> est mesurée dans les conditions décrites à l’annexe 6, la température du culot de la source lumineuse à DEL de remplacement ne doit pas dépasser la valeur maximale indiquée sur la feuille de données pertinente de l’annexe 1, sauf si la source est du type à haute efficacité.</w:t>
      </w:r>
      <w:r w:rsidR="00834BD7">
        <w:rPr>
          <w:color w:val="000000" w:themeColor="text1"/>
        </w:rPr>
        <w:t> </w:t>
      </w:r>
      <w:r w:rsidRPr="00A87926">
        <w:rPr>
          <w:color w:val="000000" w:themeColor="text1"/>
        </w:rPr>
        <w:t>».</w:t>
      </w:r>
    </w:p>
    <w:p w14:paraId="3EF53FE2" w14:textId="77777777" w:rsidR="00A34D73" w:rsidRPr="00A87926" w:rsidRDefault="00A34D73" w:rsidP="00834BD7">
      <w:pPr>
        <w:pStyle w:val="SingleTxtG"/>
      </w:pPr>
      <w:r w:rsidRPr="00834BD7">
        <w:rPr>
          <w:i/>
          <w:iCs/>
        </w:rPr>
        <w:t>Les paragraphes 4 à 8, y compris les alinéas et les références</w:t>
      </w:r>
      <w:r w:rsidRPr="00A87926">
        <w:t>, deviennent les paragraphes 5 à 9, respectivement.</w:t>
      </w:r>
    </w:p>
    <w:p w14:paraId="61A0A2A8" w14:textId="77777777" w:rsidR="00A34D73" w:rsidRPr="00A87926" w:rsidRDefault="00A34D73" w:rsidP="00834BD7">
      <w:pPr>
        <w:pStyle w:val="SingleTxtG"/>
      </w:pPr>
      <w:r w:rsidRPr="00834BD7">
        <w:rPr>
          <w:i/>
          <w:iCs/>
        </w:rPr>
        <w:t>Ajouter un nouveau paragraphe 4</w:t>
      </w:r>
      <w:r w:rsidRPr="00A87926">
        <w:t>, libellé comme suit</w:t>
      </w:r>
      <w:r>
        <w:t> :</w:t>
      </w:r>
    </w:p>
    <w:p w14:paraId="6A8CF3E6" w14:textId="77777777" w:rsidR="00A34D73" w:rsidRPr="00834BD7" w:rsidRDefault="00A34D73" w:rsidP="00A34D73">
      <w:pPr>
        <w:pStyle w:val="SingleTxtG"/>
        <w:ind w:left="2268" w:hanging="1134"/>
        <w:rPr>
          <w:b/>
          <w:bCs/>
          <w:color w:val="000000" w:themeColor="text1"/>
        </w:rPr>
      </w:pPr>
      <w:r w:rsidRPr="00A87926">
        <w:rPr>
          <w:bCs/>
          <w:color w:val="000000" w:themeColor="text1"/>
        </w:rPr>
        <w:t>«</w:t>
      </w:r>
      <w:r w:rsidR="00834BD7">
        <w:rPr>
          <w:bCs/>
          <w:color w:val="000000" w:themeColor="text1"/>
        </w:rPr>
        <w:t> </w:t>
      </w:r>
      <w:r w:rsidRPr="006B6616">
        <w:rPr>
          <w:b/>
          <w:bCs/>
          <w:color w:val="000000" w:themeColor="text1"/>
          <w:sz w:val="24"/>
          <w:szCs w:val="24"/>
        </w:rPr>
        <w:t>4.</w:t>
      </w:r>
      <w:r w:rsidRPr="006B6616">
        <w:rPr>
          <w:b/>
          <w:bCs/>
          <w:color w:val="000000" w:themeColor="text1"/>
          <w:sz w:val="24"/>
          <w:szCs w:val="24"/>
        </w:rPr>
        <w:tab/>
      </w:r>
      <w:r w:rsidRPr="006B6616">
        <w:rPr>
          <w:b/>
          <w:bCs/>
          <w:color w:val="000000" w:themeColor="text1"/>
          <w:sz w:val="24"/>
          <w:szCs w:val="24"/>
        </w:rPr>
        <w:tab/>
        <w:t>Prescriptions relatives à l’emballage des sources lumineuses à DEL de remplacement</w:t>
      </w:r>
    </w:p>
    <w:p w14:paraId="3C75BBD6" w14:textId="77777777" w:rsidR="00A34D73" w:rsidRPr="00A87926" w:rsidRDefault="00A34D73" w:rsidP="00A34D73">
      <w:pPr>
        <w:pStyle w:val="SingleTxtG"/>
        <w:ind w:left="2268" w:hanging="1134"/>
        <w:rPr>
          <w:b/>
          <w:bCs/>
          <w:color w:val="000000" w:themeColor="text1"/>
        </w:rPr>
      </w:pPr>
      <w:r w:rsidRPr="00A87926">
        <w:rPr>
          <w:b/>
          <w:bCs/>
          <w:color w:val="000000" w:themeColor="text1"/>
        </w:rPr>
        <w:t>4.1</w:t>
      </w:r>
      <w:r w:rsidRPr="00A87926">
        <w:rPr>
          <w:b/>
          <w:bCs/>
          <w:color w:val="000000" w:themeColor="text1"/>
        </w:rPr>
        <w:tab/>
        <w:t>Les renseignements ci-après doivent figurer sur chaque emballage</w:t>
      </w:r>
      <w:r>
        <w:rPr>
          <w:b/>
          <w:bCs/>
          <w:color w:val="000000" w:themeColor="text1"/>
        </w:rPr>
        <w:t> :</w:t>
      </w:r>
    </w:p>
    <w:p w14:paraId="0BB3CF32" w14:textId="77777777" w:rsidR="00A34D73" w:rsidRPr="00A87926" w:rsidRDefault="00A34D73" w:rsidP="00A34D73">
      <w:pPr>
        <w:pStyle w:val="SingleTxtG"/>
        <w:ind w:left="2268" w:hanging="1134"/>
        <w:rPr>
          <w:b/>
          <w:bCs/>
          <w:color w:val="000000" w:themeColor="text1"/>
        </w:rPr>
      </w:pPr>
      <w:r w:rsidRPr="00A87926">
        <w:rPr>
          <w:b/>
          <w:bCs/>
          <w:color w:val="000000" w:themeColor="text1"/>
        </w:rPr>
        <w:t>4.1.1</w:t>
      </w:r>
      <w:r w:rsidRPr="00A87926">
        <w:rPr>
          <w:b/>
          <w:bCs/>
          <w:color w:val="000000" w:themeColor="text1"/>
        </w:rPr>
        <w:tab/>
        <w:t>La marque de fabrique ou de commerce du fabricant</w:t>
      </w:r>
      <w:r>
        <w:rPr>
          <w:b/>
          <w:bCs/>
          <w:color w:val="000000" w:themeColor="text1"/>
        </w:rPr>
        <w:t> ;</w:t>
      </w:r>
    </w:p>
    <w:p w14:paraId="0C206B76" w14:textId="77777777" w:rsidR="00A34D73" w:rsidRPr="00A87926" w:rsidRDefault="00A34D73" w:rsidP="00A34D73">
      <w:pPr>
        <w:pStyle w:val="SingleTxtG"/>
        <w:ind w:left="2268" w:hanging="1134"/>
        <w:rPr>
          <w:b/>
          <w:bCs/>
          <w:color w:val="000000" w:themeColor="text1"/>
        </w:rPr>
      </w:pPr>
      <w:r w:rsidRPr="00A87926">
        <w:rPr>
          <w:b/>
          <w:bCs/>
          <w:color w:val="000000" w:themeColor="text1"/>
        </w:rPr>
        <w:t>4.1.2</w:t>
      </w:r>
      <w:r w:rsidRPr="00A87926">
        <w:rPr>
          <w:b/>
          <w:bCs/>
          <w:color w:val="000000" w:themeColor="text1"/>
        </w:rPr>
        <w:tab/>
        <w:t>La tension nominale</w:t>
      </w:r>
      <w:r>
        <w:rPr>
          <w:b/>
          <w:bCs/>
          <w:color w:val="000000" w:themeColor="text1"/>
        </w:rPr>
        <w:t> ;</w:t>
      </w:r>
    </w:p>
    <w:p w14:paraId="52C74D7B" w14:textId="77777777" w:rsidR="00A34D73" w:rsidRPr="00A87926" w:rsidRDefault="00A34D73" w:rsidP="00A34D73">
      <w:pPr>
        <w:pStyle w:val="SingleTxtG"/>
        <w:ind w:left="2268" w:hanging="1134"/>
        <w:rPr>
          <w:b/>
          <w:bCs/>
          <w:color w:val="000000" w:themeColor="text1"/>
        </w:rPr>
      </w:pPr>
      <w:r w:rsidRPr="00A87926">
        <w:rPr>
          <w:b/>
          <w:bCs/>
          <w:color w:val="000000" w:themeColor="text1"/>
        </w:rPr>
        <w:lastRenderedPageBreak/>
        <w:t>4.1.3</w:t>
      </w:r>
      <w:r w:rsidRPr="00A87926">
        <w:rPr>
          <w:b/>
          <w:bCs/>
          <w:color w:val="000000" w:themeColor="text1"/>
        </w:rPr>
        <w:tab/>
        <w:t xml:space="preserve">La désignation de la catégorie de la source lumineuse à DEL de remplacement, ainsi que la marque </w:t>
      </w:r>
      <w:r w:rsidR="00834BD7">
        <w:rPr>
          <w:b/>
          <w:bCs/>
          <w:color w:val="000000" w:themeColor="text1"/>
        </w:rPr>
        <w:t>“</w:t>
      </w:r>
      <w:proofErr w:type="spellStart"/>
      <w:r w:rsidRPr="00A87926">
        <w:rPr>
          <w:b/>
          <w:bCs/>
          <w:color w:val="000000" w:themeColor="text1"/>
        </w:rPr>
        <w:t>LEDr</w:t>
      </w:r>
      <w:proofErr w:type="spellEnd"/>
      <w:r w:rsidR="00834BD7">
        <w:rPr>
          <w:b/>
          <w:bCs/>
          <w:color w:val="000000" w:themeColor="text1"/>
        </w:rPr>
        <w:t>”</w:t>
      </w:r>
      <w:r w:rsidRPr="00A87926">
        <w:rPr>
          <w:b/>
          <w:bCs/>
          <w:color w:val="000000" w:themeColor="text1"/>
        </w:rPr>
        <w:t>, séparée par un espace ou interligne unique</w:t>
      </w:r>
      <w:r>
        <w:rPr>
          <w:b/>
          <w:bCs/>
          <w:color w:val="000000" w:themeColor="text1"/>
        </w:rPr>
        <w:t> ;</w:t>
      </w:r>
    </w:p>
    <w:p w14:paraId="42F449B1" w14:textId="77777777" w:rsidR="00A34D73" w:rsidRPr="00A87926" w:rsidRDefault="00A34D73" w:rsidP="00A34D73">
      <w:pPr>
        <w:pStyle w:val="SingleTxtG"/>
        <w:ind w:left="2268" w:hanging="1134"/>
        <w:rPr>
          <w:b/>
          <w:bCs/>
          <w:color w:val="000000" w:themeColor="text1"/>
        </w:rPr>
      </w:pPr>
      <w:r w:rsidRPr="00A87926">
        <w:rPr>
          <w:b/>
          <w:bCs/>
          <w:color w:val="000000" w:themeColor="text1"/>
        </w:rPr>
        <w:t>4.1.4</w:t>
      </w:r>
      <w:r w:rsidRPr="00A87926">
        <w:rPr>
          <w:b/>
          <w:bCs/>
          <w:color w:val="000000" w:themeColor="text1"/>
        </w:rPr>
        <w:tab/>
        <w:t>Le code d’homologation</w:t>
      </w:r>
      <w:r>
        <w:rPr>
          <w:b/>
          <w:bCs/>
          <w:color w:val="000000" w:themeColor="text1"/>
        </w:rPr>
        <w:t> ;</w:t>
      </w:r>
    </w:p>
    <w:p w14:paraId="30BBD542" w14:textId="77777777" w:rsidR="00A34D73" w:rsidRPr="00A87926" w:rsidRDefault="00A34D73" w:rsidP="00A34D73">
      <w:pPr>
        <w:pStyle w:val="SingleTxtG"/>
        <w:ind w:left="2268" w:hanging="1134"/>
        <w:rPr>
          <w:b/>
          <w:bCs/>
          <w:color w:val="000000" w:themeColor="text1"/>
        </w:rPr>
      </w:pPr>
      <w:r w:rsidRPr="00A87926">
        <w:rPr>
          <w:b/>
          <w:bCs/>
          <w:color w:val="000000" w:themeColor="text1"/>
        </w:rPr>
        <w:t>4.2</w:t>
      </w:r>
      <w:r w:rsidRPr="00A87926">
        <w:rPr>
          <w:b/>
          <w:bCs/>
          <w:color w:val="000000" w:themeColor="text1"/>
        </w:rPr>
        <w:tab/>
      </w:r>
      <w:r w:rsidR="0077447F" w:rsidRPr="0077447F">
        <w:rPr>
          <w:b/>
          <w:bCs/>
          <w:color w:val="000000" w:themeColor="text1"/>
        </w:rPr>
        <w:t>Pour les sources lumineuses à DEL de remplacement pour lesquelles le demandeur de l’homologation déclare au moins l’une des caractéristiques visées dans le paragraphe 2.2.2.2.2, les prescriptions suivantes s’appliquent</w:t>
      </w:r>
      <w:r>
        <w:rPr>
          <w:b/>
          <w:bCs/>
          <w:color w:val="000000" w:themeColor="text1"/>
        </w:rPr>
        <w:t> :</w:t>
      </w:r>
    </w:p>
    <w:p w14:paraId="30F1032B" w14:textId="77777777" w:rsidR="00A34D73" w:rsidRPr="00A87926" w:rsidRDefault="00A34D73" w:rsidP="00A34D73">
      <w:pPr>
        <w:pStyle w:val="SingleTxtG"/>
        <w:ind w:left="2268" w:hanging="1134"/>
        <w:rPr>
          <w:b/>
          <w:bCs/>
          <w:color w:val="000000" w:themeColor="text1"/>
        </w:rPr>
      </w:pPr>
      <w:r w:rsidRPr="00A87926">
        <w:rPr>
          <w:b/>
          <w:bCs/>
          <w:color w:val="000000" w:themeColor="text1"/>
        </w:rPr>
        <w:t>4.2.1</w:t>
      </w:r>
      <w:r w:rsidRPr="00A87926">
        <w:rPr>
          <w:b/>
          <w:bCs/>
          <w:color w:val="000000" w:themeColor="text1"/>
        </w:rPr>
        <w:tab/>
        <w:t>Le symbole ci-après doit également figurer sur chaque emballage</w:t>
      </w:r>
      <w:r w:rsidRPr="004B2E6F">
        <w:rPr>
          <w:b/>
          <w:bCs/>
          <w:color w:val="000000" w:themeColor="text1"/>
          <w:sz w:val="18"/>
          <w:szCs w:val="18"/>
          <w:vertAlign w:val="superscript"/>
        </w:rPr>
        <w:t>10</w:t>
      </w:r>
      <w:r w:rsidRPr="004B2E6F">
        <w:rPr>
          <w:b/>
          <w:bCs/>
          <w:color w:val="000000" w:themeColor="text1"/>
        </w:rPr>
        <w:t> </w:t>
      </w:r>
      <w:r>
        <w:rPr>
          <w:b/>
          <w:bCs/>
          <w:color w:val="000000" w:themeColor="text1"/>
        </w:rPr>
        <w:t>:</w:t>
      </w:r>
    </w:p>
    <w:p w14:paraId="29135952" w14:textId="77777777" w:rsidR="00A34D73" w:rsidRPr="00A87926" w:rsidRDefault="00A34D73" w:rsidP="004B2E6F">
      <w:pPr>
        <w:pStyle w:val="SingleTxtG"/>
        <w:jc w:val="center"/>
      </w:pPr>
      <w:r w:rsidRPr="00A87926">
        <w:rPr>
          <w:noProof/>
        </w:rPr>
        <w:drawing>
          <wp:inline distT="0" distB="0" distL="0" distR="0" wp14:anchorId="79DCD541" wp14:editId="27EE12C1">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6566A51" w14:textId="77777777" w:rsidR="00A34D73" w:rsidRPr="006B6616" w:rsidRDefault="00A34D73" w:rsidP="006B6616">
      <w:pPr>
        <w:spacing w:after="120" w:line="220" w:lineRule="atLeast"/>
        <w:ind w:left="2552" w:right="1134" w:hanging="284"/>
        <w:jc w:val="both"/>
        <w:rPr>
          <w:b/>
          <w:bCs/>
          <w:color w:val="000000" w:themeColor="text1"/>
          <w:sz w:val="18"/>
          <w:szCs w:val="18"/>
        </w:rPr>
      </w:pPr>
      <w:r w:rsidRPr="006B6616">
        <w:rPr>
          <w:b/>
          <w:bCs/>
          <w:color w:val="000000" w:themeColor="text1"/>
          <w:sz w:val="18"/>
          <w:szCs w:val="18"/>
          <w:vertAlign w:val="superscript"/>
        </w:rPr>
        <w:t>10</w:t>
      </w:r>
      <w:r w:rsidRPr="006B6616">
        <w:rPr>
          <w:b/>
          <w:bCs/>
          <w:color w:val="000000" w:themeColor="text1"/>
          <w:sz w:val="18"/>
          <w:szCs w:val="18"/>
        </w:rPr>
        <w:tab/>
        <w:t>ISO 7000, symbole 1641</w:t>
      </w:r>
      <w:r w:rsidR="006B6616" w:rsidRPr="006B6616">
        <w:rPr>
          <w:b/>
          <w:bCs/>
          <w:color w:val="000000" w:themeColor="text1"/>
          <w:sz w:val="18"/>
          <w:szCs w:val="18"/>
        </w:rPr>
        <w:t>.</w:t>
      </w:r>
    </w:p>
    <w:p w14:paraId="1C3982DD" w14:textId="77777777" w:rsidR="00A34D73" w:rsidRPr="00A87926" w:rsidRDefault="00A34D73" w:rsidP="00A34D73">
      <w:pPr>
        <w:pStyle w:val="SingleTxtG"/>
        <w:ind w:left="2268" w:hanging="1134"/>
        <w:rPr>
          <w:b/>
          <w:bCs/>
          <w:color w:val="000000" w:themeColor="text1"/>
        </w:rPr>
      </w:pPr>
      <w:r w:rsidRPr="00A87926">
        <w:rPr>
          <w:b/>
          <w:bCs/>
          <w:color w:val="000000" w:themeColor="text1"/>
        </w:rPr>
        <w:t>4.2.2</w:t>
      </w:r>
      <w:r w:rsidRPr="00A87926">
        <w:rPr>
          <w:b/>
          <w:bCs/>
          <w:color w:val="000000" w:themeColor="text1"/>
        </w:rPr>
        <w:tab/>
        <w:t>Chaque emballage doit contenir des instructions libellées dans l’une des langues officielles de l’Accord de 1958 (anglais, français ou russe), ainsi que dans la langue du pays de vente. Ces instructions doivent</w:t>
      </w:r>
      <w:r>
        <w:rPr>
          <w:b/>
          <w:bCs/>
          <w:color w:val="000000" w:themeColor="text1"/>
        </w:rPr>
        <w:t> :</w:t>
      </w:r>
    </w:p>
    <w:p w14:paraId="655E1F2A" w14:textId="77777777" w:rsidR="00A34D73" w:rsidRPr="00A87926" w:rsidRDefault="00A34D73" w:rsidP="00A34D73">
      <w:pPr>
        <w:pStyle w:val="SingleTxtG"/>
        <w:ind w:left="2268" w:hanging="1134"/>
        <w:rPr>
          <w:b/>
          <w:bCs/>
          <w:color w:val="000000" w:themeColor="text1"/>
        </w:rPr>
      </w:pPr>
      <w:r w:rsidRPr="00A87926">
        <w:rPr>
          <w:b/>
          <w:bCs/>
          <w:color w:val="000000" w:themeColor="text1"/>
        </w:rPr>
        <w:t>4.2.2.1</w:t>
      </w:r>
      <w:r w:rsidRPr="00A87926">
        <w:rPr>
          <w:b/>
          <w:bCs/>
          <w:color w:val="000000" w:themeColor="text1"/>
        </w:rPr>
        <w:tab/>
        <w:t>Mentionner une ou des adresses de sites Web sur lesquels le fabricant de la source lumineuse à DEL de remplacement doit publier la ou les listes actualisées de dispositifs d’éclairage et de signalisation lumineuse installés sur des modèles de véhicules, en précisant au minimum la marque, le type, le modèle et la période de fabrication des véhicules</w:t>
      </w:r>
      <w:r>
        <w:rPr>
          <w:b/>
          <w:bCs/>
          <w:color w:val="000000" w:themeColor="text1"/>
        </w:rPr>
        <w:t> :</w:t>
      </w:r>
    </w:p>
    <w:p w14:paraId="66DE8804" w14:textId="77777777" w:rsidR="00A34D73" w:rsidRPr="00AD0AEE" w:rsidRDefault="00A34D73" w:rsidP="00A34D73">
      <w:pPr>
        <w:spacing w:after="120"/>
        <w:ind w:left="2268" w:right="1134" w:hanging="1134"/>
        <w:jc w:val="both"/>
        <w:rPr>
          <w:b/>
          <w:bCs/>
          <w:color w:val="000000" w:themeColor="text1"/>
        </w:rPr>
      </w:pPr>
      <w:r w:rsidRPr="00AD0AEE">
        <w:rPr>
          <w:b/>
          <w:bCs/>
        </w:rPr>
        <w:t>4.2.2.1.1</w:t>
      </w:r>
      <w:r w:rsidRPr="00AD0AEE">
        <w:rPr>
          <w:b/>
          <w:bCs/>
        </w:rPr>
        <w:tab/>
        <w:t>Il doit être indiqué si la source lumineuse à DEL de remplacement, y</w:t>
      </w:r>
      <w:r w:rsidRPr="00AD0AEE">
        <w:rPr>
          <w:b/>
          <w:bCs/>
          <w:color w:val="000000" w:themeColor="text1"/>
        </w:rPr>
        <w:t xml:space="preserve"> compris les commandes électriques ou électroniques non intégrées à celle-ci, le cas échéant, peut équiper les dispositifs figurant dans la liste ;</w:t>
      </w:r>
    </w:p>
    <w:p w14:paraId="0214E1AA" w14:textId="77777777" w:rsidR="00A34D73" w:rsidRPr="00A87926" w:rsidRDefault="00A34D73" w:rsidP="00AD0AEE">
      <w:pPr>
        <w:spacing w:after="120"/>
        <w:ind w:left="2268" w:right="1134" w:hanging="1134"/>
        <w:jc w:val="both"/>
        <w:rPr>
          <w:b/>
          <w:bCs/>
          <w:color w:val="000000" w:themeColor="text1"/>
        </w:rPr>
      </w:pPr>
      <w:r w:rsidRPr="00A87926">
        <w:rPr>
          <w:b/>
          <w:bCs/>
          <w:color w:val="000000" w:themeColor="text1"/>
        </w:rPr>
        <w:t>4.2.2.1.2</w:t>
      </w:r>
      <w:r w:rsidRPr="00A87926">
        <w:rPr>
          <w:b/>
          <w:bCs/>
          <w:color w:val="000000" w:themeColor="text1"/>
        </w:rPr>
        <w:tab/>
        <w:t>Comporter, pour les dispositifs énumérés, des informations sur les conditions applicables telles qu’énoncées par le demandeur conformément au paragraphe 2.2.2.2.2, destinées aux consommateurs et nécessaires à l’installation et au bon fonctionnement de la source lumineuse à DEL de remplacement</w:t>
      </w:r>
      <w:r>
        <w:rPr>
          <w:b/>
          <w:bCs/>
          <w:color w:val="000000" w:themeColor="text1"/>
        </w:rPr>
        <w:t> ;</w:t>
      </w:r>
    </w:p>
    <w:p w14:paraId="7621F2EC" w14:textId="77777777" w:rsidR="00A34D73" w:rsidRPr="00A87926" w:rsidRDefault="00A34D73" w:rsidP="00A34D73">
      <w:pPr>
        <w:spacing w:after="120"/>
        <w:ind w:left="2268" w:right="1134" w:hanging="1134"/>
        <w:jc w:val="both"/>
        <w:rPr>
          <w:b/>
          <w:bCs/>
          <w:color w:val="000000" w:themeColor="text1"/>
        </w:rPr>
      </w:pPr>
      <w:r w:rsidRPr="00A87926">
        <w:rPr>
          <w:b/>
          <w:bCs/>
          <w:color w:val="000000" w:themeColor="text1"/>
        </w:rPr>
        <w:t>4.2.2.2</w:t>
      </w:r>
      <w:r w:rsidRPr="00A87926">
        <w:rPr>
          <w:b/>
          <w:bCs/>
          <w:color w:val="000000" w:themeColor="text1"/>
        </w:rPr>
        <w:tab/>
        <w:t>Renvoyer à des centres de maintenance ou de réparation professionnels, en cas d’incertitude quant à l’adéquation de la source lumineuse à DEL de remplacement</w:t>
      </w:r>
      <w:r>
        <w:rPr>
          <w:b/>
          <w:bCs/>
          <w:color w:val="000000" w:themeColor="text1"/>
        </w:rPr>
        <w:t> ;</w:t>
      </w:r>
    </w:p>
    <w:p w14:paraId="0F714279" w14:textId="77777777" w:rsidR="00A34D73" w:rsidRPr="00A87926" w:rsidRDefault="00A34D73" w:rsidP="00A34D73">
      <w:pPr>
        <w:spacing w:after="120"/>
        <w:ind w:left="2268" w:right="1134" w:hanging="1134"/>
        <w:jc w:val="both"/>
        <w:rPr>
          <w:b/>
          <w:bCs/>
          <w:color w:val="000000" w:themeColor="text1"/>
        </w:rPr>
      </w:pPr>
      <w:r w:rsidRPr="00A87926">
        <w:rPr>
          <w:b/>
          <w:bCs/>
          <w:color w:val="000000" w:themeColor="text1"/>
        </w:rPr>
        <w:t>4.2.2.3</w:t>
      </w:r>
      <w:r w:rsidRPr="00A87926">
        <w:rPr>
          <w:b/>
          <w:bCs/>
          <w:color w:val="000000" w:themeColor="text1"/>
        </w:rPr>
        <w:tab/>
        <w:t>Comporter un avertissement clairement lisible selon lequel l’utilisation de la source lumineuse à DEL de remplacement d’une manière non conforme aux instructions contenues dans l’emballage et à celles fournies avec le véhicule peut provoquer une défaillance du système électrique du véhicule et/ou constituer un risque pour son fonctionnement et/ou un danger pour la circulation</w:t>
      </w:r>
      <w:r>
        <w:rPr>
          <w:b/>
          <w:bCs/>
          <w:color w:val="000000" w:themeColor="text1"/>
        </w:rPr>
        <w:t> ;</w:t>
      </w:r>
    </w:p>
    <w:p w14:paraId="070FD462" w14:textId="77777777" w:rsidR="00A34D73" w:rsidRPr="00A87926" w:rsidRDefault="00A34D73" w:rsidP="00AD0AEE">
      <w:pPr>
        <w:spacing w:after="120"/>
        <w:ind w:left="2268" w:right="1134" w:hanging="1134"/>
        <w:jc w:val="both"/>
        <w:rPr>
          <w:b/>
          <w:bCs/>
          <w:color w:val="000000" w:themeColor="text1"/>
        </w:rPr>
      </w:pPr>
      <w:r w:rsidRPr="00A87926">
        <w:rPr>
          <w:b/>
          <w:bCs/>
          <w:color w:val="000000" w:themeColor="text1"/>
        </w:rPr>
        <w:t>4.2.3</w:t>
      </w:r>
      <w:r w:rsidRPr="00A87926">
        <w:rPr>
          <w:b/>
          <w:bCs/>
          <w:color w:val="000000" w:themeColor="text1"/>
        </w:rPr>
        <w:tab/>
        <w:t>Le fabricant doit fournir les instructions mentionnées au paragraphe 4.2.2 pour mise à disposition du public aux points de vente sans qu’il soit nécessaire d’ouvrir l’emballage.</w:t>
      </w:r>
      <w:r w:rsidR="004B2E6F">
        <w:rPr>
          <w:b/>
          <w:bCs/>
          <w:color w:val="000000" w:themeColor="text1"/>
        </w:rPr>
        <w:t> </w:t>
      </w:r>
      <w:r w:rsidRPr="00A87926">
        <w:rPr>
          <w:color w:val="000000" w:themeColor="text1"/>
        </w:rPr>
        <w:t>».</w:t>
      </w:r>
    </w:p>
    <w:p w14:paraId="05535E77" w14:textId="77777777" w:rsidR="00A34D73" w:rsidRPr="00A87926" w:rsidRDefault="00A34D73" w:rsidP="004B2E6F">
      <w:pPr>
        <w:pStyle w:val="SingleTxtG"/>
      </w:pPr>
      <w:r w:rsidRPr="004B2E6F">
        <w:rPr>
          <w:i/>
          <w:iCs/>
        </w:rPr>
        <w:t>Paragraphe 5.1 (dans la nouvelle numérotation)</w:t>
      </w:r>
      <w:r w:rsidRPr="00A87926">
        <w:t>, lire</w:t>
      </w:r>
      <w:r>
        <w:t> :</w:t>
      </w:r>
    </w:p>
    <w:p w14:paraId="6A5BAACF" w14:textId="77777777" w:rsidR="00A34D73" w:rsidRPr="00A87926" w:rsidRDefault="00A34D73" w:rsidP="00AD0AEE">
      <w:pPr>
        <w:spacing w:after="120"/>
        <w:ind w:left="2268" w:right="1134" w:hanging="1134"/>
        <w:jc w:val="both"/>
        <w:rPr>
          <w:color w:val="000000" w:themeColor="text1"/>
        </w:rPr>
      </w:pPr>
      <w:r w:rsidRPr="00A87926">
        <w:rPr>
          <w:color w:val="000000" w:themeColor="text1"/>
        </w:rPr>
        <w:t>«</w:t>
      </w:r>
      <w:r w:rsidR="004B2E6F">
        <w:rPr>
          <w:color w:val="000000" w:themeColor="text1"/>
        </w:rPr>
        <w:t> </w:t>
      </w:r>
      <w:r w:rsidRPr="00A87926">
        <w:rPr>
          <w:color w:val="000000" w:themeColor="text1"/>
        </w:rPr>
        <w:t>5.1</w:t>
      </w:r>
      <w:r w:rsidRPr="00A87926">
        <w:rPr>
          <w:color w:val="000000" w:themeColor="text1"/>
        </w:rPr>
        <w:tab/>
        <w:t xml:space="preserve">Les sources lumineuses </w:t>
      </w:r>
      <w:r w:rsidRPr="00A87926">
        <w:rPr>
          <w:strike/>
          <w:color w:val="000000" w:themeColor="text1"/>
        </w:rPr>
        <w:t>à incandescence</w:t>
      </w:r>
      <w:r w:rsidRPr="00A87926">
        <w:rPr>
          <w:color w:val="000000" w:themeColor="text1"/>
        </w:rPr>
        <w:t xml:space="preserve"> homologuées conformément au présent Règlement doivent être fabriquées de manière à être conformes au type homologué en satisfaisant aux prescriptions d’inscription et aux prescriptions techniques énoncées au paragraphe 3 </w:t>
      </w:r>
      <w:r w:rsidRPr="00A87926">
        <w:rPr>
          <w:b/>
          <w:bCs/>
          <w:color w:val="000000" w:themeColor="text1"/>
        </w:rPr>
        <w:t>du présent Règlement</w:t>
      </w:r>
      <w:r w:rsidRPr="00A87926">
        <w:rPr>
          <w:color w:val="000000" w:themeColor="text1"/>
        </w:rPr>
        <w:t xml:space="preserve"> </w:t>
      </w:r>
      <w:r w:rsidRPr="00A87926">
        <w:rPr>
          <w:strike/>
          <w:color w:val="000000" w:themeColor="text1"/>
        </w:rPr>
        <w:t>ci</w:t>
      </w:r>
      <w:r w:rsidR="004B2E6F">
        <w:rPr>
          <w:strike/>
          <w:color w:val="000000" w:themeColor="text1"/>
        </w:rPr>
        <w:noBreakHyphen/>
      </w:r>
      <w:r w:rsidRPr="00A87926">
        <w:rPr>
          <w:strike/>
          <w:color w:val="000000" w:themeColor="text1"/>
        </w:rPr>
        <w:t>dessus</w:t>
      </w:r>
      <w:r w:rsidRPr="00A87926">
        <w:rPr>
          <w:color w:val="000000" w:themeColor="text1"/>
        </w:rPr>
        <w:t xml:space="preserve"> ainsi que dans les annexes 1</w:t>
      </w:r>
      <w:r w:rsidRPr="00A87926">
        <w:rPr>
          <w:strike/>
          <w:color w:val="000000" w:themeColor="text1"/>
        </w:rPr>
        <w:t>,</w:t>
      </w:r>
      <w:r w:rsidRPr="00A87926">
        <w:rPr>
          <w:color w:val="000000" w:themeColor="text1"/>
        </w:rPr>
        <w:t xml:space="preserve"> </w:t>
      </w:r>
      <w:r w:rsidRPr="00A87926">
        <w:rPr>
          <w:b/>
          <w:bCs/>
          <w:color w:val="000000" w:themeColor="text1"/>
        </w:rPr>
        <w:t>et</w:t>
      </w:r>
      <w:r w:rsidRPr="00A87926">
        <w:rPr>
          <w:color w:val="000000" w:themeColor="text1"/>
        </w:rPr>
        <w:t xml:space="preserve"> 3, tout comme </w:t>
      </w:r>
      <w:r w:rsidRPr="00A87926">
        <w:rPr>
          <w:b/>
          <w:bCs/>
          <w:color w:val="000000" w:themeColor="text1"/>
        </w:rPr>
        <w:t>dans l’annexe 4</w:t>
      </w:r>
      <w:r w:rsidRPr="00A87926">
        <w:rPr>
          <w:color w:val="000000" w:themeColor="text1"/>
        </w:rPr>
        <w:t xml:space="preserve"> </w:t>
      </w:r>
      <w:r w:rsidRPr="00A87926">
        <w:rPr>
          <w:strike/>
          <w:color w:val="000000" w:themeColor="text1"/>
        </w:rPr>
        <w:t>du présent Règlement</w:t>
      </w:r>
      <w:r w:rsidRPr="00A87926">
        <w:rPr>
          <w:color w:val="000000" w:themeColor="text1"/>
        </w:rPr>
        <w:t xml:space="preserve"> </w:t>
      </w:r>
      <w:r w:rsidRPr="00A87926">
        <w:rPr>
          <w:b/>
          <w:bCs/>
          <w:color w:val="000000" w:themeColor="text1"/>
        </w:rPr>
        <w:t>pour les sources lumineuses à incandescence et dans l’annexe 6 pour les sources lumineuses à DEL de remplacement.</w:t>
      </w:r>
      <w:r w:rsidR="004B2E6F">
        <w:rPr>
          <w:color w:val="000000" w:themeColor="text1"/>
        </w:rPr>
        <w:t> </w:t>
      </w:r>
      <w:r w:rsidRPr="00A87926">
        <w:rPr>
          <w:color w:val="000000" w:themeColor="text1"/>
        </w:rPr>
        <w:t>».</w:t>
      </w:r>
    </w:p>
    <w:p w14:paraId="59B4AE26" w14:textId="77777777" w:rsidR="00A34D73" w:rsidRPr="00A87926" w:rsidRDefault="00A34D73" w:rsidP="006B6616">
      <w:pPr>
        <w:pStyle w:val="SingleTxtG"/>
        <w:keepNext/>
      </w:pPr>
      <w:r w:rsidRPr="004B2E6F">
        <w:rPr>
          <w:i/>
          <w:iCs/>
        </w:rPr>
        <w:lastRenderedPageBreak/>
        <w:t>Paragraphe 5.3.5 (dans la nouvelle numérotation)</w:t>
      </w:r>
      <w:r w:rsidRPr="00A87926">
        <w:t>, lire</w:t>
      </w:r>
      <w:r>
        <w:t> :</w:t>
      </w:r>
    </w:p>
    <w:p w14:paraId="0389D7AD" w14:textId="77777777" w:rsidR="00A34D73" w:rsidRPr="00A87926" w:rsidRDefault="00A34D73" w:rsidP="00AD0AEE">
      <w:pPr>
        <w:spacing w:after="120"/>
        <w:ind w:left="2268" w:right="1134" w:hanging="1134"/>
        <w:jc w:val="both"/>
        <w:rPr>
          <w:color w:val="000000" w:themeColor="text1"/>
        </w:rPr>
      </w:pPr>
      <w:r w:rsidRPr="00A87926">
        <w:rPr>
          <w:color w:val="000000" w:themeColor="text1"/>
        </w:rPr>
        <w:t>«</w:t>
      </w:r>
      <w:r w:rsidR="004B2E6F">
        <w:rPr>
          <w:color w:val="000000" w:themeColor="text1"/>
        </w:rPr>
        <w:t> </w:t>
      </w:r>
      <w:r w:rsidRPr="00A87926">
        <w:rPr>
          <w:color w:val="000000" w:themeColor="text1"/>
        </w:rPr>
        <w:t>5.3.5</w:t>
      </w:r>
      <w:r w:rsidRPr="00A87926">
        <w:rPr>
          <w:color w:val="000000" w:themeColor="text1"/>
        </w:rPr>
        <w:tab/>
        <w:t xml:space="preserve">De faire en sorte que, pour chaque type de source lumineuse </w:t>
      </w:r>
      <w:r w:rsidRPr="00A87926">
        <w:rPr>
          <w:strike/>
          <w:color w:val="000000" w:themeColor="text1"/>
        </w:rPr>
        <w:t>à incandescence</w:t>
      </w:r>
      <w:r w:rsidRPr="00A87926">
        <w:rPr>
          <w:color w:val="000000" w:themeColor="text1"/>
        </w:rPr>
        <w:t xml:space="preserve">, les essais prescrits à l’annexe </w:t>
      </w:r>
      <w:r w:rsidRPr="00A87926">
        <w:rPr>
          <w:b/>
          <w:bCs/>
          <w:color w:val="000000" w:themeColor="text1"/>
        </w:rPr>
        <w:t>7</w:t>
      </w:r>
      <w:r w:rsidRPr="00A87926">
        <w:rPr>
          <w:color w:val="000000" w:themeColor="text1"/>
        </w:rPr>
        <w:t xml:space="preserve"> </w:t>
      </w:r>
      <w:r w:rsidRPr="00A87926">
        <w:rPr>
          <w:strike/>
          <w:color w:val="000000" w:themeColor="text1"/>
        </w:rPr>
        <w:t>6</w:t>
      </w:r>
      <w:r w:rsidRPr="00A87926">
        <w:rPr>
          <w:color w:val="000000" w:themeColor="text1"/>
        </w:rPr>
        <w:t xml:space="preserve"> du présent Règlement soient effectués au moins</w:t>
      </w:r>
      <w:r>
        <w:rPr>
          <w:color w:val="000000" w:themeColor="text1"/>
        </w:rPr>
        <w:t> ;</w:t>
      </w:r>
      <w:r w:rsidR="004B2E6F">
        <w:rPr>
          <w:color w:val="000000" w:themeColor="text1"/>
        </w:rPr>
        <w:t> </w:t>
      </w:r>
      <w:r w:rsidRPr="00A87926">
        <w:rPr>
          <w:color w:val="000000" w:themeColor="text1"/>
        </w:rPr>
        <w:t>»</w:t>
      </w:r>
      <w:r w:rsidR="00CB1541">
        <w:rPr>
          <w:color w:val="000000" w:themeColor="text1"/>
        </w:rPr>
        <w:t>.</w:t>
      </w:r>
    </w:p>
    <w:p w14:paraId="5A23C297" w14:textId="77777777" w:rsidR="00A34D73" w:rsidRPr="00A87926" w:rsidRDefault="00A34D73" w:rsidP="004B2E6F">
      <w:pPr>
        <w:pStyle w:val="SingleTxtG"/>
      </w:pPr>
      <w:r w:rsidRPr="004B2E6F">
        <w:rPr>
          <w:i/>
          <w:iCs/>
        </w:rPr>
        <w:t>Ajouter le nouveau paragraphe 5.3.7</w:t>
      </w:r>
      <w:r w:rsidRPr="00A87926">
        <w:t>, libellé comme suit</w:t>
      </w:r>
      <w:r>
        <w:t> :</w:t>
      </w:r>
    </w:p>
    <w:p w14:paraId="28ED0448" w14:textId="77777777" w:rsidR="00A34D73" w:rsidRPr="00A87926" w:rsidRDefault="00A34D73" w:rsidP="00AD0AEE">
      <w:pPr>
        <w:spacing w:after="120"/>
        <w:ind w:left="2268" w:right="1134" w:hanging="1134"/>
        <w:jc w:val="both"/>
        <w:rPr>
          <w:color w:val="000000" w:themeColor="text1"/>
        </w:rPr>
      </w:pPr>
      <w:r w:rsidRPr="00A87926">
        <w:rPr>
          <w:color w:val="000000" w:themeColor="text1"/>
        </w:rPr>
        <w:t>«</w:t>
      </w:r>
      <w:r w:rsidR="00CB1541">
        <w:rPr>
          <w:color w:val="000000" w:themeColor="text1"/>
        </w:rPr>
        <w:t> </w:t>
      </w:r>
      <w:r w:rsidRPr="00A87926">
        <w:rPr>
          <w:b/>
          <w:bCs/>
          <w:color w:val="000000" w:themeColor="text1"/>
        </w:rPr>
        <w:t>5.3.7</w:t>
      </w:r>
      <w:r w:rsidRPr="00A87926">
        <w:rPr>
          <w:b/>
          <w:bCs/>
          <w:color w:val="000000" w:themeColor="text1"/>
        </w:rPr>
        <w:tab/>
      </w:r>
      <w:r w:rsidRPr="00A87926">
        <w:rPr>
          <w:b/>
          <w:bCs/>
          <w:color w:val="000000" w:themeColor="text1"/>
        </w:rPr>
        <w:tab/>
        <w:t>Tenir à jour les informations et les listes publiées sur son ou ses sites Web, y compris les modifications apportées et les dates de ces modifications, conformément aux prescriptions du paragraphe 4.2.2.1.</w:t>
      </w:r>
      <w:r w:rsidR="00CB1541">
        <w:rPr>
          <w:b/>
          <w:bCs/>
          <w:color w:val="000000" w:themeColor="text1"/>
        </w:rPr>
        <w:t> </w:t>
      </w:r>
      <w:r w:rsidRPr="00A87926">
        <w:rPr>
          <w:color w:val="000000" w:themeColor="text1"/>
        </w:rPr>
        <w:t>».</w:t>
      </w:r>
    </w:p>
    <w:p w14:paraId="27CA0770" w14:textId="77777777" w:rsidR="00A34D73" w:rsidRPr="00A87926" w:rsidRDefault="00A34D73" w:rsidP="00CB1541">
      <w:pPr>
        <w:pStyle w:val="SingleTxtG"/>
      </w:pPr>
      <w:r w:rsidRPr="00CB1541">
        <w:rPr>
          <w:i/>
          <w:iCs/>
        </w:rPr>
        <w:t>Paragraphe 6.1 (dans la nouvelle numérotation)</w:t>
      </w:r>
      <w:r w:rsidRPr="00A87926">
        <w:t>, lire</w:t>
      </w:r>
      <w:r>
        <w:t> :</w:t>
      </w:r>
    </w:p>
    <w:p w14:paraId="0C8C1FE5" w14:textId="77777777" w:rsidR="00A34D73" w:rsidRPr="00A87926" w:rsidRDefault="00A34D73" w:rsidP="00AD0AEE">
      <w:pPr>
        <w:spacing w:after="120"/>
        <w:ind w:left="2268" w:right="1134" w:hanging="1134"/>
        <w:jc w:val="both"/>
        <w:rPr>
          <w:color w:val="000000" w:themeColor="text1"/>
        </w:rPr>
      </w:pPr>
      <w:r w:rsidRPr="00A87926">
        <w:rPr>
          <w:color w:val="000000" w:themeColor="text1"/>
        </w:rPr>
        <w:t>«</w:t>
      </w:r>
      <w:r w:rsidR="00CB1541">
        <w:rPr>
          <w:color w:val="000000" w:themeColor="text1"/>
        </w:rPr>
        <w:t> </w:t>
      </w:r>
      <w:r w:rsidRPr="00A87926">
        <w:rPr>
          <w:color w:val="000000" w:themeColor="text1"/>
        </w:rPr>
        <w:t>6.1</w:t>
      </w:r>
      <w:r w:rsidRPr="00A87926">
        <w:rPr>
          <w:color w:val="000000" w:themeColor="text1"/>
        </w:rPr>
        <w:tab/>
        <w:t xml:space="preserve">L’homologation délivrée pour un type de source lumineuse </w:t>
      </w:r>
      <w:r w:rsidRPr="00A87926">
        <w:rPr>
          <w:strike/>
          <w:color w:val="000000" w:themeColor="text1"/>
        </w:rPr>
        <w:t>à incandescence</w:t>
      </w:r>
      <w:r w:rsidRPr="00A87926">
        <w:rPr>
          <w:color w:val="000000" w:themeColor="text1"/>
        </w:rPr>
        <w:t xml:space="preserve"> conformément au présent Règlement peut être retirée si les prescriptions ne sont pas respectées ou si une source lumineuse </w:t>
      </w:r>
      <w:r w:rsidRPr="00A87926">
        <w:rPr>
          <w:strike/>
          <w:color w:val="000000" w:themeColor="text1"/>
        </w:rPr>
        <w:t>à incandescence</w:t>
      </w:r>
      <w:r w:rsidRPr="00A87926">
        <w:rPr>
          <w:color w:val="000000" w:themeColor="text1"/>
        </w:rPr>
        <w:t xml:space="preserve"> portant la marque d’homologation n’est pas conforme au type homologué.</w:t>
      </w:r>
      <w:r w:rsidR="00CB1541">
        <w:rPr>
          <w:color w:val="000000" w:themeColor="text1"/>
        </w:rPr>
        <w:t> </w:t>
      </w:r>
      <w:r w:rsidRPr="00A87926">
        <w:rPr>
          <w:color w:val="000000" w:themeColor="text1"/>
        </w:rPr>
        <w:t>»</w:t>
      </w:r>
      <w:r w:rsidR="00CB1541">
        <w:rPr>
          <w:color w:val="000000" w:themeColor="text1"/>
        </w:rPr>
        <w:t>.</w:t>
      </w:r>
    </w:p>
    <w:p w14:paraId="76B03D40" w14:textId="77777777" w:rsidR="00A34D73" w:rsidRPr="00A87926" w:rsidRDefault="00A34D73" w:rsidP="00CB1541">
      <w:pPr>
        <w:pStyle w:val="SingleTxtG"/>
      </w:pPr>
      <w:r w:rsidRPr="00CB1541">
        <w:rPr>
          <w:i/>
          <w:iCs/>
        </w:rPr>
        <w:t>Paragraphe 9.1 (dans la nouvelle numérotation), la note de bas de page 6</w:t>
      </w:r>
      <w:r w:rsidRPr="00A87926">
        <w:t xml:space="preserve"> devient la note de bas de page 11.</w:t>
      </w:r>
    </w:p>
    <w:p w14:paraId="622AAEC4" w14:textId="77777777" w:rsidR="00A34D73" w:rsidRPr="00A87926" w:rsidRDefault="00A34D73" w:rsidP="00CB1541">
      <w:pPr>
        <w:pStyle w:val="SingleTxtG"/>
      </w:pPr>
      <w:r w:rsidRPr="00CB1541">
        <w:rPr>
          <w:i/>
          <w:iCs/>
        </w:rPr>
        <w:t>Annexe 1</w:t>
      </w:r>
      <w:r w:rsidRPr="00A87926">
        <w:t>, lire</w:t>
      </w:r>
      <w:r>
        <w:t> :</w:t>
      </w:r>
    </w:p>
    <w:p w14:paraId="1A7F9269" w14:textId="77777777" w:rsidR="00A34D73" w:rsidRPr="00A87926" w:rsidRDefault="00A34D73" w:rsidP="00CB1541">
      <w:pPr>
        <w:pStyle w:val="HChG"/>
        <w:rPr>
          <w:snapToGrid w:val="0"/>
        </w:rPr>
      </w:pPr>
      <w:r w:rsidRPr="00A87926">
        <w:tab/>
      </w:r>
      <w:r w:rsidRPr="00A87926">
        <w:tab/>
      </w:r>
      <w:r w:rsidRPr="00CB1541">
        <w:rPr>
          <w:b w:val="0"/>
          <w:bCs/>
          <w:sz w:val="20"/>
        </w:rPr>
        <w:t>«</w:t>
      </w:r>
      <w:r w:rsidR="00CB1541">
        <w:rPr>
          <w:snapToGrid w:val="0"/>
          <w:sz w:val="20"/>
        </w:rPr>
        <w:t> </w:t>
      </w:r>
      <w:r w:rsidRPr="00A87926">
        <w:rPr>
          <w:snapToGrid w:val="0"/>
        </w:rPr>
        <w:t>Annexe 1</w:t>
      </w:r>
    </w:p>
    <w:p w14:paraId="2B208DA1" w14:textId="77777777" w:rsidR="00A34D73" w:rsidRPr="006B6616" w:rsidRDefault="00A34D73" w:rsidP="00A34D73">
      <w:pPr>
        <w:pStyle w:val="HChG"/>
        <w:rPr>
          <w:color w:val="000000" w:themeColor="text1"/>
          <w:szCs w:val="28"/>
        </w:rPr>
      </w:pPr>
      <w:r w:rsidRPr="00A87926">
        <w:rPr>
          <w:color w:val="000000" w:themeColor="text1"/>
          <w:sz w:val="20"/>
        </w:rPr>
        <w:tab/>
      </w:r>
      <w:r w:rsidRPr="00A87926">
        <w:rPr>
          <w:color w:val="000000" w:themeColor="text1"/>
          <w:sz w:val="20"/>
        </w:rPr>
        <w:tab/>
      </w:r>
      <w:r w:rsidRPr="006B6616">
        <w:rPr>
          <w:b w:val="0"/>
          <w:bCs/>
          <w:color w:val="000000" w:themeColor="text1"/>
          <w:szCs w:val="28"/>
        </w:rPr>
        <w:t>Feuilles</w:t>
      </w:r>
      <w:r w:rsidRPr="006B6616">
        <w:rPr>
          <w:rStyle w:val="Appelnotedebasdep"/>
          <w:b w:val="0"/>
          <w:bCs/>
          <w:color w:val="000000" w:themeColor="text1"/>
          <w:sz w:val="20"/>
          <w:vertAlign w:val="baseline"/>
        </w:rPr>
        <w:footnoteReference w:customMarkFollows="1" w:id="3"/>
        <w:t>*</w:t>
      </w:r>
      <w:r w:rsidRPr="006B6616">
        <w:rPr>
          <w:b w:val="0"/>
          <w:bCs/>
          <w:color w:val="000000" w:themeColor="text1"/>
          <w:szCs w:val="28"/>
        </w:rPr>
        <w:t xml:space="preserve"> relatives aux sources lumineuses à incandescence</w:t>
      </w:r>
      <w:r w:rsidRPr="006B6616">
        <w:rPr>
          <w:color w:val="000000" w:themeColor="text1"/>
          <w:szCs w:val="28"/>
        </w:rPr>
        <w:t xml:space="preserve"> et à leurs sources lumineuses à DEL de remplacement</w:t>
      </w:r>
    </w:p>
    <w:p w14:paraId="1AE617E8" w14:textId="77777777" w:rsidR="00A34D73" w:rsidRPr="00A87926" w:rsidRDefault="00A34D73" w:rsidP="00A34D73">
      <w:pPr>
        <w:spacing w:after="120"/>
        <w:ind w:left="1134" w:right="1134" w:firstLine="567"/>
        <w:jc w:val="both"/>
        <w:rPr>
          <w:color w:val="000000" w:themeColor="text1"/>
        </w:rPr>
      </w:pPr>
      <w:r w:rsidRPr="00A87926">
        <w:rPr>
          <w:color w:val="000000" w:themeColor="text1"/>
        </w:rPr>
        <w:t xml:space="preserve">Les feuilles relatives à la catégorie de source lumineuse </w:t>
      </w:r>
      <w:r w:rsidRPr="00A87926">
        <w:rPr>
          <w:strike/>
          <w:color w:val="000000" w:themeColor="text1"/>
        </w:rPr>
        <w:t>à incandescence</w:t>
      </w:r>
      <w:r w:rsidRPr="00A87926">
        <w:rPr>
          <w:color w:val="000000" w:themeColor="text1"/>
        </w:rPr>
        <w:t xml:space="preserve"> concernée et au groupe auquel appartient cette catégorie, ainsi que les restrictions d’utilisation correspondantes, s’appliquent conformément à la Résolution </w:t>
      </w:r>
      <w:r w:rsidRPr="00A87926">
        <w:rPr>
          <w:strike/>
          <w:color w:val="000000" w:themeColor="text1"/>
        </w:rPr>
        <w:t>[</w:t>
      </w:r>
      <w:r w:rsidRPr="00A87926">
        <w:rPr>
          <w:color w:val="000000" w:themeColor="text1"/>
        </w:rPr>
        <w:t xml:space="preserve">R.E.4 </w:t>
      </w:r>
      <w:r w:rsidRPr="00A87926">
        <w:rPr>
          <w:b/>
          <w:bCs/>
          <w:color w:val="000000" w:themeColor="text1"/>
        </w:rPr>
        <w:t>5</w:t>
      </w:r>
      <w:r w:rsidRPr="00A87926">
        <w:rPr>
          <w:strike/>
          <w:color w:val="000000" w:themeColor="text1"/>
        </w:rPr>
        <w:t>]</w:t>
      </w:r>
      <w:r w:rsidRPr="00A87926">
        <w:rPr>
          <w:color w:val="000000" w:themeColor="text1"/>
        </w:rPr>
        <w:t xml:space="preserve"> ou à ses révisions ultérieures applicables au moment de la demande d’homologation de type de la source lumineuse </w:t>
      </w:r>
      <w:r w:rsidRPr="00A87926">
        <w:rPr>
          <w:strike/>
          <w:color w:val="000000" w:themeColor="text1"/>
        </w:rPr>
        <w:t>à incandescence</w:t>
      </w:r>
      <w:r w:rsidRPr="00A87926">
        <w:rPr>
          <w:color w:val="000000" w:themeColor="text1"/>
        </w:rPr>
        <w:t>.</w:t>
      </w:r>
      <w:r w:rsidR="00CB1541">
        <w:rPr>
          <w:color w:val="000000" w:themeColor="text1"/>
        </w:rPr>
        <w:t> </w:t>
      </w:r>
      <w:r w:rsidRPr="00A87926">
        <w:rPr>
          <w:color w:val="000000" w:themeColor="text1"/>
        </w:rPr>
        <w:t>».</w:t>
      </w:r>
    </w:p>
    <w:p w14:paraId="082FDE86" w14:textId="77777777" w:rsidR="00A34D73" w:rsidRPr="00A87926" w:rsidRDefault="00A34D73" w:rsidP="00CB1541">
      <w:pPr>
        <w:pStyle w:val="SingleTxtG"/>
      </w:pPr>
      <w:r w:rsidRPr="00CB1541">
        <w:rPr>
          <w:i/>
          <w:iCs/>
        </w:rPr>
        <w:t>Annexe 2, point 9</w:t>
      </w:r>
      <w:r w:rsidRPr="00A87926">
        <w:t>, lire</w:t>
      </w:r>
      <w:r>
        <w:t> :</w:t>
      </w:r>
    </w:p>
    <w:p w14:paraId="2F7879D8" w14:textId="77777777" w:rsidR="00A34D73" w:rsidRPr="00A87926" w:rsidRDefault="00A34D73" w:rsidP="00CB1541">
      <w:pPr>
        <w:pStyle w:val="SingleTxtG"/>
        <w:tabs>
          <w:tab w:val="left" w:pos="1701"/>
          <w:tab w:val="right" w:leader="dot" w:pos="8505"/>
        </w:tabs>
      </w:pPr>
      <w:r w:rsidRPr="00A87926">
        <w:t>«</w:t>
      </w:r>
      <w:r w:rsidR="00CB1541">
        <w:t> </w:t>
      </w:r>
      <w:r w:rsidRPr="00A87926">
        <w:t>9.</w:t>
      </w:r>
      <w:r w:rsidRPr="00A87926">
        <w:tab/>
        <w:t>Description sommaire</w:t>
      </w:r>
      <w:r>
        <w:t> :</w:t>
      </w:r>
      <w:r w:rsidRPr="00A87926">
        <w:tab/>
      </w:r>
    </w:p>
    <w:p w14:paraId="3BE73207" w14:textId="77777777" w:rsidR="00A34D73" w:rsidRPr="00A87926" w:rsidRDefault="00A34D73" w:rsidP="00CB1541">
      <w:pPr>
        <w:pStyle w:val="SingleTxtG"/>
        <w:tabs>
          <w:tab w:val="right" w:leader="dot" w:pos="8505"/>
        </w:tabs>
        <w:ind w:left="1701"/>
        <w:rPr>
          <w:color w:val="000000" w:themeColor="text1"/>
        </w:rPr>
      </w:pPr>
      <w:r w:rsidRPr="00A87926">
        <w:rPr>
          <w:color w:val="000000" w:themeColor="text1"/>
        </w:rPr>
        <w:t xml:space="preserve">Catégorie de source lumineuse </w:t>
      </w:r>
      <w:r w:rsidRPr="00A87926">
        <w:rPr>
          <w:strike/>
          <w:color w:val="000000" w:themeColor="text1"/>
        </w:rPr>
        <w:t>à incandescence</w:t>
      </w:r>
      <w:r>
        <w:rPr>
          <w:color w:val="000000" w:themeColor="text1"/>
        </w:rPr>
        <w:t> :</w:t>
      </w:r>
      <w:r w:rsidRPr="00A87926">
        <w:rPr>
          <w:color w:val="000000" w:themeColor="text1"/>
        </w:rPr>
        <w:tab/>
      </w:r>
    </w:p>
    <w:p w14:paraId="2F77193A" w14:textId="77777777" w:rsidR="00A34D73" w:rsidRPr="00A87926" w:rsidRDefault="00A34D73" w:rsidP="00CB1541">
      <w:pPr>
        <w:pStyle w:val="SingleTxtG"/>
        <w:tabs>
          <w:tab w:val="right" w:leader="dot" w:pos="8505"/>
        </w:tabs>
        <w:ind w:left="1701"/>
        <w:rPr>
          <w:color w:val="000000" w:themeColor="text1"/>
        </w:rPr>
      </w:pPr>
      <w:r w:rsidRPr="00A87926">
        <w:rPr>
          <w:color w:val="000000" w:themeColor="text1"/>
        </w:rPr>
        <w:t>Tension nominale</w:t>
      </w:r>
      <w:r>
        <w:rPr>
          <w:color w:val="000000" w:themeColor="text1"/>
        </w:rPr>
        <w:t> :</w:t>
      </w:r>
      <w:r w:rsidRPr="00A87926">
        <w:rPr>
          <w:color w:val="000000" w:themeColor="text1"/>
        </w:rPr>
        <w:tab/>
      </w:r>
    </w:p>
    <w:p w14:paraId="070F8204" w14:textId="77777777" w:rsidR="00A34D73" w:rsidRPr="00A87926" w:rsidRDefault="00A34D73" w:rsidP="00CB1541">
      <w:pPr>
        <w:pStyle w:val="SingleTxtG"/>
        <w:tabs>
          <w:tab w:val="right" w:leader="dot" w:pos="8505"/>
        </w:tabs>
        <w:ind w:left="1701"/>
        <w:rPr>
          <w:color w:val="000000" w:themeColor="text1"/>
        </w:rPr>
      </w:pPr>
      <w:r w:rsidRPr="00A87926">
        <w:rPr>
          <w:color w:val="000000" w:themeColor="text1"/>
        </w:rPr>
        <w:t xml:space="preserve">Puissance nominale </w:t>
      </w:r>
      <w:r w:rsidRPr="00A87926">
        <w:rPr>
          <w:b/>
          <w:bCs/>
          <w:color w:val="000000" w:themeColor="text1"/>
        </w:rPr>
        <w:t>de la source lumineuse à incandescence</w:t>
      </w:r>
      <w:r>
        <w:rPr>
          <w:color w:val="000000" w:themeColor="text1"/>
        </w:rPr>
        <w:t> :</w:t>
      </w:r>
      <w:r w:rsidRPr="00A87926">
        <w:rPr>
          <w:color w:val="000000" w:themeColor="text1"/>
        </w:rPr>
        <w:tab/>
      </w:r>
    </w:p>
    <w:p w14:paraId="78FB92EA" w14:textId="77777777" w:rsidR="00A34D73" w:rsidRPr="00A87926" w:rsidRDefault="00A34D73" w:rsidP="00CB1541">
      <w:pPr>
        <w:pStyle w:val="SingleTxtG"/>
        <w:tabs>
          <w:tab w:val="right" w:leader="dot" w:pos="8505"/>
        </w:tabs>
        <w:ind w:left="1701"/>
      </w:pPr>
      <w:r w:rsidRPr="00A87926">
        <w:t>Couleur de la lumière émise</w:t>
      </w:r>
      <w:r>
        <w:t> :</w:t>
      </w:r>
      <w:r w:rsidRPr="00A87926">
        <w:t xml:space="preserve"> blanc/jaune sélectif/jaune-auto/rouge</w:t>
      </w:r>
      <w:r w:rsidRPr="00CB1541">
        <w:rPr>
          <w:sz w:val="18"/>
          <w:szCs w:val="18"/>
          <w:vertAlign w:val="superscript"/>
        </w:rPr>
        <w:t>2</w:t>
      </w:r>
    </w:p>
    <w:p w14:paraId="66401570" w14:textId="77777777" w:rsidR="00A34D73" w:rsidRPr="00A87926" w:rsidRDefault="00A34D73" w:rsidP="00CB1541">
      <w:pPr>
        <w:pStyle w:val="SingleTxtG"/>
        <w:tabs>
          <w:tab w:val="right" w:leader="dot" w:pos="8505"/>
        </w:tabs>
        <w:ind w:left="1701"/>
        <w:rPr>
          <w:color w:val="000000" w:themeColor="text1"/>
        </w:rPr>
      </w:pPr>
      <w:r w:rsidRPr="00A87926">
        <w:rPr>
          <w:color w:val="000000" w:themeColor="text1"/>
        </w:rPr>
        <w:t>Revêtement coloré sur l’ampoule en verre</w:t>
      </w:r>
      <w:r>
        <w:rPr>
          <w:color w:val="000000" w:themeColor="text1"/>
        </w:rPr>
        <w:t> :</w:t>
      </w:r>
      <w:r w:rsidRPr="00A87926">
        <w:rPr>
          <w:color w:val="000000" w:themeColor="text1"/>
        </w:rPr>
        <w:t xml:space="preserve"> oui/non</w:t>
      </w:r>
      <w:r w:rsidR="00CB1541" w:rsidRPr="00CB1541">
        <w:rPr>
          <w:sz w:val="18"/>
          <w:szCs w:val="18"/>
          <w:vertAlign w:val="superscript"/>
        </w:rPr>
        <w:t>2</w:t>
      </w:r>
    </w:p>
    <w:p w14:paraId="43836266" w14:textId="77777777" w:rsidR="00A34D73" w:rsidRPr="00CB1541" w:rsidRDefault="00A34D73" w:rsidP="00CB1541">
      <w:pPr>
        <w:pStyle w:val="SingleTxtG"/>
        <w:tabs>
          <w:tab w:val="right" w:leader="dot" w:pos="8505"/>
        </w:tabs>
        <w:ind w:left="1701"/>
        <w:rPr>
          <w:color w:val="000000" w:themeColor="text1"/>
        </w:rPr>
      </w:pPr>
      <w:r w:rsidRPr="00A87926">
        <w:rPr>
          <w:color w:val="000000" w:themeColor="text1"/>
        </w:rPr>
        <w:t>Source lumineuse à incandescence à halogène</w:t>
      </w:r>
      <w:r>
        <w:rPr>
          <w:color w:val="000000" w:themeColor="text1"/>
        </w:rPr>
        <w:t> :</w:t>
      </w:r>
      <w:r w:rsidRPr="00A87926">
        <w:rPr>
          <w:color w:val="000000" w:themeColor="text1"/>
        </w:rPr>
        <w:t xml:space="preserve"> oui/non</w:t>
      </w:r>
      <w:r w:rsidR="00CB1541" w:rsidRPr="00CB1541">
        <w:rPr>
          <w:sz w:val="18"/>
          <w:szCs w:val="18"/>
          <w:vertAlign w:val="superscript"/>
        </w:rPr>
        <w:t>2</w:t>
      </w:r>
    </w:p>
    <w:p w14:paraId="2262AE6F" w14:textId="77777777" w:rsidR="00A34D73" w:rsidRPr="00CB1541" w:rsidRDefault="00A34D73" w:rsidP="00CB1541">
      <w:pPr>
        <w:pStyle w:val="SingleTxtG"/>
        <w:tabs>
          <w:tab w:val="right" w:leader="dot" w:pos="8505"/>
        </w:tabs>
        <w:ind w:left="1701"/>
        <w:rPr>
          <w:b/>
          <w:bCs/>
          <w:color w:val="000000" w:themeColor="text1"/>
        </w:rPr>
      </w:pPr>
      <w:r w:rsidRPr="00A87926">
        <w:rPr>
          <w:b/>
          <w:bCs/>
          <w:color w:val="000000" w:themeColor="text1"/>
        </w:rPr>
        <w:t>Source lumineuse à DEL de remplacement</w:t>
      </w:r>
      <w:r>
        <w:rPr>
          <w:b/>
          <w:bCs/>
          <w:color w:val="000000" w:themeColor="text1"/>
        </w:rPr>
        <w:t> :</w:t>
      </w:r>
      <w:r w:rsidRPr="00A87926">
        <w:rPr>
          <w:b/>
          <w:bCs/>
          <w:color w:val="000000" w:themeColor="text1"/>
        </w:rPr>
        <w:t xml:space="preserve"> oui/non</w:t>
      </w:r>
      <w:r w:rsidR="00CB1541" w:rsidRPr="00CB1541">
        <w:rPr>
          <w:b/>
          <w:bCs/>
          <w:sz w:val="18"/>
          <w:szCs w:val="18"/>
          <w:vertAlign w:val="superscript"/>
        </w:rPr>
        <w:t>2</w:t>
      </w:r>
    </w:p>
    <w:p w14:paraId="3ECAA7D3" w14:textId="77777777" w:rsidR="00A34D73" w:rsidRPr="00A87926" w:rsidRDefault="00A34D73" w:rsidP="00CB1541">
      <w:pPr>
        <w:pStyle w:val="SingleTxtG"/>
        <w:tabs>
          <w:tab w:val="right" w:leader="dot" w:pos="8505"/>
        </w:tabs>
        <w:ind w:left="1701"/>
        <w:rPr>
          <w:b/>
          <w:bCs/>
          <w:color w:val="000000" w:themeColor="text1"/>
        </w:rPr>
      </w:pPr>
      <w:r w:rsidRPr="00A87926">
        <w:rPr>
          <w:b/>
          <w:bCs/>
          <w:color w:val="000000" w:themeColor="text1"/>
        </w:rPr>
        <w:t>Commandes électriques ou électroniques non intégrées à la source lumineuse à DEL de remplacement</w:t>
      </w:r>
      <w:r w:rsidR="006B6616">
        <w:rPr>
          <w:b/>
          <w:bCs/>
          <w:color w:val="000000" w:themeColor="text1"/>
        </w:rPr>
        <w:t> :</w:t>
      </w:r>
      <w:r w:rsidR="00CB1541">
        <w:rPr>
          <w:b/>
          <w:bCs/>
          <w:color w:val="000000" w:themeColor="text1"/>
        </w:rPr>
        <w:tab/>
      </w:r>
      <w:r w:rsidRPr="00A87926">
        <w:rPr>
          <w:b/>
          <w:bCs/>
          <w:color w:val="000000" w:themeColor="text1"/>
        </w:rPr>
        <w:t>oui/non</w:t>
      </w:r>
      <w:r w:rsidR="00CB1541" w:rsidRPr="00CB1541">
        <w:rPr>
          <w:b/>
          <w:bCs/>
          <w:sz w:val="18"/>
          <w:szCs w:val="18"/>
          <w:vertAlign w:val="superscript"/>
        </w:rPr>
        <w:t>2</w:t>
      </w:r>
    </w:p>
    <w:p w14:paraId="7F9518C6" w14:textId="77777777" w:rsidR="00A34D73" w:rsidRPr="00A87926" w:rsidRDefault="00A34D73" w:rsidP="00CB1541">
      <w:pPr>
        <w:pStyle w:val="SingleTxtG"/>
      </w:pPr>
      <w:r w:rsidRPr="00A87926">
        <w:t>».</w:t>
      </w:r>
    </w:p>
    <w:p w14:paraId="15E45CF1" w14:textId="77777777" w:rsidR="00A34D73" w:rsidRPr="00A87926" w:rsidRDefault="00A34D73" w:rsidP="00CB1541">
      <w:pPr>
        <w:pStyle w:val="SingleTxtG"/>
        <w:keepNext/>
      </w:pPr>
      <w:r w:rsidRPr="00CB1541">
        <w:rPr>
          <w:i/>
          <w:iCs/>
        </w:rPr>
        <w:lastRenderedPageBreak/>
        <w:t>Annexe 3</w:t>
      </w:r>
      <w:r w:rsidRPr="00A87926">
        <w:t>, lire</w:t>
      </w:r>
      <w:r>
        <w:t> :</w:t>
      </w:r>
    </w:p>
    <w:p w14:paraId="74CE4A83" w14:textId="77777777" w:rsidR="00A34D73" w:rsidRPr="00A87926" w:rsidRDefault="00A34D73" w:rsidP="00CB1541">
      <w:pPr>
        <w:pStyle w:val="SingleTxtG"/>
        <w:keepNext/>
      </w:pPr>
      <w:r w:rsidRPr="00A87926">
        <w:t>«</w:t>
      </w:r>
      <w:r w:rsidR="00CB1541">
        <w:t> </w:t>
      </w:r>
      <w:r w:rsidRPr="00A87926">
        <w:t>…</w:t>
      </w:r>
    </w:p>
    <w:p w14:paraId="290D6FF0" w14:textId="77777777" w:rsidR="00A34D73" w:rsidRPr="00A87926" w:rsidRDefault="00A34D73" w:rsidP="00A34D73">
      <w:pPr>
        <w:pStyle w:val="SingleTxtG"/>
        <w:ind w:firstLine="567"/>
        <w:rPr>
          <w:color w:val="000000" w:themeColor="text1"/>
        </w:rPr>
      </w:pPr>
      <w:r w:rsidRPr="00A87926">
        <w:rPr>
          <w:color w:val="000000" w:themeColor="text1"/>
        </w:rPr>
        <w:t xml:space="preserve">La marque d’homologation ci-dessus, apposée sur une source lumineuse </w:t>
      </w:r>
      <w:r w:rsidRPr="00A87926">
        <w:rPr>
          <w:strike/>
          <w:color w:val="000000" w:themeColor="text1"/>
        </w:rPr>
        <w:t>à incandescence</w:t>
      </w:r>
      <w:r w:rsidRPr="00A87926">
        <w:rPr>
          <w:color w:val="000000" w:themeColor="text1"/>
        </w:rPr>
        <w:t>, indique que cette source lumineuse a été homologuée au Royaume-Uni (E</w:t>
      </w:r>
      <w:r w:rsidR="00CB1541">
        <w:rPr>
          <w:color w:val="000000" w:themeColor="text1"/>
        </w:rPr>
        <w:t> </w:t>
      </w:r>
      <w:r w:rsidRPr="00A87926">
        <w:rPr>
          <w:color w:val="000000" w:themeColor="text1"/>
        </w:rPr>
        <w:t>11), sous le code d’homologation 0001.</w:t>
      </w:r>
    </w:p>
    <w:p w14:paraId="038C16D8" w14:textId="77777777" w:rsidR="00A34D73" w:rsidRPr="00A87926" w:rsidRDefault="00A34D73" w:rsidP="00A34D73">
      <w:pPr>
        <w:pStyle w:val="SingleTxtG"/>
        <w:rPr>
          <w:color w:val="000000" w:themeColor="text1"/>
        </w:rPr>
      </w:pPr>
      <w:r w:rsidRPr="00A87926">
        <w:rPr>
          <w:color w:val="000000" w:themeColor="text1"/>
        </w:rPr>
        <w:t>…</w:t>
      </w:r>
      <w:r w:rsidR="00CB1541">
        <w:rPr>
          <w:color w:val="000000" w:themeColor="text1"/>
        </w:rPr>
        <w:t> </w:t>
      </w:r>
      <w:r w:rsidRPr="00A87926">
        <w:rPr>
          <w:color w:val="000000" w:themeColor="text1"/>
        </w:rPr>
        <w:t>».</w:t>
      </w:r>
    </w:p>
    <w:p w14:paraId="305508FA" w14:textId="77777777" w:rsidR="00A34D73" w:rsidRPr="00A87926" w:rsidRDefault="00A34D73" w:rsidP="00CB1541">
      <w:pPr>
        <w:pStyle w:val="SingleTxtG"/>
      </w:pPr>
      <w:r w:rsidRPr="00CB1541">
        <w:rPr>
          <w:i/>
          <w:iCs/>
        </w:rPr>
        <w:t>Les annexes 6 à 9, y compris l’ensemble des références</w:t>
      </w:r>
      <w:r w:rsidRPr="00A87926">
        <w:t>, deviennent les annexes 7 à 10, respectivement.</w:t>
      </w:r>
    </w:p>
    <w:p w14:paraId="4946349D" w14:textId="77777777" w:rsidR="00A34D73" w:rsidRPr="00A87926" w:rsidRDefault="00A34D73" w:rsidP="00CB1541">
      <w:pPr>
        <w:pStyle w:val="SingleTxtG"/>
      </w:pPr>
      <w:r w:rsidRPr="00CB1541">
        <w:rPr>
          <w:i/>
          <w:iCs/>
        </w:rPr>
        <w:t>Ajouter une nouvelle annexe 6</w:t>
      </w:r>
      <w:r w:rsidRPr="00A87926">
        <w:t xml:space="preserve"> libellée comme suit</w:t>
      </w:r>
      <w:r>
        <w:t> :</w:t>
      </w:r>
    </w:p>
    <w:p w14:paraId="255D440D" w14:textId="77777777" w:rsidR="00A34D73" w:rsidRPr="00A87926" w:rsidRDefault="00CB1541" w:rsidP="00CB1541">
      <w:pPr>
        <w:pStyle w:val="HChG"/>
        <w:rPr>
          <w:snapToGrid w:val="0"/>
        </w:rPr>
      </w:pPr>
      <w:r>
        <w:rPr>
          <w:bCs/>
          <w:snapToGrid w:val="0"/>
        </w:rPr>
        <w:tab/>
      </w:r>
      <w:r>
        <w:rPr>
          <w:bCs/>
          <w:snapToGrid w:val="0"/>
        </w:rPr>
        <w:tab/>
      </w:r>
      <w:r w:rsidR="00A34D73" w:rsidRPr="00CB1541">
        <w:rPr>
          <w:b w:val="0"/>
          <w:snapToGrid w:val="0"/>
          <w:sz w:val="20"/>
        </w:rPr>
        <w:t>«</w:t>
      </w:r>
      <w:r w:rsidRPr="00CB1541">
        <w:rPr>
          <w:b w:val="0"/>
          <w:snapToGrid w:val="0"/>
          <w:sz w:val="20"/>
        </w:rPr>
        <w:t> </w:t>
      </w:r>
      <w:r w:rsidR="00A34D73" w:rsidRPr="00A87926">
        <w:rPr>
          <w:snapToGrid w:val="0"/>
        </w:rPr>
        <w:t>Annexe 6</w:t>
      </w:r>
    </w:p>
    <w:p w14:paraId="06087879" w14:textId="77777777" w:rsidR="00A34D73" w:rsidRPr="006B6616" w:rsidRDefault="00A34D73" w:rsidP="006B6616">
      <w:pPr>
        <w:pStyle w:val="SingleTxtG"/>
        <w:jc w:val="left"/>
        <w:rPr>
          <w:b/>
          <w:bCs/>
          <w:sz w:val="28"/>
          <w:szCs w:val="28"/>
        </w:rPr>
      </w:pPr>
      <w:r w:rsidRPr="006B6616">
        <w:rPr>
          <w:b/>
          <w:bCs/>
          <w:sz w:val="28"/>
          <w:szCs w:val="28"/>
        </w:rPr>
        <w:t>Méthode de mesure des caractéristiques électriques, photométriques et thermiques des sources lumineuses à</w:t>
      </w:r>
      <w:r w:rsidR="006B6616">
        <w:rPr>
          <w:b/>
          <w:bCs/>
          <w:sz w:val="28"/>
          <w:szCs w:val="28"/>
        </w:rPr>
        <w:t> </w:t>
      </w:r>
      <w:r w:rsidRPr="006B6616">
        <w:rPr>
          <w:b/>
          <w:bCs/>
          <w:sz w:val="28"/>
          <w:szCs w:val="28"/>
        </w:rPr>
        <w:t>DEL</w:t>
      </w:r>
      <w:r w:rsidR="006B6616">
        <w:rPr>
          <w:b/>
          <w:bCs/>
          <w:sz w:val="28"/>
          <w:szCs w:val="28"/>
        </w:rPr>
        <w:t> </w:t>
      </w:r>
      <w:r w:rsidRPr="006B6616">
        <w:rPr>
          <w:b/>
          <w:bCs/>
          <w:sz w:val="28"/>
          <w:szCs w:val="28"/>
        </w:rPr>
        <w:t>de remplacement</w:t>
      </w:r>
    </w:p>
    <w:p w14:paraId="0E0273F4" w14:textId="77777777" w:rsidR="00A34D73" w:rsidRPr="00A87926" w:rsidRDefault="00A34D73" w:rsidP="00AD0AEE">
      <w:pPr>
        <w:pStyle w:val="SingleTxtG"/>
        <w:ind w:left="2268"/>
        <w:rPr>
          <w:b/>
          <w:color w:val="000000" w:themeColor="text1"/>
        </w:rPr>
      </w:pPr>
      <w:r w:rsidRPr="00AD0AEE">
        <w:rPr>
          <w:b/>
          <w:bCs/>
        </w:rPr>
        <w:t>Les mesures des caractéristiques ci-dessus pour les sources lumineuses</w:t>
      </w:r>
      <w:r w:rsidRPr="00A87926">
        <w:rPr>
          <w:b/>
          <w:color w:val="000000" w:themeColor="text1"/>
        </w:rPr>
        <w:t xml:space="preserve"> à DEL de remplacement doivent être effectuées dans de l’air immobile à une température ambiante de (23</w:t>
      </w:r>
      <w:r w:rsidR="00CB1541">
        <w:rPr>
          <w:b/>
          <w:color w:val="000000" w:themeColor="text1"/>
        </w:rPr>
        <w:t xml:space="preserve"> </w:t>
      </w:r>
      <w:r w:rsidR="00CB1541">
        <w:rPr>
          <w:b/>
          <w:color w:val="000000" w:themeColor="text1"/>
        </w:rPr>
        <w:sym w:font="Symbol" w:char="F0B1"/>
      </w:r>
      <w:r w:rsidRPr="00A87926">
        <w:rPr>
          <w:b/>
          <w:color w:val="000000" w:themeColor="text1"/>
        </w:rPr>
        <w:t>2)</w:t>
      </w:r>
      <w:r w:rsidR="00CB1541">
        <w:rPr>
          <w:b/>
          <w:color w:val="000000" w:themeColor="text1"/>
        </w:rPr>
        <w:t> </w:t>
      </w:r>
      <w:r w:rsidRPr="00A87926">
        <w:rPr>
          <w:b/>
          <w:color w:val="000000" w:themeColor="text1"/>
        </w:rPr>
        <w:t>°C, ainsi qu’à une éventuelle valeur supplémentaire de température ambiante si une telle donnée est indiquée dans la feuille de données pertinente de l’annexe 1.</w:t>
      </w:r>
    </w:p>
    <w:p w14:paraId="0F2721BF" w14:textId="77777777" w:rsidR="00A34D73" w:rsidRPr="00CB1541" w:rsidRDefault="00A34D73" w:rsidP="00CB1541">
      <w:pPr>
        <w:pStyle w:val="SingleTxtG"/>
        <w:ind w:left="2268" w:hanging="1134"/>
        <w:rPr>
          <w:b/>
          <w:bCs/>
        </w:rPr>
      </w:pPr>
      <w:r w:rsidRPr="00CB1541">
        <w:rPr>
          <w:b/>
          <w:bCs/>
        </w:rPr>
        <w:t>1.</w:t>
      </w:r>
      <w:r w:rsidRPr="00CB1541">
        <w:rPr>
          <w:b/>
          <w:bCs/>
        </w:rPr>
        <w:tab/>
        <w:t>Flux lumineux</w:t>
      </w:r>
    </w:p>
    <w:p w14:paraId="6B466883" w14:textId="77777777" w:rsidR="00A34D73" w:rsidRPr="00A87926" w:rsidRDefault="00A34D73" w:rsidP="00CB1541">
      <w:pPr>
        <w:pStyle w:val="SingleTxtG"/>
        <w:ind w:left="2268" w:hanging="1134"/>
        <w:rPr>
          <w:b/>
          <w:bCs/>
          <w:color w:val="000000" w:themeColor="text1"/>
        </w:rPr>
      </w:pPr>
      <w:r w:rsidRPr="00A87926">
        <w:rPr>
          <w:b/>
          <w:bCs/>
          <w:color w:val="000000" w:themeColor="text1"/>
        </w:rPr>
        <w:t>1.1</w:t>
      </w:r>
      <w:r w:rsidRPr="00A87926">
        <w:rPr>
          <w:b/>
          <w:bCs/>
          <w:color w:val="000000" w:themeColor="text1"/>
        </w:rPr>
        <w:tab/>
        <w:t>Une mesure du flux lumineux doit être faite après 1</w:t>
      </w:r>
      <w:r w:rsidR="00CB1541">
        <w:rPr>
          <w:b/>
          <w:bCs/>
          <w:color w:val="000000" w:themeColor="text1"/>
        </w:rPr>
        <w:t> </w:t>
      </w:r>
      <w:r w:rsidRPr="00A87926">
        <w:rPr>
          <w:b/>
          <w:bCs/>
          <w:color w:val="000000" w:themeColor="text1"/>
        </w:rPr>
        <w:t>min et après 30</w:t>
      </w:r>
      <w:r w:rsidR="00CB1541">
        <w:rPr>
          <w:b/>
          <w:bCs/>
          <w:color w:val="000000" w:themeColor="text1"/>
        </w:rPr>
        <w:t> </w:t>
      </w:r>
      <w:r w:rsidRPr="00A87926">
        <w:rPr>
          <w:b/>
          <w:bCs/>
          <w:color w:val="000000" w:themeColor="text1"/>
        </w:rPr>
        <w:t>min de fonctionnement, en recourant à la méthode d’intégration.</w:t>
      </w:r>
    </w:p>
    <w:p w14:paraId="0724586A" w14:textId="77777777" w:rsidR="00A34D73" w:rsidRPr="00CB1541" w:rsidRDefault="00A34D73" w:rsidP="00CB1541">
      <w:pPr>
        <w:pStyle w:val="SingleTxtG"/>
        <w:ind w:left="2268" w:hanging="1134"/>
        <w:rPr>
          <w:b/>
          <w:bCs/>
        </w:rPr>
      </w:pPr>
      <w:r w:rsidRPr="00A87926">
        <w:rPr>
          <w:b/>
          <w:bCs/>
          <w:color w:val="000000" w:themeColor="text1"/>
        </w:rPr>
        <w:t>1.2</w:t>
      </w:r>
      <w:r w:rsidRPr="00A87926">
        <w:rPr>
          <w:b/>
          <w:bCs/>
          <w:color w:val="000000" w:themeColor="text1"/>
        </w:rPr>
        <w:tab/>
        <w:t>Les valeurs du flux lumineux, telles que mesurées après 30</w:t>
      </w:r>
      <w:r w:rsidR="00CB1541">
        <w:rPr>
          <w:b/>
          <w:bCs/>
          <w:color w:val="000000" w:themeColor="text1"/>
        </w:rPr>
        <w:t> </w:t>
      </w:r>
      <w:r w:rsidRPr="00A87926">
        <w:rPr>
          <w:b/>
          <w:bCs/>
          <w:color w:val="000000" w:themeColor="text1"/>
        </w:rPr>
        <w:t xml:space="preserve">min, doivent </w:t>
      </w:r>
      <w:r w:rsidRPr="00CB1541">
        <w:rPr>
          <w:b/>
          <w:bCs/>
        </w:rPr>
        <w:t>être conformes aux prescriptions minimales et maximales.</w:t>
      </w:r>
    </w:p>
    <w:p w14:paraId="18608080" w14:textId="77777777" w:rsidR="00A34D73" w:rsidRPr="00A87926" w:rsidRDefault="00A34D73" w:rsidP="00AD0AEE">
      <w:pPr>
        <w:pStyle w:val="SingleTxtG"/>
        <w:ind w:left="2268"/>
        <w:rPr>
          <w:b/>
          <w:color w:val="000000" w:themeColor="text1"/>
        </w:rPr>
      </w:pPr>
      <w:r w:rsidRPr="00A87926">
        <w:rPr>
          <w:b/>
          <w:color w:val="000000" w:themeColor="text1"/>
        </w:rPr>
        <w:t>En outre, sauf indication contraire figurant sur la feuille de données</w:t>
      </w:r>
      <w:r>
        <w:rPr>
          <w:b/>
          <w:color w:val="000000" w:themeColor="text1"/>
        </w:rPr>
        <w:t> :</w:t>
      </w:r>
    </w:p>
    <w:p w14:paraId="492E657F" w14:textId="77777777" w:rsidR="00A34D73" w:rsidRPr="00A87926" w:rsidRDefault="00A34D73" w:rsidP="00CB1541">
      <w:pPr>
        <w:pStyle w:val="SingleTxtG"/>
        <w:ind w:left="2835" w:hanging="567"/>
        <w:rPr>
          <w:b/>
          <w:color w:val="000000" w:themeColor="text1"/>
        </w:rPr>
      </w:pPr>
      <w:r w:rsidRPr="00A87926">
        <w:rPr>
          <w:b/>
          <w:color w:val="000000" w:themeColor="text1"/>
        </w:rPr>
        <w:t>i)</w:t>
      </w:r>
      <w:r w:rsidR="00CB1541">
        <w:rPr>
          <w:b/>
          <w:color w:val="000000" w:themeColor="text1"/>
        </w:rPr>
        <w:tab/>
      </w:r>
      <w:r w:rsidRPr="00A87926">
        <w:rPr>
          <w:b/>
          <w:color w:val="000000" w:themeColor="text1"/>
        </w:rPr>
        <w:t>La valeur du flux lumineux mesurée après 30</w:t>
      </w:r>
      <w:r w:rsidR="00CB1541">
        <w:rPr>
          <w:b/>
          <w:color w:val="000000" w:themeColor="text1"/>
        </w:rPr>
        <w:t> </w:t>
      </w:r>
      <w:r w:rsidRPr="00A87926">
        <w:rPr>
          <w:b/>
          <w:color w:val="000000" w:themeColor="text1"/>
        </w:rPr>
        <w:t>min doit se situer entre 100</w:t>
      </w:r>
      <w:r w:rsidR="00CB1541">
        <w:rPr>
          <w:b/>
          <w:color w:val="000000" w:themeColor="text1"/>
        </w:rPr>
        <w:t> </w:t>
      </w:r>
      <w:r w:rsidRPr="00A87926">
        <w:rPr>
          <w:b/>
          <w:color w:val="000000" w:themeColor="text1"/>
        </w:rPr>
        <w:t>% et 80</w:t>
      </w:r>
      <w:r w:rsidR="00CB1541">
        <w:rPr>
          <w:b/>
          <w:color w:val="000000" w:themeColor="text1"/>
        </w:rPr>
        <w:t> </w:t>
      </w:r>
      <w:r w:rsidRPr="00A87926">
        <w:rPr>
          <w:b/>
          <w:color w:val="000000" w:themeColor="text1"/>
        </w:rPr>
        <w:t>% de la valeur du flux lumineux mesurée après 1</w:t>
      </w:r>
      <w:r w:rsidR="00CB1541">
        <w:rPr>
          <w:b/>
          <w:color w:val="000000" w:themeColor="text1"/>
        </w:rPr>
        <w:t> </w:t>
      </w:r>
      <w:r w:rsidRPr="00A87926">
        <w:rPr>
          <w:b/>
          <w:color w:val="000000" w:themeColor="text1"/>
        </w:rPr>
        <w:t>min</w:t>
      </w:r>
      <w:r w:rsidR="006B6616">
        <w:rPr>
          <w:b/>
          <w:color w:val="000000" w:themeColor="text1"/>
        </w:rPr>
        <w:t> ;</w:t>
      </w:r>
      <w:r w:rsidRPr="00A87926">
        <w:rPr>
          <w:b/>
          <w:color w:val="000000" w:themeColor="text1"/>
        </w:rPr>
        <w:t xml:space="preserve"> ou</w:t>
      </w:r>
    </w:p>
    <w:p w14:paraId="13F89F6B" w14:textId="77777777" w:rsidR="00A34D73" w:rsidRPr="00A87926" w:rsidRDefault="00A34D73" w:rsidP="00CB1541">
      <w:pPr>
        <w:pStyle w:val="SingleTxtG"/>
        <w:ind w:left="2835" w:hanging="567"/>
        <w:rPr>
          <w:b/>
          <w:color w:val="000000" w:themeColor="text1"/>
        </w:rPr>
      </w:pPr>
      <w:r w:rsidRPr="00A87926">
        <w:rPr>
          <w:b/>
          <w:color w:val="000000" w:themeColor="text1"/>
        </w:rPr>
        <w:t>ii)</w:t>
      </w:r>
      <w:r w:rsidR="00CB1541">
        <w:rPr>
          <w:b/>
          <w:color w:val="000000" w:themeColor="text1"/>
        </w:rPr>
        <w:tab/>
      </w:r>
      <w:r w:rsidRPr="00A87926">
        <w:rPr>
          <w:b/>
          <w:color w:val="000000" w:themeColor="text1"/>
        </w:rPr>
        <w:t>La valeur du flux lumineux mesurée après 1</w:t>
      </w:r>
      <w:r w:rsidR="00CB1541">
        <w:rPr>
          <w:b/>
          <w:color w:val="000000" w:themeColor="text1"/>
        </w:rPr>
        <w:t> </w:t>
      </w:r>
      <w:r w:rsidRPr="00A87926">
        <w:rPr>
          <w:b/>
          <w:color w:val="000000" w:themeColor="text1"/>
        </w:rPr>
        <w:t>min doit être conforme aux prescriptions minimales et maximales, et la valeur du flux lumineux mesurée après 30</w:t>
      </w:r>
      <w:r w:rsidR="00CB1541">
        <w:rPr>
          <w:b/>
          <w:color w:val="000000" w:themeColor="text1"/>
        </w:rPr>
        <w:t> </w:t>
      </w:r>
      <w:r w:rsidRPr="00A87926">
        <w:rPr>
          <w:b/>
          <w:color w:val="000000" w:themeColor="text1"/>
        </w:rPr>
        <w:t xml:space="preserve">min ne doit pas s’écarter de plus de </w:t>
      </w:r>
      <w:r w:rsidR="00CB1541">
        <w:rPr>
          <w:b/>
          <w:color w:val="000000" w:themeColor="text1"/>
        </w:rPr>
        <w:sym w:font="Symbol" w:char="F0B1"/>
      </w:r>
      <w:r w:rsidRPr="00A87926">
        <w:rPr>
          <w:b/>
          <w:color w:val="000000" w:themeColor="text1"/>
        </w:rPr>
        <w:t>20</w:t>
      </w:r>
      <w:r w:rsidR="00CB1541">
        <w:rPr>
          <w:b/>
          <w:color w:val="000000" w:themeColor="text1"/>
        </w:rPr>
        <w:t> </w:t>
      </w:r>
      <w:r w:rsidRPr="00A87926">
        <w:rPr>
          <w:b/>
          <w:color w:val="000000" w:themeColor="text1"/>
        </w:rPr>
        <w:t>% de la valeur du flux lumineux mesurée après 1</w:t>
      </w:r>
      <w:r w:rsidR="00CB1541">
        <w:rPr>
          <w:b/>
          <w:color w:val="000000" w:themeColor="text1"/>
        </w:rPr>
        <w:t> </w:t>
      </w:r>
      <w:r w:rsidRPr="00A87926">
        <w:rPr>
          <w:b/>
          <w:color w:val="000000" w:themeColor="text1"/>
        </w:rPr>
        <w:t>min.</w:t>
      </w:r>
    </w:p>
    <w:p w14:paraId="44087D06" w14:textId="77777777" w:rsidR="00A34D73" w:rsidRPr="00A87926" w:rsidRDefault="00A34D73" w:rsidP="00CB1541">
      <w:pPr>
        <w:pStyle w:val="SingleTxtG"/>
        <w:ind w:left="2268" w:hanging="1134"/>
        <w:rPr>
          <w:b/>
          <w:bCs/>
          <w:color w:val="000000" w:themeColor="text1"/>
        </w:rPr>
      </w:pPr>
      <w:r w:rsidRPr="00A87926">
        <w:rPr>
          <w:b/>
          <w:bCs/>
          <w:color w:val="000000" w:themeColor="text1"/>
        </w:rPr>
        <w:t>1.3</w:t>
      </w:r>
      <w:r w:rsidRPr="00A87926">
        <w:rPr>
          <w:b/>
          <w:bCs/>
          <w:color w:val="000000" w:themeColor="text1"/>
        </w:rPr>
        <w:tab/>
        <w:t>Les mesures doivent être effectuées à la tension d’essai pertinente et aux valeurs minimales et maximales de la plage de tensions pertinente. Sauf indication plus précise sur la feuille de données, il convient de ne pas dépasser l’écart de flux lumineux ci-après, aux limites de l’intervalle de tolérance.</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080"/>
        <w:gridCol w:w="2492"/>
        <w:gridCol w:w="2933"/>
      </w:tblGrid>
      <w:tr w:rsidR="00A34D73" w:rsidRPr="00CB1541" w14:paraId="38A700FF" w14:textId="77777777" w:rsidTr="00CB1541">
        <w:trPr>
          <w:trHeight w:val="273"/>
        </w:trPr>
        <w:tc>
          <w:tcPr>
            <w:tcW w:w="2977" w:type="dxa"/>
            <w:tcBorders>
              <w:bottom w:val="single" w:sz="12" w:space="0" w:color="auto"/>
            </w:tcBorders>
            <w:tcMar>
              <w:left w:w="0" w:type="dxa"/>
              <w:right w:w="0" w:type="dxa"/>
            </w:tcMar>
          </w:tcPr>
          <w:p w14:paraId="14B12F04" w14:textId="77777777" w:rsidR="00A34D73" w:rsidRPr="00CB1541" w:rsidRDefault="00A34D73" w:rsidP="00CB1541">
            <w:pPr>
              <w:widowControl w:val="0"/>
              <w:tabs>
                <w:tab w:val="left" w:pos="1134"/>
                <w:tab w:val="left" w:pos="1276"/>
                <w:tab w:val="left" w:pos="2880"/>
              </w:tabs>
              <w:suppressAutoHyphens w:val="0"/>
              <w:spacing w:before="80" w:after="80" w:line="220" w:lineRule="atLeast"/>
              <w:jc w:val="center"/>
              <w:rPr>
                <w:b/>
                <w:bCs/>
                <w:i/>
                <w:snapToGrid w:val="0"/>
                <w:color w:val="000000" w:themeColor="text1"/>
                <w:sz w:val="16"/>
                <w:szCs w:val="16"/>
              </w:rPr>
            </w:pPr>
            <w:r w:rsidRPr="00CB1541">
              <w:rPr>
                <w:b/>
                <w:bCs/>
                <w:i/>
                <w:snapToGrid w:val="0"/>
                <w:color w:val="000000" w:themeColor="text1"/>
                <w:sz w:val="16"/>
                <w:szCs w:val="16"/>
              </w:rPr>
              <w:t>Tension nominale</w:t>
            </w:r>
          </w:p>
        </w:tc>
        <w:tc>
          <w:tcPr>
            <w:tcW w:w="2409" w:type="dxa"/>
            <w:tcBorders>
              <w:bottom w:val="single" w:sz="12" w:space="0" w:color="auto"/>
            </w:tcBorders>
            <w:tcMar>
              <w:left w:w="0" w:type="dxa"/>
              <w:right w:w="0" w:type="dxa"/>
            </w:tcMar>
          </w:tcPr>
          <w:p w14:paraId="6C656C24" w14:textId="77777777" w:rsidR="00A34D73" w:rsidRPr="00CB1541" w:rsidRDefault="00A34D73" w:rsidP="00CB1541">
            <w:pPr>
              <w:widowControl w:val="0"/>
              <w:tabs>
                <w:tab w:val="left" w:pos="1134"/>
                <w:tab w:val="left" w:pos="1276"/>
                <w:tab w:val="left" w:pos="2880"/>
              </w:tabs>
              <w:suppressAutoHyphens w:val="0"/>
              <w:spacing w:before="80" w:after="80" w:line="220" w:lineRule="atLeast"/>
              <w:jc w:val="center"/>
              <w:rPr>
                <w:b/>
                <w:bCs/>
                <w:i/>
                <w:snapToGrid w:val="0"/>
                <w:color w:val="000000" w:themeColor="text1"/>
                <w:sz w:val="16"/>
                <w:szCs w:val="16"/>
              </w:rPr>
            </w:pPr>
            <w:r w:rsidRPr="00CB1541">
              <w:rPr>
                <w:b/>
                <w:bCs/>
                <w:i/>
                <w:snapToGrid w:val="0"/>
                <w:color w:val="000000" w:themeColor="text1"/>
                <w:sz w:val="16"/>
                <w:szCs w:val="16"/>
              </w:rPr>
              <w:t>Tension min.</w:t>
            </w:r>
          </w:p>
        </w:tc>
        <w:tc>
          <w:tcPr>
            <w:tcW w:w="2835" w:type="dxa"/>
            <w:tcBorders>
              <w:bottom w:val="single" w:sz="12" w:space="0" w:color="auto"/>
            </w:tcBorders>
            <w:tcMar>
              <w:left w:w="0" w:type="dxa"/>
              <w:right w:w="0" w:type="dxa"/>
            </w:tcMar>
          </w:tcPr>
          <w:p w14:paraId="09F28A0E" w14:textId="77777777" w:rsidR="00A34D73" w:rsidRPr="00CB1541" w:rsidRDefault="00A34D73" w:rsidP="00CB1541">
            <w:pPr>
              <w:widowControl w:val="0"/>
              <w:tabs>
                <w:tab w:val="left" w:pos="1134"/>
                <w:tab w:val="left" w:pos="1276"/>
                <w:tab w:val="left" w:pos="2880"/>
              </w:tabs>
              <w:suppressAutoHyphens w:val="0"/>
              <w:spacing w:before="80" w:after="80" w:line="220" w:lineRule="atLeast"/>
              <w:jc w:val="center"/>
              <w:rPr>
                <w:b/>
                <w:bCs/>
                <w:i/>
                <w:snapToGrid w:val="0"/>
                <w:color w:val="000000" w:themeColor="text1"/>
                <w:sz w:val="16"/>
                <w:szCs w:val="16"/>
              </w:rPr>
            </w:pPr>
            <w:r w:rsidRPr="00CB1541">
              <w:rPr>
                <w:b/>
                <w:bCs/>
                <w:i/>
                <w:snapToGrid w:val="0"/>
                <w:color w:val="000000" w:themeColor="text1"/>
                <w:sz w:val="16"/>
                <w:szCs w:val="16"/>
              </w:rPr>
              <w:t>Tension max.</w:t>
            </w:r>
          </w:p>
        </w:tc>
      </w:tr>
      <w:tr w:rsidR="00A34D73" w:rsidRPr="00A87926" w14:paraId="032AD6E8" w14:textId="77777777" w:rsidTr="00CB1541">
        <w:trPr>
          <w:trHeight w:val="274"/>
        </w:trPr>
        <w:tc>
          <w:tcPr>
            <w:tcW w:w="2977" w:type="dxa"/>
            <w:tcBorders>
              <w:top w:val="single" w:sz="12" w:space="0" w:color="auto"/>
            </w:tcBorders>
            <w:tcMar>
              <w:left w:w="0" w:type="dxa"/>
              <w:right w:w="0" w:type="dxa"/>
            </w:tcMar>
          </w:tcPr>
          <w:p w14:paraId="79DDFC2B"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6</w:t>
            </w:r>
          </w:p>
        </w:tc>
        <w:tc>
          <w:tcPr>
            <w:tcW w:w="2409" w:type="dxa"/>
            <w:tcBorders>
              <w:top w:val="single" w:sz="12" w:space="0" w:color="auto"/>
            </w:tcBorders>
            <w:tcMar>
              <w:left w:w="0" w:type="dxa"/>
              <w:right w:w="0" w:type="dxa"/>
            </w:tcMar>
          </w:tcPr>
          <w:p w14:paraId="541FED0A"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6,0</w:t>
            </w:r>
          </w:p>
        </w:tc>
        <w:tc>
          <w:tcPr>
            <w:tcW w:w="2835" w:type="dxa"/>
            <w:tcBorders>
              <w:top w:val="single" w:sz="12" w:space="0" w:color="auto"/>
            </w:tcBorders>
            <w:tcMar>
              <w:left w:w="0" w:type="dxa"/>
              <w:right w:w="0" w:type="dxa"/>
            </w:tcMar>
          </w:tcPr>
          <w:p w14:paraId="67D5765E"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7,0</w:t>
            </w:r>
          </w:p>
        </w:tc>
      </w:tr>
      <w:tr w:rsidR="00A34D73" w:rsidRPr="00A87926" w14:paraId="7D7DDA74" w14:textId="77777777" w:rsidTr="00CB1541">
        <w:trPr>
          <w:trHeight w:val="274"/>
        </w:trPr>
        <w:tc>
          <w:tcPr>
            <w:tcW w:w="2977" w:type="dxa"/>
            <w:tcMar>
              <w:left w:w="0" w:type="dxa"/>
              <w:right w:w="0" w:type="dxa"/>
            </w:tcMar>
          </w:tcPr>
          <w:p w14:paraId="1D834532"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12</w:t>
            </w:r>
          </w:p>
        </w:tc>
        <w:tc>
          <w:tcPr>
            <w:tcW w:w="2409" w:type="dxa"/>
            <w:tcMar>
              <w:left w:w="0" w:type="dxa"/>
              <w:right w:w="0" w:type="dxa"/>
            </w:tcMar>
          </w:tcPr>
          <w:p w14:paraId="50024A82"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12,0</w:t>
            </w:r>
          </w:p>
        </w:tc>
        <w:tc>
          <w:tcPr>
            <w:tcW w:w="2835" w:type="dxa"/>
            <w:tcMar>
              <w:left w:w="0" w:type="dxa"/>
              <w:right w:w="0" w:type="dxa"/>
            </w:tcMar>
          </w:tcPr>
          <w:p w14:paraId="02F148AE"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14,0</w:t>
            </w:r>
          </w:p>
        </w:tc>
      </w:tr>
      <w:tr w:rsidR="00A34D73" w:rsidRPr="00A87926" w14:paraId="1C413D15" w14:textId="77777777" w:rsidTr="00CB1541">
        <w:trPr>
          <w:trHeight w:val="274"/>
        </w:trPr>
        <w:tc>
          <w:tcPr>
            <w:tcW w:w="2977" w:type="dxa"/>
            <w:tcBorders>
              <w:bottom w:val="single" w:sz="2" w:space="0" w:color="auto"/>
            </w:tcBorders>
            <w:tcMar>
              <w:left w:w="0" w:type="dxa"/>
              <w:right w:w="0" w:type="dxa"/>
            </w:tcMar>
          </w:tcPr>
          <w:p w14:paraId="60328A87"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24</w:t>
            </w:r>
          </w:p>
        </w:tc>
        <w:tc>
          <w:tcPr>
            <w:tcW w:w="2409" w:type="dxa"/>
            <w:tcBorders>
              <w:bottom w:val="single" w:sz="2" w:space="0" w:color="auto"/>
            </w:tcBorders>
            <w:tcMar>
              <w:left w:w="0" w:type="dxa"/>
              <w:right w:w="0" w:type="dxa"/>
            </w:tcMar>
          </w:tcPr>
          <w:p w14:paraId="0DF94DAA"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24,0</w:t>
            </w:r>
          </w:p>
        </w:tc>
        <w:tc>
          <w:tcPr>
            <w:tcW w:w="2835" w:type="dxa"/>
            <w:tcBorders>
              <w:bottom w:val="single" w:sz="2" w:space="0" w:color="auto"/>
            </w:tcBorders>
            <w:tcMar>
              <w:left w:w="0" w:type="dxa"/>
              <w:right w:w="0" w:type="dxa"/>
            </w:tcMar>
          </w:tcPr>
          <w:p w14:paraId="30252676"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bCs/>
                <w:snapToGrid w:val="0"/>
                <w:color w:val="000000" w:themeColor="text1"/>
              </w:rPr>
            </w:pPr>
            <w:r w:rsidRPr="00A87926">
              <w:rPr>
                <w:b/>
                <w:bCs/>
                <w:color w:val="000000" w:themeColor="text1"/>
              </w:rPr>
              <w:t>28,0</w:t>
            </w:r>
          </w:p>
        </w:tc>
      </w:tr>
      <w:tr w:rsidR="00A34D73" w:rsidRPr="00A87926" w14:paraId="49CF3345" w14:textId="77777777" w:rsidTr="00CB1541">
        <w:trPr>
          <w:trHeight w:val="274"/>
        </w:trPr>
        <w:tc>
          <w:tcPr>
            <w:tcW w:w="2977" w:type="dxa"/>
            <w:tcBorders>
              <w:bottom w:val="single" w:sz="12" w:space="0" w:color="auto"/>
            </w:tcBorders>
            <w:tcMar>
              <w:left w:w="0" w:type="dxa"/>
              <w:right w:w="0" w:type="dxa"/>
            </w:tcMar>
          </w:tcPr>
          <w:p w14:paraId="0DD11BA9" w14:textId="77777777" w:rsidR="00A34D73" w:rsidRPr="00A87926" w:rsidRDefault="00A34D73" w:rsidP="00CB1541">
            <w:pPr>
              <w:widowControl w:val="0"/>
              <w:tabs>
                <w:tab w:val="left" w:pos="1134"/>
                <w:tab w:val="left" w:pos="1276"/>
                <w:tab w:val="left" w:pos="2880"/>
              </w:tabs>
              <w:suppressAutoHyphens w:val="0"/>
              <w:spacing w:before="40" w:after="40" w:line="220" w:lineRule="atLeast"/>
              <w:jc w:val="center"/>
              <w:rPr>
                <w:b/>
                <w:snapToGrid w:val="0"/>
                <w:color w:val="000000" w:themeColor="text1"/>
              </w:rPr>
            </w:pPr>
            <w:r w:rsidRPr="00A87926">
              <w:rPr>
                <w:b/>
                <w:snapToGrid w:val="0"/>
                <w:color w:val="000000" w:themeColor="text1"/>
              </w:rPr>
              <w:t>Tolérance correspondante pour</w:t>
            </w:r>
            <w:r w:rsidR="00CB1541">
              <w:rPr>
                <w:b/>
                <w:snapToGrid w:val="0"/>
                <w:color w:val="000000" w:themeColor="text1"/>
              </w:rPr>
              <w:t> </w:t>
            </w:r>
            <w:r w:rsidRPr="00A87926">
              <w:rPr>
                <w:b/>
                <w:snapToGrid w:val="0"/>
                <w:color w:val="000000" w:themeColor="text1"/>
              </w:rPr>
              <w:t>le</w:t>
            </w:r>
            <w:r w:rsidR="00CB1541">
              <w:rPr>
                <w:b/>
                <w:snapToGrid w:val="0"/>
                <w:color w:val="000000" w:themeColor="text1"/>
              </w:rPr>
              <w:t> </w:t>
            </w:r>
            <w:r w:rsidRPr="00A87926">
              <w:rPr>
                <w:b/>
                <w:snapToGrid w:val="0"/>
                <w:color w:val="000000" w:themeColor="text1"/>
              </w:rPr>
              <w:t>flux lumineux</w:t>
            </w:r>
            <w:r w:rsidRPr="00CB1541">
              <w:rPr>
                <w:b/>
                <w:snapToGrid w:val="0"/>
                <w:color w:val="000000" w:themeColor="text1"/>
              </w:rPr>
              <w:t>*</w:t>
            </w:r>
          </w:p>
        </w:tc>
        <w:tc>
          <w:tcPr>
            <w:tcW w:w="2409" w:type="dxa"/>
            <w:tcBorders>
              <w:bottom w:val="single" w:sz="12" w:space="0" w:color="auto"/>
            </w:tcBorders>
            <w:tcMar>
              <w:left w:w="0" w:type="dxa"/>
              <w:right w:w="0" w:type="dxa"/>
            </w:tcMar>
            <w:vAlign w:val="center"/>
          </w:tcPr>
          <w:p w14:paraId="2A1ECB62" w14:textId="77777777" w:rsidR="00A34D73" w:rsidRPr="00A87926" w:rsidRDefault="00CB1541" w:rsidP="00CB1541">
            <w:pPr>
              <w:widowControl w:val="0"/>
              <w:tabs>
                <w:tab w:val="left" w:pos="1134"/>
                <w:tab w:val="left" w:pos="1276"/>
                <w:tab w:val="left" w:pos="2880"/>
              </w:tabs>
              <w:suppressAutoHyphens w:val="0"/>
              <w:spacing w:before="40" w:after="40" w:line="220" w:lineRule="atLeast"/>
              <w:jc w:val="center"/>
              <w:rPr>
                <w:b/>
                <w:snapToGrid w:val="0"/>
                <w:color w:val="000000" w:themeColor="text1"/>
              </w:rPr>
            </w:pPr>
            <w:r>
              <w:rPr>
                <w:b/>
                <w:snapToGrid w:val="0"/>
                <w:color w:val="000000" w:themeColor="text1"/>
              </w:rPr>
              <w:sym w:font="Symbol" w:char="F0B1"/>
            </w:r>
            <w:r w:rsidR="00A34D73" w:rsidRPr="00A87926">
              <w:rPr>
                <w:b/>
                <w:snapToGrid w:val="0"/>
                <w:color w:val="000000" w:themeColor="text1"/>
              </w:rPr>
              <w:t>30</w:t>
            </w:r>
            <w:r>
              <w:rPr>
                <w:b/>
                <w:snapToGrid w:val="0"/>
                <w:color w:val="000000" w:themeColor="text1"/>
              </w:rPr>
              <w:t> </w:t>
            </w:r>
            <w:r w:rsidR="00A34D73" w:rsidRPr="00A87926">
              <w:rPr>
                <w:b/>
                <w:snapToGrid w:val="0"/>
                <w:color w:val="000000" w:themeColor="text1"/>
              </w:rPr>
              <w:t>%</w:t>
            </w:r>
          </w:p>
        </w:tc>
        <w:tc>
          <w:tcPr>
            <w:tcW w:w="2835" w:type="dxa"/>
            <w:tcBorders>
              <w:bottom w:val="single" w:sz="12" w:space="0" w:color="auto"/>
            </w:tcBorders>
            <w:tcMar>
              <w:left w:w="0" w:type="dxa"/>
              <w:right w:w="0" w:type="dxa"/>
            </w:tcMar>
            <w:vAlign w:val="center"/>
          </w:tcPr>
          <w:p w14:paraId="7A6D2FC9" w14:textId="77777777" w:rsidR="00A34D73" w:rsidRPr="00A87926" w:rsidRDefault="00CB1541" w:rsidP="00CB1541">
            <w:pPr>
              <w:widowControl w:val="0"/>
              <w:tabs>
                <w:tab w:val="left" w:pos="1134"/>
                <w:tab w:val="left" w:pos="1276"/>
                <w:tab w:val="left" w:pos="2880"/>
              </w:tabs>
              <w:suppressAutoHyphens w:val="0"/>
              <w:spacing w:before="40" w:after="40" w:line="220" w:lineRule="atLeast"/>
              <w:jc w:val="center"/>
              <w:rPr>
                <w:b/>
                <w:snapToGrid w:val="0"/>
                <w:color w:val="000000" w:themeColor="text1"/>
              </w:rPr>
            </w:pPr>
            <w:r>
              <w:rPr>
                <w:b/>
                <w:snapToGrid w:val="0"/>
                <w:color w:val="000000" w:themeColor="text1"/>
              </w:rPr>
              <w:sym w:font="Symbol" w:char="F0B1"/>
            </w:r>
            <w:r w:rsidR="00A34D73" w:rsidRPr="00A87926">
              <w:rPr>
                <w:b/>
                <w:snapToGrid w:val="0"/>
                <w:color w:val="000000" w:themeColor="text1"/>
              </w:rPr>
              <w:t>15</w:t>
            </w:r>
            <w:r>
              <w:rPr>
                <w:b/>
                <w:snapToGrid w:val="0"/>
                <w:color w:val="000000" w:themeColor="text1"/>
              </w:rPr>
              <w:t> </w:t>
            </w:r>
            <w:r w:rsidR="00A34D73" w:rsidRPr="00A87926">
              <w:rPr>
                <w:b/>
                <w:snapToGrid w:val="0"/>
                <w:color w:val="000000" w:themeColor="text1"/>
              </w:rPr>
              <w:t>%</w:t>
            </w:r>
          </w:p>
        </w:tc>
      </w:tr>
    </w:tbl>
    <w:p w14:paraId="2CEEC4A5" w14:textId="77777777" w:rsidR="00A34D73" w:rsidRPr="006B6616" w:rsidRDefault="00A34D73" w:rsidP="006B6616">
      <w:pPr>
        <w:pStyle w:val="SingleTxtG"/>
        <w:spacing w:line="220" w:lineRule="atLeast"/>
        <w:ind w:left="1418" w:hanging="284"/>
        <w:rPr>
          <w:b/>
          <w:snapToGrid w:val="0"/>
          <w:color w:val="000000" w:themeColor="text1"/>
          <w:sz w:val="18"/>
          <w:szCs w:val="18"/>
        </w:rPr>
      </w:pPr>
      <w:r w:rsidRPr="006B6616">
        <w:rPr>
          <w:b/>
          <w:snapToGrid w:val="0"/>
          <w:color w:val="000000" w:themeColor="text1"/>
          <w:sz w:val="18"/>
          <w:szCs w:val="18"/>
        </w:rPr>
        <w:t>*</w:t>
      </w:r>
      <w:r w:rsidRPr="006B6616">
        <w:rPr>
          <w:b/>
          <w:snapToGrid w:val="0"/>
          <w:color w:val="000000" w:themeColor="text1"/>
          <w:sz w:val="18"/>
          <w:szCs w:val="18"/>
        </w:rPr>
        <w:tab/>
        <w:t>On calcule l’écart maximum du flux lumineux aux limites de tolérance en utilisant comme valeur de référence le flux mesuré à la tension d’essai. Le comportement du flux lumineux doit être sensiblement uniforme dans la plage de tensions indiquée dans le tableau.</w:t>
      </w:r>
    </w:p>
    <w:p w14:paraId="5EFABAF7" w14:textId="77777777" w:rsidR="00A34D73" w:rsidRPr="00392DC4" w:rsidRDefault="00A34D73" w:rsidP="006B6616">
      <w:pPr>
        <w:pStyle w:val="SingleTxtG"/>
        <w:keepNext/>
        <w:ind w:left="2268" w:hanging="1134"/>
        <w:rPr>
          <w:b/>
          <w:bCs/>
          <w:color w:val="000000" w:themeColor="text1"/>
        </w:rPr>
      </w:pPr>
      <w:r w:rsidRPr="00392DC4">
        <w:rPr>
          <w:b/>
          <w:bCs/>
          <w:color w:val="000000" w:themeColor="text1"/>
        </w:rPr>
        <w:lastRenderedPageBreak/>
        <w:t>2.</w:t>
      </w:r>
      <w:r w:rsidRPr="00392DC4">
        <w:rPr>
          <w:b/>
          <w:bCs/>
          <w:color w:val="000000" w:themeColor="text1"/>
        </w:rPr>
        <w:tab/>
        <w:t>Intensité lumineuse normalisée ou flux lumineux cumulé</w:t>
      </w:r>
    </w:p>
    <w:p w14:paraId="53E38B71" w14:textId="77777777" w:rsidR="00A34D73" w:rsidRPr="00392DC4" w:rsidRDefault="00A34D73" w:rsidP="00CB1541">
      <w:pPr>
        <w:pStyle w:val="SingleTxtG"/>
        <w:ind w:left="2268" w:hanging="1134"/>
        <w:rPr>
          <w:b/>
          <w:bCs/>
          <w:snapToGrid w:val="0"/>
          <w:color w:val="000000" w:themeColor="text1"/>
        </w:rPr>
      </w:pPr>
      <w:r w:rsidRPr="00392DC4">
        <w:rPr>
          <w:b/>
          <w:bCs/>
          <w:color w:val="000000" w:themeColor="text1"/>
        </w:rPr>
        <w:t>2.1</w:t>
      </w:r>
      <w:r w:rsidRPr="00392DC4">
        <w:rPr>
          <w:b/>
          <w:bCs/>
          <w:color w:val="000000" w:themeColor="text1"/>
        </w:rPr>
        <w:tab/>
        <w:t>Les mesures de l’intensité lumineuse doivent commencer après 30 min de fonctionnement.</w:t>
      </w:r>
    </w:p>
    <w:p w14:paraId="5B69559A" w14:textId="77777777" w:rsidR="00A34D73" w:rsidRPr="00392DC4" w:rsidRDefault="00A34D73" w:rsidP="00CB1541">
      <w:pPr>
        <w:pStyle w:val="SingleTxtG"/>
        <w:ind w:left="2268" w:hanging="1134"/>
        <w:rPr>
          <w:b/>
          <w:bCs/>
          <w:color w:val="000000" w:themeColor="text1"/>
        </w:rPr>
      </w:pPr>
      <w:r w:rsidRPr="00392DC4">
        <w:rPr>
          <w:b/>
          <w:bCs/>
          <w:color w:val="000000" w:themeColor="text1"/>
        </w:rPr>
        <w:t>2.2</w:t>
      </w:r>
      <w:r w:rsidRPr="00392DC4">
        <w:rPr>
          <w:b/>
          <w:bCs/>
          <w:color w:val="000000" w:themeColor="text1"/>
        </w:rPr>
        <w:tab/>
        <w:t>Elles doivent être effectuées à la tension d’essai pertinente.</w:t>
      </w:r>
    </w:p>
    <w:p w14:paraId="7305CFD5" w14:textId="77777777" w:rsidR="00A34D73" w:rsidRPr="00A87926" w:rsidRDefault="00A34D73" w:rsidP="00CB1541">
      <w:pPr>
        <w:pStyle w:val="SingleTxtG"/>
        <w:ind w:left="2268" w:hanging="1134"/>
        <w:rPr>
          <w:b/>
          <w:color w:val="000000" w:themeColor="text1"/>
        </w:rPr>
      </w:pPr>
      <w:r w:rsidRPr="00392DC4">
        <w:rPr>
          <w:b/>
          <w:bCs/>
          <w:color w:val="000000" w:themeColor="text1"/>
        </w:rPr>
        <w:t>2.3</w:t>
      </w:r>
      <w:r w:rsidRPr="00392DC4">
        <w:rPr>
          <w:b/>
          <w:bCs/>
          <w:color w:val="000000" w:themeColor="text1"/>
        </w:rPr>
        <w:tab/>
        <w:t>Pour calculer l’intensité lumineuse normalisée d’un échantillon d’essai, on divise la répartition de l’intensité lumineuse telle que mesurée selon les paragraphes 2.1 et 2.2 de la présente annexe par le flux lumineux déterminé conformément au paragraphe 1.2 de la même annexe.</w:t>
      </w:r>
    </w:p>
    <w:p w14:paraId="410304E2" w14:textId="77777777" w:rsidR="00A34D73" w:rsidRPr="00A87926" w:rsidRDefault="00A34D73" w:rsidP="00CB1541">
      <w:pPr>
        <w:pStyle w:val="SingleTxtG"/>
        <w:ind w:left="2268" w:hanging="1134"/>
        <w:rPr>
          <w:b/>
          <w:color w:val="000000" w:themeColor="text1"/>
        </w:rPr>
      </w:pPr>
      <w:r w:rsidRPr="00A87926">
        <w:rPr>
          <w:b/>
          <w:bCs/>
          <w:color w:val="000000" w:themeColor="text1"/>
        </w:rPr>
        <w:t>3</w:t>
      </w:r>
      <w:r w:rsidRPr="00A87926">
        <w:rPr>
          <w:color w:val="000000" w:themeColor="text1"/>
        </w:rPr>
        <w:t>.</w:t>
      </w:r>
      <w:r w:rsidRPr="00A87926">
        <w:rPr>
          <w:color w:val="000000" w:themeColor="text1"/>
        </w:rPr>
        <w:tab/>
      </w:r>
      <w:r w:rsidRPr="00A87926">
        <w:rPr>
          <w:b/>
          <w:bCs/>
          <w:color w:val="000000" w:themeColor="text1"/>
        </w:rPr>
        <w:t>Couleur</w:t>
      </w:r>
    </w:p>
    <w:p w14:paraId="2BDF1829" w14:textId="77777777" w:rsidR="00A34D73" w:rsidRPr="00AD0AEE" w:rsidRDefault="00A34D73" w:rsidP="00AD0AEE">
      <w:pPr>
        <w:pStyle w:val="SingleTxtG"/>
        <w:ind w:left="2268"/>
        <w:rPr>
          <w:b/>
          <w:bCs/>
        </w:rPr>
      </w:pPr>
      <w:r w:rsidRPr="00AD0AEE">
        <w:rPr>
          <w:b/>
          <w:bCs/>
        </w:rPr>
        <w:t>La couleur de la lumière émise telle que mesurée dans les mêmes conditions que celles décrites au paragraphe 1.1 de la présente annexe doit se situer dans les limites de couleur prescrites.</w:t>
      </w:r>
    </w:p>
    <w:p w14:paraId="28AEB05E" w14:textId="77777777" w:rsidR="00A34D73" w:rsidRPr="00A87926" w:rsidRDefault="00A34D73" w:rsidP="00CB1541">
      <w:pPr>
        <w:pStyle w:val="SingleTxtG"/>
        <w:ind w:left="2268" w:hanging="1134"/>
        <w:rPr>
          <w:b/>
          <w:bCs/>
          <w:color w:val="000000" w:themeColor="text1"/>
        </w:rPr>
      </w:pPr>
      <w:r w:rsidRPr="00A87926">
        <w:rPr>
          <w:b/>
          <w:bCs/>
          <w:color w:val="000000" w:themeColor="text1"/>
        </w:rPr>
        <w:t>4.</w:t>
      </w:r>
      <w:r w:rsidRPr="00A87926">
        <w:rPr>
          <w:b/>
          <w:bCs/>
          <w:color w:val="000000" w:themeColor="text1"/>
        </w:rPr>
        <w:tab/>
        <w:t>Consommation d’énergie</w:t>
      </w:r>
    </w:p>
    <w:p w14:paraId="50B0C6F6" w14:textId="77777777" w:rsidR="00A34D73" w:rsidRPr="00A87926" w:rsidRDefault="00A34D73" w:rsidP="00CB1541">
      <w:pPr>
        <w:pStyle w:val="SingleTxtG"/>
        <w:ind w:left="2268" w:hanging="1134"/>
        <w:rPr>
          <w:b/>
          <w:bCs/>
          <w:color w:val="000000" w:themeColor="text1"/>
        </w:rPr>
      </w:pPr>
      <w:r w:rsidRPr="00A87926">
        <w:rPr>
          <w:b/>
          <w:bCs/>
          <w:color w:val="000000" w:themeColor="text1"/>
        </w:rPr>
        <w:t>4.1</w:t>
      </w:r>
      <w:r w:rsidRPr="00A87926">
        <w:rPr>
          <w:b/>
          <w:bCs/>
          <w:color w:val="000000" w:themeColor="text1"/>
        </w:rPr>
        <w:tab/>
        <w:t>La consommation d’énergie doit être mesurée dans les mêmes conditions que celles décrites au paragraphe 1.1 de la présente annexe et conformément aux prescriptions du paragraphe 3.4.1.3 du présent Règlement.</w:t>
      </w:r>
    </w:p>
    <w:p w14:paraId="28CDA9C7" w14:textId="77777777" w:rsidR="00A34D73" w:rsidRPr="00A87926" w:rsidRDefault="00A34D73" w:rsidP="00CB1541">
      <w:pPr>
        <w:pStyle w:val="SingleTxtG"/>
        <w:ind w:left="2268" w:hanging="1134"/>
        <w:rPr>
          <w:b/>
          <w:bCs/>
          <w:color w:val="000000" w:themeColor="text1"/>
        </w:rPr>
      </w:pPr>
      <w:r w:rsidRPr="00A87926">
        <w:rPr>
          <w:b/>
          <w:bCs/>
          <w:color w:val="000000" w:themeColor="text1"/>
        </w:rPr>
        <w:t>4.2</w:t>
      </w:r>
      <w:r w:rsidRPr="00A87926">
        <w:rPr>
          <w:b/>
          <w:bCs/>
          <w:color w:val="000000" w:themeColor="text1"/>
        </w:rPr>
        <w:tab/>
        <w:t>Les mesures de la consommation sont effectuées à la tension d’essai pertinente et dans la plage de tensions appropriée lorsque cela est indiqué sur la feuille de données correspondante de l’annexe 1.</w:t>
      </w:r>
    </w:p>
    <w:p w14:paraId="74F70C09" w14:textId="77777777" w:rsidR="00A34D73" w:rsidRPr="00A87926" w:rsidRDefault="00A34D73" w:rsidP="00CB1541">
      <w:pPr>
        <w:pStyle w:val="SingleTxtG"/>
        <w:ind w:left="2268" w:hanging="1134"/>
        <w:rPr>
          <w:b/>
          <w:bCs/>
          <w:color w:val="000000" w:themeColor="text1"/>
        </w:rPr>
      </w:pPr>
      <w:r w:rsidRPr="00A87926">
        <w:rPr>
          <w:b/>
          <w:bCs/>
          <w:color w:val="000000" w:themeColor="text1"/>
        </w:rPr>
        <w:t>4.3</w:t>
      </w:r>
      <w:r w:rsidRPr="00A87926">
        <w:rPr>
          <w:b/>
          <w:bCs/>
          <w:color w:val="000000" w:themeColor="text1"/>
        </w:rPr>
        <w:tab/>
      </w:r>
      <w:bookmarkStart w:id="9" w:name="_Hlk49757547"/>
      <w:r w:rsidRPr="00A87926">
        <w:rPr>
          <w:b/>
          <w:bCs/>
          <w:color w:val="000000" w:themeColor="text1"/>
        </w:rPr>
        <w:t>Les valeurs obtenues doivent être conformes aux valeurs minimales et maximales prescrites indiquées sur la feuille de données pertinente</w:t>
      </w:r>
      <w:bookmarkEnd w:id="9"/>
      <w:r w:rsidRPr="00A87926">
        <w:rPr>
          <w:b/>
          <w:bCs/>
          <w:color w:val="000000" w:themeColor="text1"/>
        </w:rPr>
        <w:t>.</w:t>
      </w:r>
    </w:p>
    <w:p w14:paraId="44959FD1" w14:textId="77777777" w:rsidR="00A34D73" w:rsidRPr="00A87926" w:rsidRDefault="00A34D73" w:rsidP="00CB1541">
      <w:pPr>
        <w:pStyle w:val="SingleTxtG"/>
        <w:ind w:left="2268" w:hanging="1134"/>
        <w:rPr>
          <w:b/>
          <w:bCs/>
          <w:color w:val="000000" w:themeColor="text1"/>
        </w:rPr>
      </w:pPr>
      <w:r w:rsidRPr="00A87926">
        <w:rPr>
          <w:b/>
          <w:bCs/>
          <w:color w:val="000000" w:themeColor="text1"/>
        </w:rPr>
        <w:t>5</w:t>
      </w:r>
      <w:r w:rsidR="00CB1541">
        <w:rPr>
          <w:b/>
          <w:bCs/>
          <w:color w:val="000000" w:themeColor="text1"/>
        </w:rPr>
        <w:t>.</w:t>
      </w:r>
      <w:r w:rsidRPr="00A87926">
        <w:rPr>
          <w:b/>
          <w:bCs/>
          <w:color w:val="000000" w:themeColor="text1"/>
        </w:rPr>
        <w:tab/>
        <w:t>Courant électrique</w:t>
      </w:r>
    </w:p>
    <w:p w14:paraId="3B20FA28" w14:textId="77777777" w:rsidR="00A34D73" w:rsidRPr="00A87926" w:rsidRDefault="00A34D73" w:rsidP="00DD0FA5">
      <w:pPr>
        <w:pStyle w:val="SingleTxtG"/>
        <w:ind w:left="2268" w:hanging="1134"/>
        <w:rPr>
          <w:b/>
          <w:bCs/>
          <w:color w:val="000000" w:themeColor="text1"/>
        </w:rPr>
      </w:pPr>
      <w:r w:rsidRPr="00A87926">
        <w:rPr>
          <w:b/>
          <w:bCs/>
          <w:color w:val="000000" w:themeColor="text1"/>
        </w:rPr>
        <w:t>5.1</w:t>
      </w:r>
      <w:r w:rsidRPr="00A87926">
        <w:rPr>
          <w:b/>
          <w:bCs/>
          <w:color w:val="000000" w:themeColor="text1"/>
        </w:rPr>
        <w:tab/>
        <w:t>Une mesure du courant électrique doit être faite dans les mêmes conditions que celles décrites au paragraphe 1.1 de la présente annexe et conformément aux prescriptions du paragraphe 3.4.1.3 du présent Règlement.</w:t>
      </w:r>
    </w:p>
    <w:p w14:paraId="7B299337" w14:textId="77777777" w:rsidR="00A34D73" w:rsidRPr="00A87926" w:rsidRDefault="00A34D73" w:rsidP="00DD0FA5">
      <w:pPr>
        <w:pStyle w:val="SingleTxtG"/>
        <w:ind w:left="2268" w:hanging="1134"/>
        <w:rPr>
          <w:b/>
          <w:bCs/>
          <w:color w:val="000000" w:themeColor="text1"/>
        </w:rPr>
      </w:pPr>
      <w:r w:rsidRPr="00A87926">
        <w:rPr>
          <w:b/>
          <w:bCs/>
          <w:color w:val="000000" w:themeColor="text1"/>
        </w:rPr>
        <w:t>5.2</w:t>
      </w:r>
      <w:r w:rsidRPr="00A87926">
        <w:rPr>
          <w:b/>
          <w:bCs/>
          <w:color w:val="000000" w:themeColor="text1"/>
        </w:rPr>
        <w:tab/>
        <w:t>Les mesures du courant électrique doivent être effectuées à la tension d’essai et dans la plage de tensions pertinentes lorsque cela est précisé sur la feuille de données correspondante de l’annexe 1.</w:t>
      </w:r>
    </w:p>
    <w:p w14:paraId="05019826" w14:textId="77777777" w:rsidR="00A34D73" w:rsidRPr="00A87926" w:rsidRDefault="00A34D73" w:rsidP="00DD0FA5">
      <w:pPr>
        <w:pStyle w:val="SingleTxtG"/>
        <w:ind w:left="2268" w:hanging="1134"/>
        <w:rPr>
          <w:b/>
          <w:bCs/>
          <w:color w:val="000000" w:themeColor="text1"/>
        </w:rPr>
      </w:pPr>
      <w:r w:rsidRPr="00A87926">
        <w:rPr>
          <w:b/>
          <w:bCs/>
          <w:color w:val="000000" w:themeColor="text1"/>
        </w:rPr>
        <w:t>5.3</w:t>
      </w:r>
      <w:r w:rsidRPr="00A87926">
        <w:rPr>
          <w:b/>
          <w:bCs/>
          <w:color w:val="000000" w:themeColor="text1"/>
        </w:rPr>
        <w:tab/>
        <w:t>Les valeurs obtenues doivent être conformes aux valeurs minimales et maximales prescrites indiquées sur la feuille de données pertinente.</w:t>
      </w:r>
    </w:p>
    <w:p w14:paraId="2936A453" w14:textId="77777777" w:rsidR="00A34D73" w:rsidRPr="00A87926" w:rsidRDefault="00A34D73" w:rsidP="00DD0FA5">
      <w:pPr>
        <w:pStyle w:val="SingleTxtG"/>
        <w:ind w:left="2268" w:hanging="1134"/>
        <w:rPr>
          <w:b/>
          <w:bCs/>
          <w:color w:val="000000" w:themeColor="text1"/>
        </w:rPr>
      </w:pPr>
      <w:r w:rsidRPr="00A87926">
        <w:rPr>
          <w:b/>
          <w:bCs/>
          <w:color w:val="000000" w:themeColor="text1"/>
        </w:rPr>
        <w:t>6.</w:t>
      </w:r>
      <w:r w:rsidRPr="00A87926">
        <w:rPr>
          <w:b/>
          <w:bCs/>
          <w:color w:val="000000" w:themeColor="text1"/>
        </w:rPr>
        <w:tab/>
        <w:t>Température du culot</w:t>
      </w:r>
    </w:p>
    <w:p w14:paraId="304AD8AC" w14:textId="77777777" w:rsidR="00A34D73" w:rsidRPr="00A87926" w:rsidRDefault="00A34D73" w:rsidP="00DD0FA5">
      <w:pPr>
        <w:pStyle w:val="SingleTxtG"/>
        <w:ind w:left="2268" w:hanging="1134"/>
        <w:rPr>
          <w:b/>
          <w:bCs/>
          <w:color w:val="000000" w:themeColor="text1"/>
        </w:rPr>
      </w:pPr>
      <w:r w:rsidRPr="00A87926">
        <w:rPr>
          <w:b/>
          <w:bCs/>
          <w:color w:val="000000" w:themeColor="text1"/>
        </w:rPr>
        <w:t>6.1</w:t>
      </w:r>
      <w:r w:rsidRPr="00A87926">
        <w:rPr>
          <w:b/>
          <w:bCs/>
          <w:color w:val="000000" w:themeColor="text1"/>
        </w:rPr>
        <w:tab/>
        <w:t>Une mesure de la température du culot doit être effectuée dans les mêmes conditions que celles décrites au paragraphe 1.1 de la présente annexe.</w:t>
      </w:r>
    </w:p>
    <w:p w14:paraId="42671421" w14:textId="77777777" w:rsidR="00A34D73" w:rsidRPr="00A87926" w:rsidRDefault="00A34D73" w:rsidP="00DD0FA5">
      <w:pPr>
        <w:pStyle w:val="SingleTxtG"/>
        <w:ind w:left="2268" w:hanging="1134"/>
        <w:rPr>
          <w:b/>
          <w:bCs/>
          <w:color w:val="000000" w:themeColor="text1"/>
        </w:rPr>
      </w:pPr>
      <w:r w:rsidRPr="00A87926">
        <w:rPr>
          <w:b/>
          <w:bCs/>
          <w:color w:val="000000" w:themeColor="text1"/>
        </w:rPr>
        <w:t>6.2</w:t>
      </w:r>
      <w:r w:rsidRPr="00A87926">
        <w:rPr>
          <w:b/>
          <w:bCs/>
          <w:color w:val="000000" w:themeColor="text1"/>
        </w:rPr>
        <w:tab/>
        <w:t>Les mesures doivent être effectuées à la tension d’essai pertinente.</w:t>
      </w:r>
    </w:p>
    <w:p w14:paraId="077C0112" w14:textId="77777777" w:rsidR="00A34D73" w:rsidRPr="00A87926" w:rsidRDefault="00A34D73" w:rsidP="00DD0FA5">
      <w:pPr>
        <w:pStyle w:val="SingleTxtG"/>
        <w:ind w:left="2268" w:hanging="1134"/>
        <w:rPr>
          <w:color w:val="000000" w:themeColor="text1"/>
        </w:rPr>
      </w:pPr>
      <w:r w:rsidRPr="00A87926">
        <w:rPr>
          <w:b/>
          <w:bCs/>
          <w:color w:val="000000" w:themeColor="text1"/>
        </w:rPr>
        <w:t>6.3</w:t>
      </w:r>
      <w:r w:rsidRPr="00A87926">
        <w:rPr>
          <w:b/>
          <w:bCs/>
          <w:color w:val="000000" w:themeColor="text1"/>
        </w:rPr>
        <w:tab/>
        <w:t>La température du culot doit être déterminée à l’endroit indiqué sur la feuille de données de la catégorie de sources lumineuses.</w:t>
      </w:r>
      <w:r w:rsidR="00DD0FA5">
        <w:rPr>
          <w:b/>
          <w:bCs/>
          <w:color w:val="000000" w:themeColor="text1"/>
        </w:rPr>
        <w:t> </w:t>
      </w:r>
      <w:r w:rsidRPr="00A87926">
        <w:rPr>
          <w:color w:val="000000" w:themeColor="text1"/>
        </w:rPr>
        <w:t>».</w:t>
      </w:r>
    </w:p>
    <w:p w14:paraId="3B41C32A" w14:textId="77777777" w:rsidR="00A34D73" w:rsidRPr="00DD0FA5" w:rsidRDefault="00A34D73" w:rsidP="00DD0FA5">
      <w:pPr>
        <w:pStyle w:val="SingleTxtG"/>
        <w:rPr>
          <w:i/>
          <w:iCs/>
        </w:rPr>
      </w:pPr>
      <w:r w:rsidRPr="00DD0FA5">
        <w:rPr>
          <w:i/>
          <w:iCs/>
        </w:rPr>
        <w:t>Annexe 7 (dans la nouvelle numérotation), supprimer « à incandescence » dans les paragraphes 1, 2 et 2.3 (deux occurrences), et 2.4 et 2.5 (trois occurrences).</w:t>
      </w:r>
    </w:p>
    <w:p w14:paraId="64E901DD" w14:textId="77777777" w:rsidR="00A34D73" w:rsidRPr="00A87926" w:rsidRDefault="00A34D73" w:rsidP="00DD0FA5">
      <w:pPr>
        <w:pStyle w:val="SingleTxtG"/>
        <w:keepNext/>
      </w:pPr>
      <w:r w:rsidRPr="00DD0FA5">
        <w:rPr>
          <w:i/>
          <w:iCs/>
        </w:rPr>
        <w:lastRenderedPageBreak/>
        <w:t>Annexe 8 (dans la nouvelle numérotation)</w:t>
      </w:r>
      <w:r w:rsidRPr="00A87926">
        <w:t>,</w:t>
      </w:r>
    </w:p>
    <w:p w14:paraId="59F972CB" w14:textId="77777777" w:rsidR="00A34D73" w:rsidRPr="00A87926" w:rsidRDefault="00A34D73" w:rsidP="00DD0FA5">
      <w:pPr>
        <w:pStyle w:val="SingleTxtG"/>
        <w:keepNext/>
      </w:pPr>
      <w:r w:rsidRPr="00DD0FA5">
        <w:rPr>
          <w:i/>
          <w:iCs/>
        </w:rPr>
        <w:t>Tableau 1, y compris les notes de bas de page</w:t>
      </w:r>
      <w:r w:rsidRPr="00A87926">
        <w:t>, lire</w:t>
      </w:r>
      <w:r>
        <w:t> :</w:t>
      </w:r>
    </w:p>
    <w:p w14:paraId="51B5CB15" w14:textId="77777777" w:rsidR="00A34D73" w:rsidRPr="00A87926" w:rsidRDefault="00A34D73" w:rsidP="00A34D73">
      <w:pPr>
        <w:pStyle w:val="Titre1"/>
        <w:rPr>
          <w:color w:val="000000" w:themeColor="text1"/>
        </w:rPr>
      </w:pPr>
      <w:r w:rsidRPr="00A87926">
        <w:rPr>
          <w:color w:val="000000" w:themeColor="text1"/>
        </w:rPr>
        <w:t>«</w:t>
      </w:r>
      <w:r w:rsidR="00DD0FA5">
        <w:rPr>
          <w:color w:val="000000" w:themeColor="text1"/>
        </w:rPr>
        <w:t> T</w:t>
      </w:r>
      <w:r w:rsidRPr="00A87926">
        <w:rPr>
          <w:color w:val="000000" w:themeColor="text1"/>
        </w:rPr>
        <w:t>ableau 1</w:t>
      </w:r>
    </w:p>
    <w:p w14:paraId="463CCFB4" w14:textId="77777777" w:rsidR="00A34D73" w:rsidRDefault="00A34D73" w:rsidP="00A34D73">
      <w:pPr>
        <w:pStyle w:val="Titre1"/>
        <w:spacing w:after="120"/>
        <w:rPr>
          <w:b/>
          <w:color w:val="000000" w:themeColor="text1"/>
        </w:rPr>
      </w:pPr>
      <w:r w:rsidRPr="00A87926">
        <w:rPr>
          <w:b/>
          <w:color w:val="000000" w:themeColor="text1"/>
        </w:rPr>
        <w:t>Caractéristiques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5"/>
        <w:gridCol w:w="2854"/>
        <w:gridCol w:w="1637"/>
        <w:gridCol w:w="1639"/>
      </w:tblGrid>
      <w:tr w:rsidR="00A34D73" w:rsidRPr="00DD0FA5" w14:paraId="78E88694" w14:textId="77777777" w:rsidTr="008333A9">
        <w:trPr>
          <w:cantSplit/>
          <w:tblHeader/>
        </w:trPr>
        <w:tc>
          <w:tcPr>
            <w:tcW w:w="2375" w:type="dxa"/>
            <w:tcBorders>
              <w:top w:val="single" w:sz="4" w:space="0" w:color="auto"/>
              <w:bottom w:val="single" w:sz="12" w:space="0" w:color="auto"/>
            </w:tcBorders>
            <w:shd w:val="clear" w:color="auto" w:fill="auto"/>
            <w:vAlign w:val="bottom"/>
          </w:tcPr>
          <w:p w14:paraId="25F8F586" w14:textId="77777777" w:rsidR="00A34D73" w:rsidRPr="00DD0FA5" w:rsidRDefault="00A34D73" w:rsidP="008333A9">
            <w:pPr>
              <w:keepNext/>
              <w:suppressAutoHyphens w:val="0"/>
              <w:spacing w:before="80" w:after="80" w:line="200" w:lineRule="exact"/>
              <w:ind w:left="113" w:right="113"/>
              <w:rPr>
                <w:i/>
                <w:color w:val="000000" w:themeColor="text1"/>
                <w:sz w:val="16"/>
                <w:szCs w:val="16"/>
              </w:rPr>
            </w:pPr>
            <w:r w:rsidRPr="00DD0FA5">
              <w:rPr>
                <w:i/>
                <w:color w:val="000000" w:themeColor="text1"/>
                <w:sz w:val="16"/>
                <w:szCs w:val="16"/>
              </w:rPr>
              <w:t>Groupe de caractéristiques</w:t>
            </w:r>
          </w:p>
        </w:tc>
        <w:tc>
          <w:tcPr>
            <w:tcW w:w="2854" w:type="dxa"/>
            <w:tcBorders>
              <w:top w:val="single" w:sz="4" w:space="0" w:color="auto"/>
              <w:bottom w:val="single" w:sz="12" w:space="0" w:color="auto"/>
            </w:tcBorders>
            <w:shd w:val="clear" w:color="auto" w:fill="auto"/>
            <w:vAlign w:val="bottom"/>
          </w:tcPr>
          <w:p w14:paraId="5AEFD3F2" w14:textId="77777777" w:rsidR="00A34D73" w:rsidRPr="00DD0FA5" w:rsidRDefault="00A34D73" w:rsidP="008333A9">
            <w:pPr>
              <w:keepNext/>
              <w:suppressAutoHyphens w:val="0"/>
              <w:spacing w:before="80" w:after="80" w:line="200" w:lineRule="exact"/>
              <w:ind w:left="113" w:right="113"/>
              <w:rPr>
                <w:i/>
                <w:color w:val="000000" w:themeColor="text1"/>
                <w:sz w:val="16"/>
                <w:szCs w:val="16"/>
              </w:rPr>
            </w:pPr>
            <w:r w:rsidRPr="00DD0FA5">
              <w:rPr>
                <w:i/>
                <w:color w:val="000000" w:themeColor="text1"/>
                <w:sz w:val="16"/>
                <w:szCs w:val="16"/>
              </w:rPr>
              <w:t xml:space="preserve">Groupement* des procès-verbaux d’essai selon les types de sources lumineuses </w:t>
            </w:r>
            <w:r w:rsidRPr="00DD0FA5">
              <w:rPr>
                <w:i/>
                <w:strike/>
                <w:color w:val="000000" w:themeColor="text1"/>
                <w:sz w:val="16"/>
                <w:szCs w:val="16"/>
              </w:rPr>
              <w:t>à incandescence</w:t>
            </w:r>
            <w:r w:rsidRPr="00DD0FA5">
              <w:rPr>
                <w:i/>
                <w:color w:val="000000" w:themeColor="text1"/>
                <w:sz w:val="16"/>
                <w:szCs w:val="16"/>
              </w:rPr>
              <w:t xml:space="preserve"> </w:t>
            </w:r>
            <w:r w:rsidRPr="00DD0FA5">
              <w:rPr>
                <w:b/>
                <w:bCs/>
                <w:i/>
                <w:color w:val="000000" w:themeColor="text1"/>
                <w:sz w:val="16"/>
                <w:szCs w:val="16"/>
              </w:rPr>
              <w:t>de la même catégorie et utilisant la même technologie de production de lumière</w:t>
            </w:r>
          </w:p>
        </w:tc>
        <w:tc>
          <w:tcPr>
            <w:tcW w:w="1637" w:type="dxa"/>
            <w:tcBorders>
              <w:top w:val="single" w:sz="4" w:space="0" w:color="auto"/>
              <w:bottom w:val="single" w:sz="12" w:space="0" w:color="auto"/>
            </w:tcBorders>
            <w:shd w:val="clear" w:color="auto" w:fill="auto"/>
            <w:vAlign w:val="bottom"/>
          </w:tcPr>
          <w:p w14:paraId="3DA2C295" w14:textId="77777777" w:rsidR="00A34D73" w:rsidRPr="00DD0FA5" w:rsidRDefault="00A34D73" w:rsidP="008333A9">
            <w:pPr>
              <w:keepNext/>
              <w:suppressAutoHyphens w:val="0"/>
              <w:spacing w:before="80" w:after="80" w:line="200" w:lineRule="exact"/>
              <w:ind w:left="113" w:right="113"/>
              <w:rPr>
                <w:i/>
                <w:color w:val="000000" w:themeColor="text1"/>
                <w:sz w:val="16"/>
                <w:szCs w:val="16"/>
              </w:rPr>
            </w:pPr>
            <w:r w:rsidRPr="00DD0FA5">
              <w:rPr>
                <w:i/>
                <w:color w:val="000000" w:themeColor="text1"/>
                <w:sz w:val="16"/>
                <w:szCs w:val="16"/>
              </w:rPr>
              <w:t>Échantillon annuel minimal par groupe*</w:t>
            </w:r>
          </w:p>
        </w:tc>
        <w:tc>
          <w:tcPr>
            <w:tcW w:w="1639" w:type="dxa"/>
            <w:tcBorders>
              <w:top w:val="single" w:sz="4" w:space="0" w:color="auto"/>
              <w:bottom w:val="single" w:sz="12" w:space="0" w:color="auto"/>
            </w:tcBorders>
            <w:shd w:val="clear" w:color="auto" w:fill="auto"/>
            <w:vAlign w:val="bottom"/>
          </w:tcPr>
          <w:p w14:paraId="280F958A" w14:textId="77777777" w:rsidR="00A34D73" w:rsidRPr="00DD0FA5" w:rsidRDefault="00A34D73" w:rsidP="008333A9">
            <w:pPr>
              <w:keepNext/>
              <w:suppressAutoHyphens w:val="0"/>
              <w:spacing w:before="80" w:after="80" w:line="200" w:lineRule="exact"/>
              <w:ind w:left="113" w:right="113"/>
              <w:rPr>
                <w:i/>
                <w:color w:val="000000" w:themeColor="text1"/>
                <w:sz w:val="16"/>
                <w:szCs w:val="16"/>
              </w:rPr>
            </w:pPr>
            <w:r w:rsidRPr="00DD0FA5">
              <w:rPr>
                <w:i/>
                <w:color w:val="000000" w:themeColor="text1"/>
                <w:sz w:val="16"/>
                <w:szCs w:val="16"/>
              </w:rPr>
              <w:t>Niveau acceptable de non-conformité par groupe de caractéristiques (%)</w:t>
            </w:r>
          </w:p>
        </w:tc>
      </w:tr>
      <w:tr w:rsidR="00A34D73" w:rsidRPr="00A87926" w14:paraId="6F0799BE" w14:textId="77777777" w:rsidTr="008333A9">
        <w:trPr>
          <w:cantSplit/>
        </w:trPr>
        <w:tc>
          <w:tcPr>
            <w:tcW w:w="2375" w:type="dxa"/>
            <w:tcBorders>
              <w:top w:val="single" w:sz="12" w:space="0" w:color="auto"/>
            </w:tcBorders>
            <w:shd w:val="clear" w:color="auto" w:fill="auto"/>
          </w:tcPr>
          <w:p w14:paraId="0B7FC57E"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Marquage, lisibilité et durabilité</w:t>
            </w:r>
          </w:p>
        </w:tc>
        <w:tc>
          <w:tcPr>
            <w:tcW w:w="2854" w:type="dxa"/>
            <w:tcBorders>
              <w:top w:val="single" w:sz="12" w:space="0" w:color="auto"/>
            </w:tcBorders>
            <w:shd w:val="clear" w:color="auto" w:fill="auto"/>
          </w:tcPr>
          <w:p w14:paraId="3FC831A3"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Tous les types possédant les mêmes dimensions extérieures</w:t>
            </w:r>
          </w:p>
        </w:tc>
        <w:tc>
          <w:tcPr>
            <w:tcW w:w="1637" w:type="dxa"/>
            <w:tcBorders>
              <w:top w:val="single" w:sz="12" w:space="0" w:color="auto"/>
            </w:tcBorders>
            <w:shd w:val="clear" w:color="auto" w:fill="auto"/>
          </w:tcPr>
          <w:p w14:paraId="7E252343"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315</w:t>
            </w:r>
          </w:p>
        </w:tc>
        <w:tc>
          <w:tcPr>
            <w:tcW w:w="1639" w:type="dxa"/>
            <w:tcBorders>
              <w:top w:val="single" w:sz="12" w:space="0" w:color="auto"/>
            </w:tcBorders>
            <w:shd w:val="clear" w:color="auto" w:fill="auto"/>
          </w:tcPr>
          <w:p w14:paraId="71C6B480"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1</w:t>
            </w:r>
          </w:p>
        </w:tc>
      </w:tr>
      <w:tr w:rsidR="00A34D73" w:rsidRPr="00A87926" w14:paraId="40ECAE6C" w14:textId="77777777" w:rsidTr="008333A9">
        <w:trPr>
          <w:cantSplit/>
        </w:trPr>
        <w:tc>
          <w:tcPr>
            <w:tcW w:w="2375" w:type="dxa"/>
            <w:shd w:val="clear" w:color="auto" w:fill="auto"/>
          </w:tcPr>
          <w:p w14:paraId="11A208FC" w14:textId="77777777" w:rsidR="00A34D73" w:rsidRPr="00DD0FA5" w:rsidRDefault="00A34D73" w:rsidP="008333A9">
            <w:pPr>
              <w:suppressAutoHyphens w:val="0"/>
              <w:spacing w:before="60" w:after="60" w:line="220" w:lineRule="atLeast"/>
              <w:ind w:left="113" w:right="113"/>
              <w:rPr>
                <w:strike/>
                <w:color w:val="000000" w:themeColor="text1"/>
                <w:sz w:val="18"/>
                <w:szCs w:val="18"/>
              </w:rPr>
            </w:pPr>
            <w:r w:rsidRPr="00DD0FA5">
              <w:rPr>
                <w:strike/>
                <w:color w:val="000000" w:themeColor="text1"/>
                <w:sz w:val="18"/>
                <w:szCs w:val="18"/>
              </w:rPr>
              <w:t>Qualité de l’ampoule</w:t>
            </w:r>
          </w:p>
        </w:tc>
        <w:tc>
          <w:tcPr>
            <w:tcW w:w="2854" w:type="dxa"/>
            <w:shd w:val="clear" w:color="auto" w:fill="auto"/>
          </w:tcPr>
          <w:p w14:paraId="103F61E0" w14:textId="77777777" w:rsidR="00A34D73" w:rsidRPr="00DD0FA5" w:rsidRDefault="00A34D73" w:rsidP="008333A9">
            <w:pPr>
              <w:suppressAutoHyphens w:val="0"/>
              <w:spacing w:before="60" w:after="60" w:line="220" w:lineRule="atLeast"/>
              <w:ind w:left="113" w:right="113"/>
              <w:rPr>
                <w:strike/>
                <w:color w:val="000000" w:themeColor="text1"/>
                <w:sz w:val="18"/>
                <w:szCs w:val="18"/>
              </w:rPr>
            </w:pPr>
            <w:r w:rsidRPr="00DD0FA5">
              <w:rPr>
                <w:strike/>
                <w:color w:val="000000" w:themeColor="text1"/>
                <w:sz w:val="18"/>
                <w:szCs w:val="18"/>
              </w:rPr>
              <w:t>Tous les types possédant la même ampoule</w:t>
            </w:r>
          </w:p>
        </w:tc>
        <w:tc>
          <w:tcPr>
            <w:tcW w:w="1637" w:type="dxa"/>
            <w:shd w:val="clear" w:color="auto" w:fill="auto"/>
          </w:tcPr>
          <w:p w14:paraId="6A9A75EF" w14:textId="77777777" w:rsidR="00A34D73" w:rsidRPr="00DD0FA5" w:rsidRDefault="00A34D73" w:rsidP="008333A9">
            <w:pPr>
              <w:suppressAutoHyphens w:val="0"/>
              <w:spacing w:before="60" w:after="60" w:line="220" w:lineRule="atLeast"/>
              <w:ind w:left="113" w:right="113"/>
              <w:jc w:val="center"/>
              <w:rPr>
                <w:strike/>
                <w:color w:val="000000" w:themeColor="text1"/>
                <w:sz w:val="18"/>
                <w:szCs w:val="18"/>
              </w:rPr>
            </w:pPr>
            <w:r w:rsidRPr="00DD0FA5">
              <w:rPr>
                <w:strike/>
                <w:color w:val="000000" w:themeColor="text1"/>
                <w:sz w:val="18"/>
                <w:szCs w:val="18"/>
              </w:rPr>
              <w:t>315</w:t>
            </w:r>
          </w:p>
        </w:tc>
        <w:tc>
          <w:tcPr>
            <w:tcW w:w="1639" w:type="dxa"/>
            <w:shd w:val="clear" w:color="auto" w:fill="auto"/>
          </w:tcPr>
          <w:p w14:paraId="42AB4E6E" w14:textId="77777777" w:rsidR="00A34D73" w:rsidRPr="00DD0FA5" w:rsidRDefault="00A34D73" w:rsidP="008333A9">
            <w:pPr>
              <w:suppressAutoHyphens w:val="0"/>
              <w:spacing w:before="60" w:after="60" w:line="220" w:lineRule="atLeast"/>
              <w:ind w:left="113" w:right="113"/>
              <w:jc w:val="center"/>
              <w:rPr>
                <w:strike/>
                <w:color w:val="000000" w:themeColor="text1"/>
                <w:sz w:val="18"/>
                <w:szCs w:val="18"/>
              </w:rPr>
            </w:pPr>
            <w:r w:rsidRPr="00DD0FA5">
              <w:rPr>
                <w:strike/>
                <w:color w:val="000000" w:themeColor="text1"/>
                <w:sz w:val="18"/>
                <w:szCs w:val="18"/>
              </w:rPr>
              <w:t>1</w:t>
            </w:r>
          </w:p>
        </w:tc>
      </w:tr>
      <w:tr w:rsidR="00A34D73" w:rsidRPr="00A87926" w14:paraId="7EF2B383" w14:textId="77777777" w:rsidTr="008333A9">
        <w:tblPrEx>
          <w:tblCellMar>
            <w:left w:w="70" w:type="dxa"/>
            <w:right w:w="70" w:type="dxa"/>
          </w:tblCellMar>
        </w:tblPrEx>
        <w:trPr>
          <w:cantSplit/>
        </w:trPr>
        <w:tc>
          <w:tcPr>
            <w:tcW w:w="2375" w:type="dxa"/>
            <w:tcMar>
              <w:left w:w="0" w:type="dxa"/>
              <w:right w:w="0" w:type="dxa"/>
            </w:tcMar>
          </w:tcPr>
          <w:p w14:paraId="52EC449E" w14:textId="77777777" w:rsidR="00A34D73" w:rsidRPr="00DD0FA5" w:rsidRDefault="00A34D73" w:rsidP="008333A9">
            <w:pPr>
              <w:suppressAutoHyphens w:val="0"/>
              <w:spacing w:before="60" w:after="60" w:line="220" w:lineRule="atLeast"/>
              <w:ind w:left="113" w:right="113"/>
              <w:rPr>
                <w:strike/>
                <w:color w:val="000000" w:themeColor="text1"/>
                <w:sz w:val="18"/>
                <w:szCs w:val="18"/>
              </w:rPr>
            </w:pPr>
            <w:r w:rsidRPr="00DD0FA5">
              <w:rPr>
                <w:strike/>
                <w:color w:val="000000" w:themeColor="text1"/>
                <w:sz w:val="18"/>
                <w:szCs w:val="18"/>
              </w:rPr>
              <w:t>Couleur de l’ampoule</w:t>
            </w:r>
          </w:p>
        </w:tc>
        <w:tc>
          <w:tcPr>
            <w:tcW w:w="2854" w:type="dxa"/>
            <w:tcMar>
              <w:left w:w="0" w:type="dxa"/>
              <w:right w:w="0" w:type="dxa"/>
            </w:tcMar>
          </w:tcPr>
          <w:p w14:paraId="4D114401" w14:textId="77777777" w:rsidR="00A34D73" w:rsidRPr="00DD0FA5" w:rsidRDefault="00A34D73" w:rsidP="008333A9">
            <w:pPr>
              <w:suppressAutoHyphens w:val="0"/>
              <w:spacing w:before="60" w:after="60" w:line="220" w:lineRule="atLeast"/>
              <w:ind w:left="113" w:right="113"/>
              <w:jc w:val="center"/>
              <w:rPr>
                <w:strike/>
                <w:color w:val="000000" w:themeColor="text1"/>
                <w:spacing w:val="-2"/>
                <w:sz w:val="18"/>
                <w:szCs w:val="18"/>
              </w:rPr>
            </w:pPr>
            <w:r w:rsidRPr="00DD0FA5">
              <w:rPr>
                <w:strike/>
                <w:color w:val="000000" w:themeColor="text1"/>
                <w:spacing w:val="-2"/>
                <w:sz w:val="18"/>
                <w:szCs w:val="18"/>
              </w:rPr>
              <w:t>Tous les types d’ampoules (émettant de la lumière rouge et jaune-auto) de la même catégorie utilisant la même technique de coloration</w:t>
            </w:r>
          </w:p>
        </w:tc>
        <w:tc>
          <w:tcPr>
            <w:tcW w:w="1637" w:type="dxa"/>
            <w:tcMar>
              <w:left w:w="0" w:type="dxa"/>
              <w:right w:w="0" w:type="dxa"/>
            </w:tcMar>
          </w:tcPr>
          <w:p w14:paraId="2A6AB5B4" w14:textId="77777777" w:rsidR="00A34D73" w:rsidRPr="00DD0FA5" w:rsidRDefault="00A34D73" w:rsidP="008333A9">
            <w:pPr>
              <w:suppressAutoHyphens w:val="0"/>
              <w:spacing w:before="60" w:after="60" w:line="220" w:lineRule="atLeast"/>
              <w:ind w:left="113" w:right="113"/>
              <w:jc w:val="center"/>
              <w:rPr>
                <w:strike/>
                <w:color w:val="000000" w:themeColor="text1"/>
                <w:sz w:val="18"/>
                <w:szCs w:val="18"/>
              </w:rPr>
            </w:pPr>
            <w:r w:rsidRPr="00DD0FA5">
              <w:rPr>
                <w:strike/>
                <w:color w:val="000000" w:themeColor="text1"/>
                <w:sz w:val="18"/>
                <w:szCs w:val="18"/>
              </w:rPr>
              <w:t>20</w:t>
            </w:r>
          </w:p>
        </w:tc>
        <w:tc>
          <w:tcPr>
            <w:tcW w:w="1639" w:type="dxa"/>
            <w:tcMar>
              <w:left w:w="0" w:type="dxa"/>
              <w:right w:w="0" w:type="dxa"/>
            </w:tcMar>
          </w:tcPr>
          <w:p w14:paraId="5AC97DFA" w14:textId="77777777" w:rsidR="00A34D73" w:rsidRPr="00DD0FA5" w:rsidRDefault="00A34D73" w:rsidP="008333A9">
            <w:pPr>
              <w:suppressAutoHyphens w:val="0"/>
              <w:spacing w:before="60" w:after="60" w:line="220" w:lineRule="atLeast"/>
              <w:ind w:left="113" w:right="113"/>
              <w:jc w:val="center"/>
              <w:rPr>
                <w:strike/>
                <w:color w:val="000000" w:themeColor="text1"/>
                <w:sz w:val="18"/>
                <w:szCs w:val="18"/>
              </w:rPr>
            </w:pPr>
            <w:r w:rsidRPr="00DD0FA5">
              <w:rPr>
                <w:strike/>
                <w:color w:val="000000" w:themeColor="text1"/>
                <w:sz w:val="18"/>
                <w:szCs w:val="18"/>
              </w:rPr>
              <w:t>1</w:t>
            </w:r>
          </w:p>
        </w:tc>
      </w:tr>
      <w:tr w:rsidR="00A34D73" w:rsidRPr="00A87926" w14:paraId="0D868423" w14:textId="77777777" w:rsidTr="008333A9">
        <w:trPr>
          <w:cantSplit/>
        </w:trPr>
        <w:tc>
          <w:tcPr>
            <w:tcW w:w="2375" w:type="dxa"/>
            <w:shd w:val="clear" w:color="auto" w:fill="auto"/>
          </w:tcPr>
          <w:p w14:paraId="3FDDA4AC"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 xml:space="preserve">Dimensions extérieures de la source lumineuse </w:t>
            </w:r>
            <w:r w:rsidRPr="00DD0FA5">
              <w:rPr>
                <w:strike/>
                <w:color w:val="000000" w:themeColor="text1"/>
                <w:sz w:val="18"/>
                <w:szCs w:val="18"/>
              </w:rPr>
              <w:t>à incandescence</w:t>
            </w:r>
            <w:r w:rsidRPr="00DD0FA5">
              <w:rPr>
                <w:color w:val="000000" w:themeColor="text1"/>
                <w:sz w:val="18"/>
                <w:szCs w:val="18"/>
              </w:rPr>
              <w:t xml:space="preserve"> (compte non tenu du culot et de la base)</w:t>
            </w:r>
          </w:p>
        </w:tc>
        <w:tc>
          <w:tcPr>
            <w:tcW w:w="2854" w:type="dxa"/>
            <w:shd w:val="clear" w:color="auto" w:fill="auto"/>
          </w:tcPr>
          <w:p w14:paraId="35032C88"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Tous les types de la même catégorie</w:t>
            </w:r>
          </w:p>
        </w:tc>
        <w:tc>
          <w:tcPr>
            <w:tcW w:w="1637" w:type="dxa"/>
            <w:shd w:val="clear" w:color="auto" w:fill="auto"/>
          </w:tcPr>
          <w:p w14:paraId="55D03346"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200</w:t>
            </w:r>
          </w:p>
        </w:tc>
        <w:tc>
          <w:tcPr>
            <w:tcW w:w="1639" w:type="dxa"/>
            <w:shd w:val="clear" w:color="auto" w:fill="auto"/>
          </w:tcPr>
          <w:p w14:paraId="2F4BE46A"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1</w:t>
            </w:r>
          </w:p>
        </w:tc>
      </w:tr>
      <w:tr w:rsidR="00A34D73" w:rsidRPr="00A87926" w14:paraId="2DDF2D6F" w14:textId="77777777" w:rsidTr="008333A9">
        <w:trPr>
          <w:cantSplit/>
        </w:trPr>
        <w:tc>
          <w:tcPr>
            <w:tcW w:w="2375" w:type="dxa"/>
            <w:shd w:val="clear" w:color="auto" w:fill="auto"/>
          </w:tcPr>
          <w:p w14:paraId="7C87ED15"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Dimensions des culots et des bases</w:t>
            </w:r>
          </w:p>
        </w:tc>
        <w:tc>
          <w:tcPr>
            <w:tcW w:w="2854" w:type="dxa"/>
            <w:shd w:val="clear" w:color="auto" w:fill="auto"/>
          </w:tcPr>
          <w:p w14:paraId="059F2B94"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Tous les types de la même catégorie</w:t>
            </w:r>
          </w:p>
        </w:tc>
        <w:tc>
          <w:tcPr>
            <w:tcW w:w="1637" w:type="dxa"/>
            <w:shd w:val="clear" w:color="auto" w:fill="auto"/>
          </w:tcPr>
          <w:p w14:paraId="46578470"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200</w:t>
            </w:r>
          </w:p>
        </w:tc>
        <w:tc>
          <w:tcPr>
            <w:tcW w:w="1639" w:type="dxa"/>
            <w:shd w:val="clear" w:color="auto" w:fill="auto"/>
          </w:tcPr>
          <w:p w14:paraId="268094F4"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6,5</w:t>
            </w:r>
          </w:p>
        </w:tc>
      </w:tr>
      <w:tr w:rsidR="00A34D73" w:rsidRPr="00A87926" w14:paraId="181EA843" w14:textId="77777777" w:rsidTr="008333A9">
        <w:trPr>
          <w:cantSplit/>
        </w:trPr>
        <w:tc>
          <w:tcPr>
            <w:tcW w:w="2375" w:type="dxa"/>
            <w:shd w:val="clear" w:color="auto" w:fill="auto"/>
          </w:tcPr>
          <w:p w14:paraId="65DEB82A"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Dimensions des éléments intérieurs**</w:t>
            </w:r>
          </w:p>
        </w:tc>
        <w:tc>
          <w:tcPr>
            <w:tcW w:w="2854" w:type="dxa"/>
            <w:shd w:val="clear" w:color="auto" w:fill="auto"/>
          </w:tcPr>
          <w:p w14:paraId="2C4C0FFB"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 xml:space="preserve">Toutes les sources lumineuses </w:t>
            </w:r>
            <w:r w:rsidRPr="00DD0FA5">
              <w:rPr>
                <w:strike/>
                <w:color w:val="000000" w:themeColor="text1"/>
                <w:sz w:val="18"/>
                <w:szCs w:val="18"/>
              </w:rPr>
              <w:t>à incandescence</w:t>
            </w:r>
            <w:r w:rsidRPr="00DD0FA5">
              <w:rPr>
                <w:color w:val="000000" w:themeColor="text1"/>
                <w:sz w:val="18"/>
                <w:szCs w:val="18"/>
              </w:rPr>
              <w:t xml:space="preserve"> du même type</w:t>
            </w:r>
          </w:p>
        </w:tc>
        <w:tc>
          <w:tcPr>
            <w:tcW w:w="1637" w:type="dxa"/>
            <w:shd w:val="clear" w:color="auto" w:fill="auto"/>
          </w:tcPr>
          <w:p w14:paraId="7D0DD929"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200</w:t>
            </w:r>
          </w:p>
        </w:tc>
        <w:tc>
          <w:tcPr>
            <w:tcW w:w="1639" w:type="dxa"/>
            <w:shd w:val="clear" w:color="auto" w:fill="auto"/>
          </w:tcPr>
          <w:p w14:paraId="1750F6F4"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6,5</w:t>
            </w:r>
          </w:p>
        </w:tc>
      </w:tr>
      <w:tr w:rsidR="00A34D73" w:rsidRPr="00A87926" w14:paraId="1E31EB00" w14:textId="77777777" w:rsidTr="008333A9">
        <w:trPr>
          <w:cantSplit/>
        </w:trPr>
        <w:tc>
          <w:tcPr>
            <w:tcW w:w="2375" w:type="dxa"/>
            <w:tcBorders>
              <w:bottom w:val="single" w:sz="12" w:space="0" w:color="auto"/>
            </w:tcBorders>
            <w:shd w:val="clear" w:color="auto" w:fill="auto"/>
          </w:tcPr>
          <w:p w14:paraId="6B29DFF7" w14:textId="77777777" w:rsidR="00A34D73" w:rsidRPr="00DD0FA5" w:rsidRDefault="00A34D73" w:rsidP="008333A9">
            <w:pPr>
              <w:suppressAutoHyphens w:val="0"/>
              <w:spacing w:before="60" w:after="60" w:line="220" w:lineRule="atLeast"/>
              <w:ind w:left="113" w:right="113"/>
              <w:rPr>
                <w:b/>
                <w:bCs/>
                <w:color w:val="000000" w:themeColor="text1"/>
                <w:sz w:val="18"/>
                <w:szCs w:val="18"/>
              </w:rPr>
            </w:pPr>
            <w:r w:rsidRPr="00DD0FA5">
              <w:rPr>
                <w:color w:val="000000" w:themeColor="text1"/>
                <w:sz w:val="18"/>
                <w:szCs w:val="18"/>
              </w:rPr>
              <w:t>Lectures initiales, watts et lumens</w:t>
            </w:r>
            <w:r w:rsidRPr="00DD0FA5">
              <w:rPr>
                <w:b/>
                <w:bCs/>
                <w:color w:val="000000" w:themeColor="text1"/>
                <w:sz w:val="18"/>
                <w:szCs w:val="18"/>
              </w:rPr>
              <w:t>,</w:t>
            </w:r>
            <w:r w:rsidRPr="00DD0FA5">
              <w:rPr>
                <w:color w:val="000000" w:themeColor="text1"/>
                <w:sz w:val="18"/>
                <w:szCs w:val="18"/>
              </w:rPr>
              <w:t xml:space="preserve"> </w:t>
            </w:r>
            <w:r w:rsidRPr="00DD0FA5">
              <w:rPr>
                <w:b/>
                <w:bCs/>
                <w:color w:val="000000" w:themeColor="text1"/>
                <w:sz w:val="18"/>
                <w:szCs w:val="18"/>
              </w:rPr>
              <w:t>ainsi que couleur pour les sources lumineuses à DEL de remplacement</w:t>
            </w:r>
            <w:r w:rsidRPr="008333A9">
              <w:rPr>
                <w:color w:val="000000" w:themeColor="text1"/>
                <w:sz w:val="18"/>
                <w:szCs w:val="18"/>
              </w:rPr>
              <w:t>**</w:t>
            </w:r>
          </w:p>
        </w:tc>
        <w:tc>
          <w:tcPr>
            <w:tcW w:w="2854" w:type="dxa"/>
            <w:tcBorders>
              <w:bottom w:val="single" w:sz="12" w:space="0" w:color="auto"/>
            </w:tcBorders>
            <w:shd w:val="clear" w:color="auto" w:fill="auto"/>
          </w:tcPr>
          <w:p w14:paraId="4081E777"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 xml:space="preserve">Toutes les sources lumineuses </w:t>
            </w:r>
            <w:r w:rsidRPr="00DD0FA5">
              <w:rPr>
                <w:strike/>
                <w:color w:val="000000" w:themeColor="text1"/>
                <w:sz w:val="18"/>
                <w:szCs w:val="18"/>
              </w:rPr>
              <w:t>à incandescence</w:t>
            </w:r>
            <w:r w:rsidRPr="00DD0FA5">
              <w:rPr>
                <w:color w:val="000000" w:themeColor="text1"/>
                <w:sz w:val="18"/>
                <w:szCs w:val="18"/>
              </w:rPr>
              <w:t xml:space="preserve"> du même type</w:t>
            </w:r>
          </w:p>
        </w:tc>
        <w:tc>
          <w:tcPr>
            <w:tcW w:w="1637" w:type="dxa"/>
            <w:tcBorders>
              <w:bottom w:val="single" w:sz="12" w:space="0" w:color="auto"/>
            </w:tcBorders>
            <w:shd w:val="clear" w:color="auto" w:fill="auto"/>
          </w:tcPr>
          <w:p w14:paraId="529986E3"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200</w:t>
            </w:r>
          </w:p>
        </w:tc>
        <w:tc>
          <w:tcPr>
            <w:tcW w:w="1639" w:type="dxa"/>
            <w:tcBorders>
              <w:bottom w:val="single" w:sz="12" w:space="0" w:color="auto"/>
            </w:tcBorders>
            <w:shd w:val="clear" w:color="auto" w:fill="auto"/>
          </w:tcPr>
          <w:p w14:paraId="66D89751"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1</w:t>
            </w:r>
          </w:p>
        </w:tc>
      </w:tr>
      <w:tr w:rsidR="00A34D73" w:rsidRPr="00A87926" w14:paraId="3720F6EE" w14:textId="77777777" w:rsidTr="008333A9">
        <w:trPr>
          <w:cantSplit/>
        </w:trPr>
        <w:tc>
          <w:tcPr>
            <w:tcW w:w="8505" w:type="dxa"/>
            <w:gridSpan w:val="4"/>
            <w:tcBorders>
              <w:top w:val="single" w:sz="12" w:space="0" w:color="auto"/>
              <w:bottom w:val="single" w:sz="12" w:space="0" w:color="auto"/>
            </w:tcBorders>
            <w:shd w:val="clear" w:color="auto" w:fill="auto"/>
          </w:tcPr>
          <w:p w14:paraId="7C111A0A"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Caractéristiques supplémentaires des sources lumineuses à incandescence</w:t>
            </w:r>
          </w:p>
        </w:tc>
      </w:tr>
      <w:tr w:rsidR="00A34D73" w:rsidRPr="00A87926" w14:paraId="0FB39D22" w14:textId="77777777" w:rsidTr="008333A9">
        <w:trPr>
          <w:cantSplit/>
        </w:trPr>
        <w:tc>
          <w:tcPr>
            <w:tcW w:w="2375" w:type="dxa"/>
            <w:tcBorders>
              <w:top w:val="single" w:sz="12" w:space="0" w:color="auto"/>
              <w:bottom w:val="single" w:sz="4" w:space="0" w:color="auto"/>
            </w:tcBorders>
            <w:shd w:val="clear" w:color="auto" w:fill="auto"/>
          </w:tcPr>
          <w:p w14:paraId="06ADE7B3" w14:textId="77777777" w:rsidR="00A34D73" w:rsidRPr="00DD0FA5" w:rsidRDefault="00A34D73" w:rsidP="008333A9">
            <w:pPr>
              <w:suppressAutoHyphens w:val="0"/>
              <w:spacing w:before="60" w:after="60" w:line="220" w:lineRule="atLeast"/>
              <w:ind w:left="113" w:right="113"/>
              <w:rPr>
                <w:b/>
                <w:bCs/>
                <w:color w:val="000000" w:themeColor="text1"/>
                <w:sz w:val="18"/>
                <w:szCs w:val="18"/>
              </w:rPr>
            </w:pPr>
            <w:r w:rsidRPr="00DD0FA5">
              <w:rPr>
                <w:b/>
                <w:bCs/>
                <w:color w:val="000000" w:themeColor="text1"/>
                <w:sz w:val="18"/>
                <w:szCs w:val="18"/>
              </w:rPr>
              <w:t>Qualité de l’ampoule</w:t>
            </w:r>
          </w:p>
        </w:tc>
        <w:tc>
          <w:tcPr>
            <w:tcW w:w="2854" w:type="dxa"/>
            <w:tcBorders>
              <w:top w:val="single" w:sz="12" w:space="0" w:color="auto"/>
              <w:bottom w:val="single" w:sz="4" w:space="0" w:color="auto"/>
            </w:tcBorders>
            <w:shd w:val="clear" w:color="auto" w:fill="auto"/>
          </w:tcPr>
          <w:p w14:paraId="589E6C55" w14:textId="77777777" w:rsidR="00A34D73" w:rsidRPr="00DD0FA5" w:rsidRDefault="00A34D73" w:rsidP="008333A9">
            <w:pPr>
              <w:suppressAutoHyphens w:val="0"/>
              <w:spacing w:before="60" w:after="60" w:line="220" w:lineRule="atLeast"/>
              <w:ind w:left="113" w:right="113"/>
              <w:rPr>
                <w:b/>
                <w:bCs/>
                <w:color w:val="000000" w:themeColor="text1"/>
                <w:sz w:val="18"/>
                <w:szCs w:val="18"/>
              </w:rPr>
            </w:pPr>
            <w:r w:rsidRPr="00DD0FA5">
              <w:rPr>
                <w:b/>
                <w:bCs/>
                <w:color w:val="000000" w:themeColor="text1"/>
                <w:sz w:val="18"/>
                <w:szCs w:val="18"/>
              </w:rPr>
              <w:t>Tous les types possédant la même ampoule</w:t>
            </w:r>
          </w:p>
        </w:tc>
        <w:tc>
          <w:tcPr>
            <w:tcW w:w="1637" w:type="dxa"/>
            <w:tcBorders>
              <w:top w:val="single" w:sz="12" w:space="0" w:color="auto"/>
              <w:bottom w:val="single" w:sz="4" w:space="0" w:color="auto"/>
            </w:tcBorders>
            <w:shd w:val="clear" w:color="auto" w:fill="auto"/>
          </w:tcPr>
          <w:p w14:paraId="50AEDC75"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315</w:t>
            </w:r>
          </w:p>
        </w:tc>
        <w:tc>
          <w:tcPr>
            <w:tcW w:w="1639" w:type="dxa"/>
            <w:tcBorders>
              <w:top w:val="single" w:sz="12" w:space="0" w:color="auto"/>
              <w:bottom w:val="single" w:sz="4" w:space="0" w:color="auto"/>
            </w:tcBorders>
            <w:shd w:val="clear" w:color="auto" w:fill="auto"/>
          </w:tcPr>
          <w:p w14:paraId="5F4C5DB4"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1</w:t>
            </w:r>
          </w:p>
        </w:tc>
      </w:tr>
      <w:tr w:rsidR="00A34D73" w:rsidRPr="00A87926" w14:paraId="4B8A7865" w14:textId="77777777" w:rsidTr="008333A9">
        <w:trPr>
          <w:cantSplit/>
        </w:trPr>
        <w:tc>
          <w:tcPr>
            <w:tcW w:w="2375" w:type="dxa"/>
            <w:tcBorders>
              <w:bottom w:val="single" w:sz="4" w:space="0" w:color="auto"/>
            </w:tcBorders>
            <w:shd w:val="clear" w:color="auto" w:fill="auto"/>
          </w:tcPr>
          <w:p w14:paraId="789FD38D" w14:textId="77777777" w:rsidR="00A34D73" w:rsidRPr="00DD0FA5" w:rsidRDefault="00A34D73" w:rsidP="008333A9">
            <w:pPr>
              <w:suppressAutoHyphens w:val="0"/>
              <w:spacing w:before="60" w:after="60" w:line="220" w:lineRule="atLeast"/>
              <w:ind w:left="113" w:right="113"/>
              <w:rPr>
                <w:b/>
                <w:bCs/>
                <w:color w:val="000000" w:themeColor="text1"/>
                <w:sz w:val="18"/>
                <w:szCs w:val="18"/>
              </w:rPr>
            </w:pPr>
            <w:r w:rsidRPr="00DD0FA5">
              <w:rPr>
                <w:b/>
                <w:bCs/>
                <w:color w:val="000000" w:themeColor="text1"/>
                <w:sz w:val="18"/>
                <w:szCs w:val="18"/>
              </w:rPr>
              <w:t>Couleur de l’ampoule</w:t>
            </w:r>
          </w:p>
        </w:tc>
        <w:tc>
          <w:tcPr>
            <w:tcW w:w="2854" w:type="dxa"/>
            <w:tcBorders>
              <w:bottom w:val="single" w:sz="4" w:space="0" w:color="auto"/>
            </w:tcBorders>
            <w:shd w:val="clear" w:color="auto" w:fill="auto"/>
          </w:tcPr>
          <w:p w14:paraId="2683BCE3" w14:textId="77777777" w:rsidR="00A34D73" w:rsidRPr="00DD0FA5" w:rsidRDefault="00A34D73" w:rsidP="008333A9">
            <w:pPr>
              <w:suppressAutoHyphens w:val="0"/>
              <w:spacing w:before="60" w:after="60" w:line="220" w:lineRule="atLeast"/>
              <w:ind w:left="113" w:right="113"/>
              <w:rPr>
                <w:b/>
                <w:bCs/>
                <w:color w:val="000000" w:themeColor="text1"/>
                <w:sz w:val="18"/>
                <w:szCs w:val="18"/>
              </w:rPr>
            </w:pPr>
            <w:r w:rsidRPr="00DD0FA5">
              <w:rPr>
                <w:b/>
                <w:bCs/>
                <w:color w:val="000000" w:themeColor="text1"/>
                <w:spacing w:val="-2"/>
                <w:sz w:val="18"/>
                <w:szCs w:val="18"/>
              </w:rPr>
              <w:t>Tous les types d’ampoules (émettant de la lumière rouge et jaune-auto) de la même catégorie utilisant la même technique de coloration</w:t>
            </w:r>
          </w:p>
        </w:tc>
        <w:tc>
          <w:tcPr>
            <w:tcW w:w="1637" w:type="dxa"/>
            <w:tcBorders>
              <w:bottom w:val="single" w:sz="4" w:space="0" w:color="auto"/>
            </w:tcBorders>
            <w:shd w:val="clear" w:color="auto" w:fill="auto"/>
          </w:tcPr>
          <w:p w14:paraId="26F22343"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20</w:t>
            </w:r>
          </w:p>
        </w:tc>
        <w:tc>
          <w:tcPr>
            <w:tcW w:w="1639" w:type="dxa"/>
            <w:tcBorders>
              <w:bottom w:val="single" w:sz="4" w:space="0" w:color="auto"/>
            </w:tcBorders>
            <w:shd w:val="clear" w:color="auto" w:fill="auto"/>
          </w:tcPr>
          <w:p w14:paraId="323F902A"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1</w:t>
            </w:r>
          </w:p>
        </w:tc>
      </w:tr>
      <w:tr w:rsidR="00A34D73" w:rsidRPr="00A87926" w14:paraId="5C1A3908" w14:textId="77777777" w:rsidTr="008333A9">
        <w:trPr>
          <w:cantSplit/>
        </w:trPr>
        <w:tc>
          <w:tcPr>
            <w:tcW w:w="2375" w:type="dxa"/>
            <w:tcBorders>
              <w:bottom w:val="single" w:sz="12" w:space="0" w:color="auto"/>
            </w:tcBorders>
            <w:shd w:val="clear" w:color="auto" w:fill="auto"/>
          </w:tcPr>
          <w:p w14:paraId="1A398C11"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Essai de résistance des couleurs</w:t>
            </w:r>
          </w:p>
        </w:tc>
        <w:tc>
          <w:tcPr>
            <w:tcW w:w="2854" w:type="dxa"/>
            <w:tcBorders>
              <w:bottom w:val="single" w:sz="12" w:space="0" w:color="auto"/>
            </w:tcBorders>
            <w:shd w:val="clear" w:color="auto" w:fill="auto"/>
          </w:tcPr>
          <w:p w14:paraId="2CBF25B2" w14:textId="77777777" w:rsidR="00A34D73" w:rsidRPr="00DD0FA5" w:rsidRDefault="00A34D73" w:rsidP="008333A9">
            <w:pPr>
              <w:suppressAutoHyphens w:val="0"/>
              <w:spacing w:before="60" w:after="60" w:line="220" w:lineRule="atLeast"/>
              <w:ind w:left="113" w:right="113"/>
              <w:rPr>
                <w:color w:val="000000" w:themeColor="text1"/>
                <w:sz w:val="18"/>
                <w:szCs w:val="18"/>
              </w:rPr>
            </w:pPr>
            <w:r w:rsidRPr="00DD0FA5">
              <w:rPr>
                <w:color w:val="000000" w:themeColor="text1"/>
                <w:sz w:val="18"/>
                <w:szCs w:val="18"/>
              </w:rPr>
              <w:t>Toutes les sources lumineuses à incandescence (émettant de la lumière rouge, jaune-auto et blanche) utilisant la même technique de revêtement colorant</w:t>
            </w:r>
          </w:p>
        </w:tc>
        <w:tc>
          <w:tcPr>
            <w:tcW w:w="1637" w:type="dxa"/>
            <w:tcBorders>
              <w:bottom w:val="single" w:sz="12" w:space="0" w:color="auto"/>
            </w:tcBorders>
            <w:shd w:val="clear" w:color="auto" w:fill="auto"/>
          </w:tcPr>
          <w:p w14:paraId="3C15D603"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20***</w:t>
            </w:r>
          </w:p>
        </w:tc>
        <w:tc>
          <w:tcPr>
            <w:tcW w:w="1639" w:type="dxa"/>
            <w:tcBorders>
              <w:bottom w:val="single" w:sz="12" w:space="0" w:color="auto"/>
            </w:tcBorders>
            <w:shd w:val="clear" w:color="auto" w:fill="auto"/>
          </w:tcPr>
          <w:p w14:paraId="2CBFFB58" w14:textId="77777777" w:rsidR="00A34D73" w:rsidRPr="00DD0FA5" w:rsidRDefault="00A34D73" w:rsidP="008333A9">
            <w:pPr>
              <w:suppressAutoHyphens w:val="0"/>
              <w:spacing w:before="60" w:after="60" w:line="220" w:lineRule="atLeast"/>
              <w:ind w:left="113" w:right="113"/>
              <w:jc w:val="center"/>
              <w:rPr>
                <w:color w:val="000000" w:themeColor="text1"/>
                <w:sz w:val="18"/>
                <w:szCs w:val="18"/>
              </w:rPr>
            </w:pPr>
            <w:r w:rsidRPr="00DD0FA5">
              <w:rPr>
                <w:color w:val="000000" w:themeColor="text1"/>
                <w:sz w:val="18"/>
                <w:szCs w:val="18"/>
              </w:rPr>
              <w:t>1</w:t>
            </w:r>
          </w:p>
        </w:tc>
      </w:tr>
      <w:tr w:rsidR="00A34D73" w:rsidRPr="00A87926" w14:paraId="3AA03813" w14:textId="77777777" w:rsidTr="008333A9">
        <w:trPr>
          <w:cantSplit/>
        </w:trPr>
        <w:tc>
          <w:tcPr>
            <w:tcW w:w="8505" w:type="dxa"/>
            <w:gridSpan w:val="4"/>
            <w:tcBorders>
              <w:top w:val="single" w:sz="12" w:space="0" w:color="auto"/>
              <w:bottom w:val="single" w:sz="12" w:space="0" w:color="auto"/>
            </w:tcBorders>
            <w:shd w:val="clear" w:color="auto" w:fill="auto"/>
          </w:tcPr>
          <w:p w14:paraId="750ACE7B"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Caractéristiques supplémentaires des sources lumineuses à DEL de remplacement</w:t>
            </w:r>
          </w:p>
        </w:tc>
      </w:tr>
      <w:tr w:rsidR="00A34D73" w:rsidRPr="00A87926" w14:paraId="6F4DBE27" w14:textId="77777777" w:rsidTr="008333A9">
        <w:trPr>
          <w:cantSplit/>
        </w:trPr>
        <w:tc>
          <w:tcPr>
            <w:tcW w:w="2375" w:type="dxa"/>
            <w:tcBorders>
              <w:top w:val="single" w:sz="12" w:space="0" w:color="auto"/>
              <w:bottom w:val="single" w:sz="4" w:space="0" w:color="auto"/>
            </w:tcBorders>
            <w:shd w:val="clear" w:color="auto" w:fill="auto"/>
          </w:tcPr>
          <w:p w14:paraId="2F940041" w14:textId="77777777" w:rsidR="00A34D73" w:rsidRPr="00DD0FA5" w:rsidRDefault="00A34D73" w:rsidP="008333A9">
            <w:pPr>
              <w:suppressAutoHyphens w:val="0"/>
              <w:spacing w:before="60" w:after="60" w:line="220" w:lineRule="atLeast"/>
              <w:ind w:left="113" w:right="113"/>
              <w:rPr>
                <w:b/>
                <w:color w:val="000000" w:themeColor="text1"/>
                <w:sz w:val="18"/>
                <w:szCs w:val="18"/>
              </w:rPr>
            </w:pPr>
            <w:r w:rsidRPr="00DD0FA5">
              <w:rPr>
                <w:b/>
                <w:color w:val="000000" w:themeColor="text1"/>
                <w:sz w:val="18"/>
                <w:szCs w:val="18"/>
              </w:rPr>
              <w:t>Répartition de l’intensité lumineuse normalisée ou répartition du flux lumineux cumulé</w:t>
            </w:r>
          </w:p>
        </w:tc>
        <w:tc>
          <w:tcPr>
            <w:tcW w:w="2854" w:type="dxa"/>
            <w:tcBorders>
              <w:top w:val="single" w:sz="12" w:space="0" w:color="auto"/>
              <w:bottom w:val="single" w:sz="4" w:space="0" w:color="auto"/>
            </w:tcBorders>
            <w:shd w:val="clear" w:color="auto" w:fill="auto"/>
          </w:tcPr>
          <w:p w14:paraId="5BDA7ECD" w14:textId="77777777" w:rsidR="00A34D73" w:rsidRPr="00DD0FA5" w:rsidRDefault="00A34D73" w:rsidP="008333A9">
            <w:pPr>
              <w:suppressAutoHyphens w:val="0"/>
              <w:spacing w:before="60" w:after="60" w:line="220" w:lineRule="atLeast"/>
              <w:ind w:left="113" w:right="113"/>
              <w:rPr>
                <w:b/>
                <w:color w:val="000000" w:themeColor="text1"/>
                <w:sz w:val="18"/>
                <w:szCs w:val="18"/>
              </w:rPr>
            </w:pPr>
            <w:r w:rsidRPr="00DD0FA5">
              <w:rPr>
                <w:b/>
                <w:color w:val="000000" w:themeColor="text1"/>
                <w:sz w:val="18"/>
                <w:szCs w:val="18"/>
              </w:rPr>
              <w:t xml:space="preserve">Toutes les sources lumineuses à </w:t>
            </w:r>
            <w:r w:rsidRPr="00DD0FA5">
              <w:rPr>
                <w:b/>
                <w:snapToGrid w:val="0"/>
                <w:color w:val="000000" w:themeColor="text1"/>
                <w:sz w:val="18"/>
                <w:szCs w:val="18"/>
              </w:rPr>
              <w:t xml:space="preserve">DEL de remplacement </w:t>
            </w:r>
            <w:r w:rsidRPr="00DD0FA5">
              <w:rPr>
                <w:b/>
                <w:color w:val="000000" w:themeColor="text1"/>
                <w:sz w:val="18"/>
                <w:szCs w:val="18"/>
              </w:rPr>
              <w:t>du même type</w:t>
            </w:r>
          </w:p>
        </w:tc>
        <w:tc>
          <w:tcPr>
            <w:tcW w:w="1637" w:type="dxa"/>
            <w:tcBorders>
              <w:top w:val="single" w:sz="12" w:space="0" w:color="auto"/>
              <w:bottom w:val="single" w:sz="4" w:space="0" w:color="auto"/>
            </w:tcBorders>
            <w:shd w:val="clear" w:color="auto" w:fill="auto"/>
          </w:tcPr>
          <w:p w14:paraId="683F595C" w14:textId="77777777" w:rsidR="00A34D73" w:rsidRPr="00DD0FA5" w:rsidRDefault="00A34D73" w:rsidP="008333A9">
            <w:pPr>
              <w:suppressAutoHyphens w:val="0"/>
              <w:spacing w:before="60" w:after="60" w:line="220" w:lineRule="atLeast"/>
              <w:ind w:left="113" w:right="113"/>
              <w:jc w:val="center"/>
              <w:rPr>
                <w:b/>
                <w:color w:val="000000" w:themeColor="text1"/>
                <w:sz w:val="18"/>
                <w:szCs w:val="18"/>
              </w:rPr>
            </w:pPr>
            <w:r w:rsidRPr="00DD0FA5">
              <w:rPr>
                <w:b/>
                <w:bCs/>
                <w:color w:val="000000" w:themeColor="text1"/>
                <w:sz w:val="18"/>
                <w:szCs w:val="18"/>
              </w:rPr>
              <w:t>20</w:t>
            </w:r>
          </w:p>
        </w:tc>
        <w:tc>
          <w:tcPr>
            <w:tcW w:w="1639" w:type="dxa"/>
            <w:tcBorders>
              <w:top w:val="single" w:sz="12" w:space="0" w:color="auto"/>
              <w:bottom w:val="single" w:sz="4" w:space="0" w:color="auto"/>
            </w:tcBorders>
            <w:shd w:val="clear" w:color="auto" w:fill="auto"/>
          </w:tcPr>
          <w:p w14:paraId="615404EC" w14:textId="77777777" w:rsidR="00A34D73" w:rsidRPr="00DD0FA5" w:rsidRDefault="00A34D73" w:rsidP="008333A9">
            <w:pPr>
              <w:suppressAutoHyphens w:val="0"/>
              <w:spacing w:before="60" w:after="60" w:line="220" w:lineRule="atLeast"/>
              <w:ind w:left="113" w:right="113"/>
              <w:jc w:val="center"/>
              <w:rPr>
                <w:b/>
                <w:bCs/>
                <w:color w:val="000000" w:themeColor="text1"/>
                <w:sz w:val="18"/>
                <w:szCs w:val="18"/>
              </w:rPr>
            </w:pPr>
            <w:r w:rsidRPr="00DD0FA5">
              <w:rPr>
                <w:b/>
                <w:bCs/>
                <w:color w:val="000000" w:themeColor="text1"/>
                <w:sz w:val="18"/>
                <w:szCs w:val="18"/>
              </w:rPr>
              <w:t>6,5</w:t>
            </w:r>
          </w:p>
        </w:tc>
      </w:tr>
      <w:tr w:rsidR="00A34D73" w:rsidRPr="00A87926" w14:paraId="0CD7314D" w14:textId="77777777" w:rsidTr="008333A9">
        <w:trPr>
          <w:cantSplit/>
        </w:trPr>
        <w:tc>
          <w:tcPr>
            <w:tcW w:w="2375" w:type="dxa"/>
            <w:tcBorders>
              <w:top w:val="single" w:sz="4" w:space="0" w:color="auto"/>
              <w:bottom w:val="single" w:sz="12" w:space="0" w:color="auto"/>
            </w:tcBorders>
            <w:shd w:val="clear" w:color="auto" w:fill="auto"/>
          </w:tcPr>
          <w:p w14:paraId="1484D801" w14:textId="77777777" w:rsidR="00A34D73" w:rsidRPr="00DD0FA5" w:rsidRDefault="00A34D73" w:rsidP="008333A9">
            <w:pPr>
              <w:suppressAutoHyphens w:val="0"/>
              <w:spacing w:before="60" w:after="60" w:line="220" w:lineRule="atLeast"/>
              <w:ind w:left="113" w:right="113"/>
              <w:rPr>
                <w:b/>
                <w:color w:val="000000" w:themeColor="text1"/>
                <w:sz w:val="18"/>
                <w:szCs w:val="18"/>
              </w:rPr>
            </w:pPr>
            <w:r w:rsidRPr="00DD0FA5">
              <w:rPr>
                <w:b/>
                <w:color w:val="000000" w:themeColor="text1"/>
                <w:sz w:val="18"/>
                <w:szCs w:val="18"/>
              </w:rPr>
              <w:t>Courant électrique****</w:t>
            </w:r>
          </w:p>
        </w:tc>
        <w:tc>
          <w:tcPr>
            <w:tcW w:w="2854" w:type="dxa"/>
            <w:tcBorders>
              <w:top w:val="single" w:sz="4" w:space="0" w:color="auto"/>
              <w:bottom w:val="single" w:sz="12" w:space="0" w:color="auto"/>
            </w:tcBorders>
            <w:shd w:val="clear" w:color="auto" w:fill="auto"/>
          </w:tcPr>
          <w:p w14:paraId="475F5F53" w14:textId="77777777" w:rsidR="00A34D73" w:rsidRPr="00DD0FA5" w:rsidRDefault="00A34D73" w:rsidP="008333A9">
            <w:pPr>
              <w:suppressAutoHyphens w:val="0"/>
              <w:spacing w:before="60" w:after="60" w:line="220" w:lineRule="atLeast"/>
              <w:ind w:left="113" w:right="113"/>
              <w:rPr>
                <w:b/>
                <w:color w:val="000000" w:themeColor="text1"/>
                <w:sz w:val="18"/>
                <w:szCs w:val="18"/>
              </w:rPr>
            </w:pPr>
            <w:r w:rsidRPr="00DD0FA5">
              <w:rPr>
                <w:b/>
                <w:snapToGrid w:val="0"/>
                <w:color w:val="000000" w:themeColor="text1"/>
                <w:sz w:val="18"/>
                <w:szCs w:val="18"/>
              </w:rPr>
              <w:t>Toutes les sources lumineuses à DEL de remplacement du même type</w:t>
            </w:r>
          </w:p>
        </w:tc>
        <w:tc>
          <w:tcPr>
            <w:tcW w:w="1637" w:type="dxa"/>
            <w:tcBorders>
              <w:top w:val="single" w:sz="4" w:space="0" w:color="auto"/>
              <w:bottom w:val="single" w:sz="12" w:space="0" w:color="auto"/>
            </w:tcBorders>
            <w:shd w:val="clear" w:color="auto" w:fill="auto"/>
          </w:tcPr>
          <w:p w14:paraId="30D8DF80" w14:textId="77777777" w:rsidR="00A34D73" w:rsidRPr="00DD0FA5" w:rsidRDefault="00A34D73" w:rsidP="008333A9">
            <w:pPr>
              <w:suppressAutoHyphens w:val="0"/>
              <w:spacing w:before="60" w:after="60" w:line="220" w:lineRule="atLeast"/>
              <w:ind w:left="113" w:right="113"/>
              <w:jc w:val="center"/>
              <w:rPr>
                <w:b/>
                <w:color w:val="000000" w:themeColor="text1"/>
                <w:sz w:val="18"/>
                <w:szCs w:val="18"/>
              </w:rPr>
            </w:pPr>
            <w:r w:rsidRPr="00DD0FA5">
              <w:rPr>
                <w:b/>
                <w:bCs/>
                <w:color w:val="000000" w:themeColor="text1"/>
                <w:sz w:val="18"/>
                <w:szCs w:val="18"/>
              </w:rPr>
              <w:t>20</w:t>
            </w:r>
          </w:p>
        </w:tc>
        <w:tc>
          <w:tcPr>
            <w:tcW w:w="1639" w:type="dxa"/>
            <w:tcBorders>
              <w:top w:val="single" w:sz="4" w:space="0" w:color="auto"/>
              <w:bottom w:val="single" w:sz="12" w:space="0" w:color="auto"/>
            </w:tcBorders>
            <w:shd w:val="clear" w:color="auto" w:fill="auto"/>
          </w:tcPr>
          <w:p w14:paraId="0B02FE01" w14:textId="77777777" w:rsidR="00A34D73" w:rsidRPr="00DD0FA5" w:rsidRDefault="00A34D73" w:rsidP="008333A9">
            <w:pPr>
              <w:suppressAutoHyphens w:val="0"/>
              <w:spacing w:before="60" w:after="60" w:line="220" w:lineRule="atLeast"/>
              <w:ind w:left="113" w:right="113"/>
              <w:jc w:val="center"/>
              <w:rPr>
                <w:b/>
                <w:color w:val="000000" w:themeColor="text1"/>
                <w:sz w:val="18"/>
                <w:szCs w:val="18"/>
              </w:rPr>
            </w:pPr>
            <w:r w:rsidRPr="00DD0FA5">
              <w:rPr>
                <w:b/>
                <w:bCs/>
                <w:color w:val="000000" w:themeColor="text1"/>
                <w:sz w:val="18"/>
                <w:szCs w:val="18"/>
              </w:rPr>
              <w:t>1</w:t>
            </w:r>
          </w:p>
        </w:tc>
      </w:tr>
      <w:tr w:rsidR="00A34D73" w:rsidRPr="00A87926" w14:paraId="0FBDA836" w14:textId="77777777" w:rsidTr="008333A9">
        <w:trPr>
          <w:cantSplit/>
        </w:trPr>
        <w:tc>
          <w:tcPr>
            <w:tcW w:w="8505" w:type="dxa"/>
            <w:gridSpan w:val="4"/>
            <w:tcBorders>
              <w:top w:val="single" w:sz="12" w:space="0" w:color="auto"/>
              <w:left w:val="single" w:sz="4" w:space="0" w:color="auto"/>
              <w:bottom w:val="single" w:sz="4" w:space="0" w:color="auto"/>
              <w:right w:val="single" w:sz="4" w:space="0" w:color="auto"/>
            </w:tcBorders>
            <w:shd w:val="clear" w:color="auto" w:fill="auto"/>
          </w:tcPr>
          <w:p w14:paraId="368B0EA5" w14:textId="77777777" w:rsidR="00A34D73" w:rsidRPr="00DD0FA5" w:rsidRDefault="00A34D73" w:rsidP="008333A9">
            <w:pPr>
              <w:pStyle w:val="endnotetable"/>
              <w:spacing w:before="60" w:after="60" w:line="220" w:lineRule="atLeast"/>
              <w:ind w:left="113" w:right="113" w:firstLine="0"/>
              <w:rPr>
                <w:color w:val="000000" w:themeColor="text1"/>
              </w:rPr>
            </w:pPr>
            <w:r w:rsidRPr="00DD0FA5">
              <w:rPr>
                <w:bCs/>
                <w:color w:val="000000" w:themeColor="text1"/>
              </w:rPr>
              <w:t>Les notes peuvent être consultées ci-dessous ou sur la page suivante.</w:t>
            </w:r>
          </w:p>
        </w:tc>
      </w:tr>
    </w:tbl>
    <w:p w14:paraId="79EAD20A" w14:textId="77777777" w:rsidR="00A34D73" w:rsidRPr="00A87926" w:rsidRDefault="00A34D73" w:rsidP="00392DC4">
      <w:pPr>
        <w:pStyle w:val="SingleTxtG"/>
      </w:pPr>
    </w:p>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A34D73" w:rsidRPr="00A87926" w14:paraId="6F9AA36D" w14:textId="77777777" w:rsidTr="00A34D73">
        <w:trPr>
          <w:cantSplit/>
        </w:trPr>
        <w:tc>
          <w:tcPr>
            <w:tcW w:w="7369" w:type="dxa"/>
            <w:shd w:val="clear" w:color="auto" w:fill="auto"/>
          </w:tcPr>
          <w:p w14:paraId="4088D334" w14:textId="77777777" w:rsidR="00A34D73" w:rsidRPr="00DD0FA5" w:rsidRDefault="00A34D73" w:rsidP="00DD0FA5">
            <w:pPr>
              <w:pStyle w:val="endnotetable"/>
              <w:spacing w:before="40" w:after="40"/>
              <w:ind w:left="680" w:right="113" w:hanging="567"/>
              <w:rPr>
                <w:color w:val="000000" w:themeColor="text1"/>
              </w:rPr>
            </w:pPr>
            <w:r w:rsidRPr="00DD0FA5">
              <w:rPr>
                <w:color w:val="000000" w:themeColor="text1"/>
              </w:rPr>
              <w:lastRenderedPageBreak/>
              <w:t>*</w:t>
            </w:r>
            <w:r w:rsidRPr="00DD0FA5">
              <w:rPr>
                <w:color w:val="000000" w:themeColor="text1"/>
              </w:rPr>
              <w:tab/>
              <w:t xml:space="preserve">L’évaluation porte en général sur des sources lumineuses </w:t>
            </w:r>
            <w:r w:rsidRPr="00DD0FA5">
              <w:rPr>
                <w:strike/>
                <w:color w:val="000000" w:themeColor="text1"/>
              </w:rPr>
              <w:t>à incandescence</w:t>
            </w:r>
            <w:r w:rsidRPr="00DD0FA5">
              <w:rPr>
                <w:color w:val="000000" w:themeColor="text1"/>
              </w:rPr>
              <w:t xml:space="preserve"> de série provenant de diverses usines. Un fabricant peut regrouper les procès-verbaux concernant le même type de sources lumineuses provenant de plusieurs usines, à condition qu’y soient mis en œuvre le même système de qualité et la même gestion de la qualité.</w:t>
            </w:r>
          </w:p>
          <w:p w14:paraId="5C1B383F" w14:textId="77777777" w:rsidR="00A34D73" w:rsidRPr="00DD0FA5" w:rsidRDefault="00A34D73" w:rsidP="00DD0FA5">
            <w:pPr>
              <w:pStyle w:val="endnotetable"/>
              <w:spacing w:before="40" w:after="40"/>
              <w:ind w:left="680" w:right="113" w:hanging="567"/>
              <w:rPr>
                <w:color w:val="000000" w:themeColor="text1"/>
              </w:rPr>
            </w:pPr>
            <w:r w:rsidRPr="00DD0FA5">
              <w:rPr>
                <w:color w:val="000000" w:themeColor="text1"/>
              </w:rPr>
              <w:t>**</w:t>
            </w:r>
            <w:r w:rsidRPr="00DD0FA5">
              <w:rPr>
                <w:color w:val="000000" w:themeColor="text1"/>
              </w:rPr>
              <w:tab/>
              <w:t>Lorsqu’une source lumineuse à incandescence possède plus d’un élément intérieur (filament, coupelle), le groupe de caractéristiques (dimensions, watts et lumens) s’applique séparément à chaque élément.</w:t>
            </w:r>
          </w:p>
          <w:p w14:paraId="1B49B83C" w14:textId="77777777" w:rsidR="00A34D73" w:rsidRPr="00DD0FA5" w:rsidRDefault="00A34D73" w:rsidP="00DD0FA5">
            <w:pPr>
              <w:pStyle w:val="endnotetable"/>
              <w:spacing w:before="40" w:after="40"/>
              <w:ind w:left="680" w:right="113" w:firstLine="0"/>
              <w:rPr>
                <w:color w:val="000000" w:themeColor="text1"/>
              </w:rPr>
            </w:pPr>
            <w:r w:rsidRPr="00DD0FA5">
              <w:rPr>
                <w:b/>
                <w:bCs/>
                <w:color w:val="000000" w:themeColor="text1"/>
              </w:rPr>
              <w:t>Lorsqu’une source lumineuse à DEL de remplacement a plus d’une fonction de production de lumière, le groupe de caractéristiques (dimensions, puissance, couleur et flux lumineux) s’applique séparément à chaque élément et surface de sortie de la lumière.</w:t>
            </w:r>
          </w:p>
          <w:p w14:paraId="762D861F" w14:textId="77777777" w:rsidR="00A34D73" w:rsidRPr="00DD0FA5" w:rsidRDefault="00A34D73" w:rsidP="00DD0FA5">
            <w:pPr>
              <w:pStyle w:val="endnotetable"/>
              <w:spacing w:before="40" w:after="40"/>
              <w:ind w:left="680" w:right="113" w:hanging="567"/>
              <w:rPr>
                <w:color w:val="000000" w:themeColor="text1"/>
              </w:rPr>
            </w:pPr>
            <w:r w:rsidRPr="00DD0FA5">
              <w:rPr>
                <w:color w:val="000000" w:themeColor="text1"/>
              </w:rPr>
              <w:t>***</w:t>
            </w:r>
            <w:r w:rsidRPr="00DD0FA5">
              <w:rPr>
                <w:color w:val="000000" w:themeColor="text1"/>
              </w:rPr>
              <w:tab/>
              <w:t>Répartition représentative par catégories de sources lumineuses à incandescence colorées avec les mêmes technologies et techniques de finissage, et comprenant des sources lumineuses à incandescence de diamètres extérieurs minimal et maximal, chacune de la puissance nominale la plus élevée.</w:t>
            </w:r>
          </w:p>
          <w:p w14:paraId="4B7F5988" w14:textId="77777777" w:rsidR="00A34D73" w:rsidRPr="00A87926" w:rsidRDefault="00A34D73" w:rsidP="00DD0FA5">
            <w:pPr>
              <w:pStyle w:val="endnotetable"/>
              <w:spacing w:before="40" w:after="40"/>
              <w:ind w:left="680" w:right="113" w:hanging="567"/>
              <w:rPr>
                <w:b/>
                <w:bCs/>
                <w:color w:val="000000" w:themeColor="text1"/>
              </w:rPr>
            </w:pPr>
            <w:r w:rsidRPr="00DD0FA5">
              <w:rPr>
                <w:b/>
                <w:bCs/>
                <w:color w:val="000000" w:themeColor="text1"/>
              </w:rPr>
              <w:t>****</w:t>
            </w:r>
            <w:r w:rsidRPr="00DD0FA5">
              <w:rPr>
                <w:b/>
                <w:bCs/>
                <w:color w:val="000000" w:themeColor="text1"/>
              </w:rPr>
              <w:tab/>
              <w:t>Sources lumineuses à DEL de remplacement uniquement.</w:t>
            </w:r>
          </w:p>
        </w:tc>
      </w:tr>
    </w:tbl>
    <w:p w14:paraId="1A7C7174" w14:textId="77777777" w:rsidR="00A34D73" w:rsidRPr="00A87926" w:rsidRDefault="00A34D73" w:rsidP="00392DC4">
      <w:pPr>
        <w:pStyle w:val="SingleTxtG"/>
      </w:pPr>
      <w:r w:rsidRPr="00A87926">
        <w:t>».</w:t>
      </w:r>
    </w:p>
    <w:p w14:paraId="33193580" w14:textId="77777777" w:rsidR="00A34D73" w:rsidRPr="00A87926" w:rsidRDefault="00A34D73" w:rsidP="008333A9">
      <w:pPr>
        <w:pStyle w:val="SingleTxtG"/>
      </w:pPr>
      <w:r w:rsidRPr="008333A9">
        <w:rPr>
          <w:i/>
          <w:iCs/>
        </w:rPr>
        <w:t>Tableau 3, y compris le texte d’introduction au-dessus du tableau</w:t>
      </w:r>
      <w:r w:rsidRPr="00A87926">
        <w:t>, lire</w:t>
      </w:r>
      <w:r>
        <w:t> :</w:t>
      </w:r>
    </w:p>
    <w:p w14:paraId="6926387A" w14:textId="77777777" w:rsidR="00A34D73" w:rsidRPr="00A87926" w:rsidRDefault="00A34D73" w:rsidP="00A34D73">
      <w:pPr>
        <w:pStyle w:val="SingleTxtG"/>
        <w:ind w:firstLine="567"/>
        <w:rPr>
          <w:color w:val="000000" w:themeColor="text1"/>
        </w:rPr>
      </w:pPr>
      <w:r w:rsidRPr="00A87926">
        <w:rPr>
          <w:color w:val="000000" w:themeColor="text1"/>
        </w:rPr>
        <w:t>«</w:t>
      </w:r>
      <w:r w:rsidR="008333A9">
        <w:rPr>
          <w:color w:val="000000" w:themeColor="text1"/>
        </w:rPr>
        <w:t> </w:t>
      </w:r>
      <w:r w:rsidRPr="00A87926">
        <w:rPr>
          <w:color w:val="000000" w:themeColor="text1"/>
        </w:rPr>
        <w:t>Les tolérances (nombre maximum de résultats non conformes) sont énumérées au tableau 3 en fonction du nombre de résultats d’essai pour chaque groupe de caractéristiques. Ces tolérances sont fondées sur un niveau acceptable de 6,5</w:t>
      </w:r>
      <w:r w:rsidR="008333A9">
        <w:rPr>
          <w:color w:val="000000" w:themeColor="text1"/>
        </w:rPr>
        <w:t> </w:t>
      </w:r>
      <w:r w:rsidRPr="00A87926">
        <w:rPr>
          <w:color w:val="000000" w:themeColor="text1"/>
        </w:rPr>
        <w:t xml:space="preserve">% de résultats non conformes </w:t>
      </w:r>
      <w:r w:rsidRPr="00A87926">
        <w:rPr>
          <w:b/>
          <w:bCs/>
          <w:color w:val="000000" w:themeColor="text1"/>
        </w:rPr>
        <w:t>pour les sources lumineuses à incandescence et de 5</w:t>
      </w:r>
      <w:r w:rsidR="008333A9">
        <w:rPr>
          <w:b/>
          <w:bCs/>
          <w:color w:val="000000" w:themeColor="text1"/>
        </w:rPr>
        <w:t> </w:t>
      </w:r>
      <w:r w:rsidRPr="00A87926">
        <w:rPr>
          <w:b/>
          <w:bCs/>
          <w:color w:val="000000" w:themeColor="text1"/>
        </w:rPr>
        <w:t>% pour les sources lumineuses à DEL de remplacement</w:t>
      </w:r>
      <w:r w:rsidRPr="00A87926">
        <w:rPr>
          <w:color w:val="000000" w:themeColor="text1"/>
        </w:rPr>
        <w:t>, en supposant une probabilité d’acceptation d’au moins 0,95.</w:t>
      </w:r>
    </w:p>
    <w:p w14:paraId="7A519D5F" w14:textId="77777777" w:rsidR="00A34D73" w:rsidRPr="00A87926" w:rsidRDefault="00A34D73" w:rsidP="00A34D73">
      <w:pPr>
        <w:pStyle w:val="Titre1"/>
        <w:spacing w:after="120"/>
        <w:rPr>
          <w:color w:val="000000" w:themeColor="text1"/>
        </w:rPr>
      </w:pPr>
      <w:r w:rsidRPr="00A87926">
        <w:rPr>
          <w:color w:val="000000" w:themeColor="text1"/>
        </w:rPr>
        <w:t>Tableau 3</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7"/>
        <w:gridCol w:w="1418"/>
        <w:gridCol w:w="1417"/>
        <w:gridCol w:w="1417"/>
        <w:gridCol w:w="1418"/>
      </w:tblGrid>
      <w:tr w:rsidR="00A34D73" w:rsidRPr="008333A9" w14:paraId="0231F40A" w14:textId="77777777" w:rsidTr="00F46AE4">
        <w:trPr>
          <w:cantSplit/>
          <w:tblHeader/>
        </w:trPr>
        <w:tc>
          <w:tcPr>
            <w:tcW w:w="1417" w:type="dxa"/>
            <w:tcBorders>
              <w:bottom w:val="single" w:sz="12" w:space="0" w:color="auto"/>
            </w:tcBorders>
            <w:shd w:val="clear" w:color="auto" w:fill="auto"/>
            <w:vAlign w:val="bottom"/>
          </w:tcPr>
          <w:p w14:paraId="280F4BC9" w14:textId="77777777" w:rsidR="00A34D73" w:rsidRPr="008333A9" w:rsidRDefault="00A34D73" w:rsidP="008333A9">
            <w:pPr>
              <w:keepNext/>
              <w:suppressAutoHyphens w:val="0"/>
              <w:spacing w:before="80" w:after="80" w:line="200" w:lineRule="exact"/>
              <w:ind w:left="113" w:right="113"/>
              <w:rPr>
                <w:i/>
                <w:color w:val="000000" w:themeColor="text1"/>
                <w:sz w:val="16"/>
                <w:szCs w:val="16"/>
              </w:rPr>
            </w:pPr>
            <w:r w:rsidRPr="008333A9">
              <w:rPr>
                <w:rFonts w:eastAsia="Calibri"/>
                <w:i/>
                <w:color w:val="000000" w:themeColor="text1"/>
                <w:sz w:val="16"/>
                <w:szCs w:val="16"/>
              </w:rPr>
              <w:t xml:space="preserve">Nombre des </w:t>
            </w:r>
            <w:r w:rsidRPr="008333A9">
              <w:rPr>
                <w:rFonts w:eastAsia="Calibri"/>
                <w:bCs/>
                <w:i/>
                <w:color w:val="000000" w:themeColor="text1"/>
                <w:sz w:val="16"/>
                <w:szCs w:val="16"/>
              </w:rPr>
              <w:t xml:space="preserve">sources lumineuses </w:t>
            </w:r>
            <w:r w:rsidRPr="008333A9">
              <w:rPr>
                <w:rFonts w:eastAsia="Calibri"/>
                <w:bCs/>
                <w:i/>
                <w:strike/>
                <w:color w:val="000000" w:themeColor="text1"/>
                <w:sz w:val="16"/>
                <w:szCs w:val="16"/>
              </w:rPr>
              <w:t>à incandescence</w:t>
            </w:r>
            <w:r w:rsidRPr="008333A9">
              <w:rPr>
                <w:rFonts w:eastAsia="Calibri"/>
                <w:i/>
                <w:color w:val="000000" w:themeColor="text1"/>
                <w:sz w:val="16"/>
                <w:szCs w:val="16"/>
              </w:rPr>
              <w:t xml:space="preserve"> figurant sur les procès-verbaux </w:t>
            </w:r>
          </w:p>
        </w:tc>
        <w:tc>
          <w:tcPr>
            <w:tcW w:w="1417" w:type="dxa"/>
            <w:tcBorders>
              <w:bottom w:val="single" w:sz="12" w:space="0" w:color="auto"/>
            </w:tcBorders>
            <w:shd w:val="clear" w:color="auto" w:fill="auto"/>
            <w:vAlign w:val="bottom"/>
          </w:tcPr>
          <w:p w14:paraId="6DDB24AD" w14:textId="77777777" w:rsidR="00A34D73" w:rsidRPr="008333A9" w:rsidRDefault="00A34D73" w:rsidP="008333A9">
            <w:pPr>
              <w:keepNext/>
              <w:suppressAutoHyphens w:val="0"/>
              <w:spacing w:before="80" w:after="80" w:line="200" w:lineRule="exact"/>
              <w:ind w:left="113" w:right="113"/>
              <w:jc w:val="right"/>
              <w:rPr>
                <w:i/>
                <w:color w:val="000000" w:themeColor="text1"/>
                <w:sz w:val="16"/>
                <w:szCs w:val="16"/>
              </w:rPr>
            </w:pPr>
            <w:r w:rsidRPr="008333A9">
              <w:rPr>
                <w:i/>
                <w:color w:val="000000" w:themeColor="text1"/>
                <w:sz w:val="16"/>
                <w:szCs w:val="16"/>
              </w:rPr>
              <w:t>Tolérance</w:t>
            </w:r>
          </w:p>
        </w:tc>
        <w:tc>
          <w:tcPr>
            <w:tcW w:w="1418" w:type="dxa"/>
            <w:tcBorders>
              <w:bottom w:val="single" w:sz="12" w:space="0" w:color="auto"/>
            </w:tcBorders>
            <w:shd w:val="clear" w:color="auto" w:fill="auto"/>
            <w:vAlign w:val="bottom"/>
          </w:tcPr>
          <w:p w14:paraId="0B1AE5B4" w14:textId="77777777" w:rsidR="00A34D73" w:rsidRPr="008333A9" w:rsidRDefault="00A34D73" w:rsidP="008333A9">
            <w:pPr>
              <w:keepNext/>
              <w:suppressAutoHyphens w:val="0"/>
              <w:spacing w:before="80" w:after="80" w:line="200" w:lineRule="exact"/>
              <w:ind w:left="113" w:right="113"/>
              <w:rPr>
                <w:i/>
                <w:color w:val="000000" w:themeColor="text1"/>
                <w:sz w:val="16"/>
                <w:szCs w:val="16"/>
              </w:rPr>
            </w:pPr>
            <w:r w:rsidRPr="008333A9">
              <w:rPr>
                <w:rFonts w:eastAsia="Calibri"/>
                <w:i/>
                <w:color w:val="000000" w:themeColor="text1"/>
                <w:sz w:val="16"/>
                <w:szCs w:val="16"/>
              </w:rPr>
              <w:t xml:space="preserve">Nombre des </w:t>
            </w:r>
            <w:r w:rsidRPr="008333A9">
              <w:rPr>
                <w:rFonts w:eastAsia="Calibri"/>
                <w:bCs/>
                <w:i/>
                <w:color w:val="000000" w:themeColor="text1"/>
                <w:sz w:val="16"/>
                <w:szCs w:val="16"/>
              </w:rPr>
              <w:t xml:space="preserve">sources lumineuses </w:t>
            </w:r>
            <w:r w:rsidRPr="008333A9">
              <w:rPr>
                <w:rFonts w:eastAsia="Calibri"/>
                <w:bCs/>
                <w:i/>
                <w:strike/>
                <w:color w:val="000000" w:themeColor="text1"/>
                <w:sz w:val="16"/>
                <w:szCs w:val="16"/>
              </w:rPr>
              <w:t>à incandescence</w:t>
            </w:r>
            <w:r w:rsidRPr="008333A9">
              <w:rPr>
                <w:rFonts w:eastAsia="Calibri"/>
                <w:i/>
                <w:color w:val="000000" w:themeColor="text1"/>
                <w:sz w:val="16"/>
                <w:szCs w:val="16"/>
              </w:rPr>
              <w:t xml:space="preserve"> figurant sur les procès-verbaux </w:t>
            </w:r>
          </w:p>
        </w:tc>
        <w:tc>
          <w:tcPr>
            <w:tcW w:w="1417" w:type="dxa"/>
            <w:tcBorders>
              <w:bottom w:val="single" w:sz="12" w:space="0" w:color="auto"/>
            </w:tcBorders>
            <w:shd w:val="clear" w:color="auto" w:fill="auto"/>
            <w:vAlign w:val="bottom"/>
          </w:tcPr>
          <w:p w14:paraId="21EAF0C0" w14:textId="77777777" w:rsidR="00A34D73" w:rsidRPr="008333A9" w:rsidRDefault="00A34D73" w:rsidP="008333A9">
            <w:pPr>
              <w:keepNext/>
              <w:suppressAutoHyphens w:val="0"/>
              <w:spacing w:before="80" w:after="80" w:line="200" w:lineRule="exact"/>
              <w:ind w:left="113" w:right="113"/>
              <w:jc w:val="right"/>
              <w:rPr>
                <w:i/>
                <w:color w:val="000000" w:themeColor="text1"/>
                <w:sz w:val="16"/>
                <w:szCs w:val="16"/>
              </w:rPr>
            </w:pPr>
            <w:r w:rsidRPr="008333A9">
              <w:rPr>
                <w:i/>
                <w:color w:val="000000" w:themeColor="text1"/>
                <w:sz w:val="16"/>
                <w:szCs w:val="16"/>
              </w:rPr>
              <w:t>Tolérance</w:t>
            </w:r>
          </w:p>
        </w:tc>
        <w:tc>
          <w:tcPr>
            <w:tcW w:w="1417" w:type="dxa"/>
            <w:tcBorders>
              <w:bottom w:val="single" w:sz="12" w:space="0" w:color="auto"/>
            </w:tcBorders>
            <w:shd w:val="clear" w:color="auto" w:fill="auto"/>
            <w:vAlign w:val="bottom"/>
          </w:tcPr>
          <w:p w14:paraId="4D22BEBB" w14:textId="77777777" w:rsidR="00A34D73" w:rsidRPr="008333A9" w:rsidRDefault="00A34D73" w:rsidP="008333A9">
            <w:pPr>
              <w:keepNext/>
              <w:suppressAutoHyphens w:val="0"/>
              <w:spacing w:before="80" w:after="80" w:line="200" w:lineRule="exact"/>
              <w:ind w:left="113" w:right="113"/>
              <w:rPr>
                <w:i/>
                <w:color w:val="000000" w:themeColor="text1"/>
                <w:sz w:val="16"/>
                <w:szCs w:val="16"/>
              </w:rPr>
            </w:pPr>
            <w:r w:rsidRPr="008333A9">
              <w:rPr>
                <w:rFonts w:eastAsia="Calibri"/>
                <w:i/>
                <w:color w:val="000000" w:themeColor="text1"/>
                <w:sz w:val="16"/>
                <w:szCs w:val="16"/>
              </w:rPr>
              <w:t xml:space="preserve">Nombre des </w:t>
            </w:r>
            <w:r w:rsidRPr="008333A9">
              <w:rPr>
                <w:rFonts w:eastAsia="Calibri"/>
                <w:bCs/>
                <w:i/>
                <w:color w:val="000000" w:themeColor="text1"/>
                <w:sz w:val="16"/>
                <w:szCs w:val="16"/>
              </w:rPr>
              <w:t xml:space="preserve">sources lumineuses </w:t>
            </w:r>
            <w:r w:rsidRPr="008333A9">
              <w:rPr>
                <w:rFonts w:eastAsia="Calibri"/>
                <w:bCs/>
                <w:i/>
                <w:strike/>
                <w:color w:val="000000" w:themeColor="text1"/>
                <w:sz w:val="16"/>
                <w:szCs w:val="16"/>
              </w:rPr>
              <w:t>à incandescence</w:t>
            </w:r>
            <w:r w:rsidRPr="008333A9">
              <w:rPr>
                <w:rFonts w:eastAsia="Calibri"/>
                <w:i/>
                <w:color w:val="000000" w:themeColor="text1"/>
                <w:sz w:val="16"/>
                <w:szCs w:val="16"/>
              </w:rPr>
              <w:t xml:space="preserve"> figurant sur les procès-verbaux </w:t>
            </w:r>
          </w:p>
        </w:tc>
        <w:tc>
          <w:tcPr>
            <w:tcW w:w="1418" w:type="dxa"/>
            <w:tcBorders>
              <w:bottom w:val="single" w:sz="12" w:space="0" w:color="auto"/>
            </w:tcBorders>
            <w:shd w:val="clear" w:color="auto" w:fill="auto"/>
            <w:vAlign w:val="bottom"/>
          </w:tcPr>
          <w:p w14:paraId="48FBE2A0" w14:textId="77777777" w:rsidR="00A34D73" w:rsidRPr="008333A9" w:rsidRDefault="00A34D73" w:rsidP="008333A9">
            <w:pPr>
              <w:keepNext/>
              <w:suppressAutoHyphens w:val="0"/>
              <w:spacing w:before="80" w:after="80" w:line="200" w:lineRule="exact"/>
              <w:ind w:left="113" w:right="113"/>
              <w:jc w:val="right"/>
              <w:rPr>
                <w:i/>
                <w:color w:val="000000" w:themeColor="text1"/>
                <w:sz w:val="16"/>
                <w:szCs w:val="16"/>
              </w:rPr>
            </w:pPr>
            <w:r w:rsidRPr="008333A9">
              <w:rPr>
                <w:i/>
                <w:color w:val="000000" w:themeColor="text1"/>
                <w:sz w:val="16"/>
                <w:szCs w:val="16"/>
              </w:rPr>
              <w:t>Tolérance</w:t>
            </w:r>
          </w:p>
        </w:tc>
      </w:tr>
      <w:tr w:rsidR="00A34D73" w:rsidRPr="008333A9" w14:paraId="2DCFF439" w14:textId="77777777" w:rsidTr="007C7D76">
        <w:trPr>
          <w:cantSplit/>
        </w:trPr>
        <w:tc>
          <w:tcPr>
            <w:tcW w:w="1417" w:type="dxa"/>
            <w:tcBorders>
              <w:top w:val="single" w:sz="12" w:space="0" w:color="auto"/>
              <w:bottom w:val="nil"/>
            </w:tcBorders>
            <w:shd w:val="clear" w:color="auto" w:fill="auto"/>
          </w:tcPr>
          <w:p w14:paraId="516BC3ED" w14:textId="77777777" w:rsidR="008333A9" w:rsidRPr="008333A9" w:rsidRDefault="008333A9" w:rsidP="007C7D76">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w:t>
            </w:r>
            <w:r w:rsidR="00A34D73" w:rsidRPr="008333A9">
              <w:rPr>
                <w:b/>
                <w:bCs/>
                <w:color w:val="000000" w:themeColor="text1"/>
                <w:sz w:val="18"/>
                <w:szCs w:val="18"/>
              </w:rPr>
              <w:t xml:space="preserve"> 20</w:t>
            </w:r>
          </w:p>
        </w:tc>
        <w:tc>
          <w:tcPr>
            <w:tcW w:w="1417" w:type="dxa"/>
            <w:tcBorders>
              <w:top w:val="single" w:sz="12" w:space="0" w:color="auto"/>
              <w:bottom w:val="nil"/>
            </w:tcBorders>
            <w:shd w:val="clear" w:color="auto" w:fill="auto"/>
          </w:tcPr>
          <w:p w14:paraId="2E483FF4" w14:textId="77777777" w:rsidR="00F46AE4" w:rsidRPr="008333A9" w:rsidRDefault="00F46AE4" w:rsidP="007C7D76">
            <w:pPr>
              <w:suppressAutoHyphens w:val="0"/>
              <w:spacing w:before="40" w:after="40" w:line="220" w:lineRule="atLeast"/>
              <w:ind w:left="113" w:right="113"/>
              <w:jc w:val="right"/>
              <w:rPr>
                <w:color w:val="000000" w:themeColor="text1"/>
                <w:sz w:val="18"/>
                <w:szCs w:val="18"/>
              </w:rPr>
            </w:pPr>
          </w:p>
        </w:tc>
        <w:tc>
          <w:tcPr>
            <w:tcW w:w="1418" w:type="dxa"/>
            <w:tcBorders>
              <w:top w:val="single" w:sz="12" w:space="0" w:color="auto"/>
              <w:bottom w:val="nil"/>
            </w:tcBorders>
            <w:shd w:val="clear" w:color="auto" w:fill="auto"/>
          </w:tcPr>
          <w:p w14:paraId="24CA50DA" w14:textId="77777777" w:rsidR="00A34D73" w:rsidRPr="00F46AE4" w:rsidRDefault="00A34D73" w:rsidP="007C7D76">
            <w:pPr>
              <w:suppressAutoHyphens w:val="0"/>
              <w:spacing w:before="40" w:after="40" w:line="220" w:lineRule="atLeast"/>
              <w:ind w:left="113" w:right="113"/>
              <w:rPr>
                <w:color w:val="000000" w:themeColor="text1"/>
                <w:sz w:val="18"/>
                <w:szCs w:val="18"/>
              </w:rPr>
            </w:pPr>
          </w:p>
        </w:tc>
        <w:tc>
          <w:tcPr>
            <w:tcW w:w="1417" w:type="dxa"/>
            <w:tcBorders>
              <w:top w:val="single" w:sz="12" w:space="0" w:color="auto"/>
              <w:bottom w:val="nil"/>
            </w:tcBorders>
            <w:shd w:val="clear" w:color="auto" w:fill="auto"/>
          </w:tcPr>
          <w:p w14:paraId="008C938A" w14:textId="77777777" w:rsidR="00A34D73" w:rsidRPr="007C7D76" w:rsidRDefault="00A34D73" w:rsidP="007C7D76">
            <w:pPr>
              <w:suppressAutoHyphens w:val="0"/>
              <w:spacing w:before="40" w:after="40" w:line="220" w:lineRule="atLeast"/>
              <w:ind w:left="113" w:right="113"/>
              <w:jc w:val="right"/>
              <w:rPr>
                <w:color w:val="000000" w:themeColor="text1"/>
                <w:sz w:val="18"/>
                <w:szCs w:val="18"/>
              </w:rPr>
            </w:pPr>
          </w:p>
        </w:tc>
        <w:tc>
          <w:tcPr>
            <w:tcW w:w="1417" w:type="dxa"/>
            <w:tcBorders>
              <w:top w:val="single" w:sz="12" w:space="0" w:color="auto"/>
              <w:bottom w:val="nil"/>
            </w:tcBorders>
            <w:shd w:val="clear" w:color="auto" w:fill="auto"/>
          </w:tcPr>
          <w:p w14:paraId="2C04CE88" w14:textId="77777777" w:rsidR="00A34D73" w:rsidRPr="008333A9" w:rsidRDefault="00A34D73" w:rsidP="007C7D76">
            <w:pPr>
              <w:suppressAutoHyphens w:val="0"/>
              <w:spacing w:before="40" w:after="40" w:line="220" w:lineRule="atLeast"/>
              <w:ind w:left="113" w:right="113"/>
              <w:rPr>
                <w:color w:val="000000" w:themeColor="text1"/>
                <w:sz w:val="18"/>
                <w:szCs w:val="18"/>
              </w:rPr>
            </w:pPr>
          </w:p>
        </w:tc>
        <w:tc>
          <w:tcPr>
            <w:tcW w:w="1418" w:type="dxa"/>
            <w:tcBorders>
              <w:top w:val="single" w:sz="12" w:space="0" w:color="auto"/>
              <w:bottom w:val="nil"/>
            </w:tcBorders>
            <w:shd w:val="clear" w:color="auto" w:fill="auto"/>
          </w:tcPr>
          <w:p w14:paraId="4F73F021" w14:textId="77777777" w:rsidR="00A34D73" w:rsidRPr="008333A9" w:rsidRDefault="00A34D73" w:rsidP="007C7D76">
            <w:pPr>
              <w:suppressAutoHyphens w:val="0"/>
              <w:spacing w:before="40" w:after="40" w:line="220" w:lineRule="atLeast"/>
              <w:ind w:left="113" w:right="113"/>
              <w:jc w:val="right"/>
              <w:rPr>
                <w:color w:val="000000" w:themeColor="text1"/>
                <w:sz w:val="18"/>
                <w:szCs w:val="18"/>
              </w:rPr>
            </w:pPr>
          </w:p>
        </w:tc>
      </w:tr>
      <w:tr w:rsidR="007C7D76" w:rsidRPr="00F46AE4" w14:paraId="56BB3BEA" w14:textId="77777777" w:rsidTr="00F46AE4">
        <w:trPr>
          <w:cantSplit/>
        </w:trPr>
        <w:tc>
          <w:tcPr>
            <w:tcW w:w="1417" w:type="dxa"/>
            <w:tcBorders>
              <w:top w:val="nil"/>
              <w:bottom w:val="nil"/>
            </w:tcBorders>
            <w:shd w:val="clear" w:color="auto" w:fill="auto"/>
          </w:tcPr>
          <w:p w14:paraId="1DD902C7" w14:textId="77777777" w:rsidR="007C7D76" w:rsidRPr="007C7D76" w:rsidRDefault="007C7D76" w:rsidP="008333A9">
            <w:pPr>
              <w:suppressAutoHyphens w:val="0"/>
              <w:spacing w:before="40" w:after="40" w:line="220" w:lineRule="atLeast"/>
              <w:ind w:left="113" w:right="113"/>
              <w:rPr>
                <w:b/>
                <w:bCs/>
                <w:color w:val="000000" w:themeColor="text1"/>
                <w:sz w:val="18"/>
                <w:szCs w:val="18"/>
              </w:rPr>
            </w:pPr>
            <w:r w:rsidRPr="008333A9">
              <w:rPr>
                <w:b/>
                <w:bCs/>
                <w:color w:val="000000" w:themeColor="text1"/>
                <w:sz w:val="18"/>
                <w:szCs w:val="18"/>
              </w:rPr>
              <w:t>21 - 32</w:t>
            </w:r>
          </w:p>
        </w:tc>
        <w:tc>
          <w:tcPr>
            <w:tcW w:w="1417" w:type="dxa"/>
            <w:tcBorders>
              <w:top w:val="nil"/>
              <w:bottom w:val="nil"/>
            </w:tcBorders>
            <w:shd w:val="clear" w:color="auto" w:fill="auto"/>
            <w:vAlign w:val="bottom"/>
          </w:tcPr>
          <w:p w14:paraId="294C5E7E"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5</w:t>
            </w:r>
          </w:p>
        </w:tc>
        <w:tc>
          <w:tcPr>
            <w:tcW w:w="1418" w:type="dxa"/>
            <w:tcBorders>
              <w:top w:val="nil"/>
              <w:bottom w:val="nil"/>
            </w:tcBorders>
            <w:shd w:val="clear" w:color="auto" w:fill="auto"/>
            <w:vAlign w:val="bottom"/>
          </w:tcPr>
          <w:p w14:paraId="71D1C536" w14:textId="77777777" w:rsidR="007C7D76" w:rsidRPr="00F46AE4" w:rsidRDefault="007C7D76" w:rsidP="008333A9">
            <w:pPr>
              <w:suppressAutoHyphens w:val="0"/>
              <w:spacing w:before="40" w:after="40" w:line="220" w:lineRule="atLeast"/>
              <w:ind w:left="113" w:right="113"/>
              <w:rPr>
                <w:color w:val="000000" w:themeColor="text1"/>
                <w:sz w:val="18"/>
                <w:szCs w:val="18"/>
              </w:rPr>
            </w:pPr>
          </w:p>
        </w:tc>
        <w:tc>
          <w:tcPr>
            <w:tcW w:w="1417" w:type="dxa"/>
            <w:tcBorders>
              <w:top w:val="nil"/>
              <w:bottom w:val="nil"/>
            </w:tcBorders>
            <w:shd w:val="clear" w:color="auto" w:fill="auto"/>
            <w:vAlign w:val="bottom"/>
          </w:tcPr>
          <w:p w14:paraId="1787A6B9" w14:textId="77777777" w:rsidR="007C7D76" w:rsidRDefault="007C7D76" w:rsidP="008333A9">
            <w:pPr>
              <w:suppressAutoHyphens w:val="0"/>
              <w:spacing w:before="40" w:after="40" w:line="220" w:lineRule="atLeast"/>
              <w:ind w:left="113" w:right="113"/>
              <w:jc w:val="right"/>
              <w:rPr>
                <w:color w:val="000000" w:themeColor="text1"/>
                <w:sz w:val="18"/>
                <w:szCs w:val="18"/>
              </w:rPr>
            </w:pPr>
          </w:p>
        </w:tc>
        <w:tc>
          <w:tcPr>
            <w:tcW w:w="1417" w:type="dxa"/>
            <w:tcBorders>
              <w:top w:val="nil"/>
              <w:bottom w:val="nil"/>
            </w:tcBorders>
            <w:shd w:val="clear" w:color="auto" w:fill="auto"/>
            <w:vAlign w:val="bottom"/>
          </w:tcPr>
          <w:p w14:paraId="4A13D5A8" w14:textId="77777777" w:rsidR="007C7D76" w:rsidRPr="00F46AE4" w:rsidRDefault="007C7D76" w:rsidP="008333A9">
            <w:pPr>
              <w:suppressAutoHyphens w:val="0"/>
              <w:spacing w:before="40" w:after="40" w:line="220" w:lineRule="atLeast"/>
              <w:ind w:left="113" w:right="113"/>
              <w:rPr>
                <w:color w:val="000000" w:themeColor="text1"/>
                <w:sz w:val="18"/>
                <w:szCs w:val="18"/>
              </w:rPr>
            </w:pPr>
          </w:p>
        </w:tc>
        <w:tc>
          <w:tcPr>
            <w:tcW w:w="1418" w:type="dxa"/>
            <w:tcBorders>
              <w:top w:val="nil"/>
              <w:bottom w:val="nil"/>
            </w:tcBorders>
            <w:shd w:val="clear" w:color="auto" w:fill="auto"/>
            <w:vAlign w:val="bottom"/>
          </w:tcPr>
          <w:p w14:paraId="75F86EB0" w14:textId="77777777" w:rsidR="007C7D76" w:rsidRDefault="007C7D76" w:rsidP="008333A9">
            <w:pPr>
              <w:suppressAutoHyphens w:val="0"/>
              <w:spacing w:before="40" w:after="40" w:line="220" w:lineRule="atLeast"/>
              <w:ind w:left="113" w:right="113"/>
              <w:jc w:val="right"/>
              <w:rPr>
                <w:color w:val="000000" w:themeColor="text1"/>
                <w:sz w:val="18"/>
                <w:szCs w:val="18"/>
              </w:rPr>
            </w:pPr>
          </w:p>
        </w:tc>
      </w:tr>
      <w:tr w:rsidR="007C7D76" w:rsidRPr="00F46AE4" w14:paraId="6A1F4977" w14:textId="77777777" w:rsidTr="00F46AE4">
        <w:trPr>
          <w:cantSplit/>
        </w:trPr>
        <w:tc>
          <w:tcPr>
            <w:tcW w:w="1417" w:type="dxa"/>
            <w:tcBorders>
              <w:top w:val="nil"/>
              <w:bottom w:val="nil"/>
            </w:tcBorders>
            <w:shd w:val="clear" w:color="auto" w:fill="auto"/>
          </w:tcPr>
          <w:p w14:paraId="67F66216" w14:textId="77777777" w:rsidR="007C7D76" w:rsidRPr="007C7D76" w:rsidRDefault="007C7D76" w:rsidP="008333A9">
            <w:pPr>
              <w:suppressAutoHyphens w:val="0"/>
              <w:spacing w:before="40" w:after="40" w:line="220" w:lineRule="atLeast"/>
              <w:ind w:left="113" w:right="113"/>
              <w:rPr>
                <w:b/>
                <w:bCs/>
                <w:color w:val="000000" w:themeColor="text1"/>
                <w:sz w:val="18"/>
                <w:szCs w:val="18"/>
              </w:rPr>
            </w:pPr>
            <w:r w:rsidRPr="008333A9">
              <w:rPr>
                <w:b/>
                <w:bCs/>
                <w:color w:val="000000" w:themeColor="text1"/>
                <w:sz w:val="18"/>
                <w:szCs w:val="18"/>
              </w:rPr>
              <w:t>33 - 50</w:t>
            </w:r>
          </w:p>
        </w:tc>
        <w:tc>
          <w:tcPr>
            <w:tcW w:w="1417" w:type="dxa"/>
            <w:tcBorders>
              <w:top w:val="nil"/>
              <w:bottom w:val="nil"/>
            </w:tcBorders>
            <w:shd w:val="clear" w:color="auto" w:fill="auto"/>
            <w:vAlign w:val="bottom"/>
          </w:tcPr>
          <w:p w14:paraId="721DDD46"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7</w:t>
            </w:r>
          </w:p>
        </w:tc>
        <w:tc>
          <w:tcPr>
            <w:tcW w:w="1418" w:type="dxa"/>
            <w:tcBorders>
              <w:top w:val="nil"/>
              <w:bottom w:val="nil"/>
            </w:tcBorders>
            <w:shd w:val="clear" w:color="auto" w:fill="auto"/>
            <w:vAlign w:val="bottom"/>
          </w:tcPr>
          <w:p w14:paraId="7EBECD39" w14:textId="77777777" w:rsidR="007C7D76" w:rsidRPr="00F46AE4" w:rsidRDefault="007C7D76" w:rsidP="008333A9">
            <w:pPr>
              <w:suppressAutoHyphens w:val="0"/>
              <w:spacing w:before="40" w:after="40" w:line="220" w:lineRule="atLeast"/>
              <w:ind w:left="113" w:right="113"/>
              <w:rPr>
                <w:color w:val="000000" w:themeColor="text1"/>
                <w:sz w:val="18"/>
                <w:szCs w:val="18"/>
              </w:rPr>
            </w:pPr>
          </w:p>
        </w:tc>
        <w:tc>
          <w:tcPr>
            <w:tcW w:w="1417" w:type="dxa"/>
            <w:tcBorders>
              <w:top w:val="nil"/>
              <w:bottom w:val="nil"/>
            </w:tcBorders>
            <w:shd w:val="clear" w:color="auto" w:fill="auto"/>
            <w:vAlign w:val="bottom"/>
          </w:tcPr>
          <w:p w14:paraId="78D3FB37" w14:textId="77777777" w:rsidR="007C7D76" w:rsidRDefault="007C7D76" w:rsidP="008333A9">
            <w:pPr>
              <w:suppressAutoHyphens w:val="0"/>
              <w:spacing w:before="40" w:after="40" w:line="220" w:lineRule="atLeast"/>
              <w:ind w:left="113" w:right="113"/>
              <w:jc w:val="right"/>
              <w:rPr>
                <w:color w:val="000000" w:themeColor="text1"/>
                <w:sz w:val="18"/>
                <w:szCs w:val="18"/>
              </w:rPr>
            </w:pPr>
          </w:p>
        </w:tc>
        <w:tc>
          <w:tcPr>
            <w:tcW w:w="1417" w:type="dxa"/>
            <w:tcBorders>
              <w:top w:val="nil"/>
              <w:bottom w:val="nil"/>
            </w:tcBorders>
            <w:shd w:val="clear" w:color="auto" w:fill="auto"/>
            <w:vAlign w:val="bottom"/>
          </w:tcPr>
          <w:p w14:paraId="77596264" w14:textId="77777777" w:rsidR="007C7D76" w:rsidRPr="00F46AE4" w:rsidRDefault="007C7D76" w:rsidP="008333A9">
            <w:pPr>
              <w:suppressAutoHyphens w:val="0"/>
              <w:spacing w:before="40" w:after="40" w:line="220" w:lineRule="atLeast"/>
              <w:ind w:left="113" w:right="113"/>
              <w:rPr>
                <w:color w:val="000000" w:themeColor="text1"/>
                <w:sz w:val="18"/>
                <w:szCs w:val="18"/>
              </w:rPr>
            </w:pPr>
          </w:p>
        </w:tc>
        <w:tc>
          <w:tcPr>
            <w:tcW w:w="1418" w:type="dxa"/>
            <w:tcBorders>
              <w:top w:val="nil"/>
              <w:bottom w:val="nil"/>
            </w:tcBorders>
            <w:shd w:val="clear" w:color="auto" w:fill="auto"/>
            <w:vAlign w:val="bottom"/>
          </w:tcPr>
          <w:p w14:paraId="3B208872" w14:textId="77777777" w:rsidR="007C7D76" w:rsidRDefault="007C7D76" w:rsidP="008333A9">
            <w:pPr>
              <w:suppressAutoHyphens w:val="0"/>
              <w:spacing w:before="40" w:after="40" w:line="220" w:lineRule="atLeast"/>
              <w:ind w:left="113" w:right="113"/>
              <w:jc w:val="right"/>
              <w:rPr>
                <w:color w:val="000000" w:themeColor="text1"/>
                <w:sz w:val="18"/>
                <w:szCs w:val="18"/>
              </w:rPr>
            </w:pPr>
          </w:p>
        </w:tc>
      </w:tr>
      <w:tr w:rsidR="007C7D76" w:rsidRPr="00F46AE4" w14:paraId="3EF184C7" w14:textId="77777777" w:rsidTr="00F46AE4">
        <w:trPr>
          <w:cantSplit/>
        </w:trPr>
        <w:tc>
          <w:tcPr>
            <w:tcW w:w="1417" w:type="dxa"/>
            <w:tcBorders>
              <w:top w:val="nil"/>
              <w:bottom w:val="nil"/>
            </w:tcBorders>
            <w:shd w:val="clear" w:color="auto" w:fill="auto"/>
          </w:tcPr>
          <w:p w14:paraId="4D524215" w14:textId="77777777" w:rsidR="007C7D76" w:rsidRPr="007C7D76" w:rsidRDefault="007C7D76" w:rsidP="008333A9">
            <w:pPr>
              <w:suppressAutoHyphens w:val="0"/>
              <w:spacing w:before="40" w:after="40" w:line="220" w:lineRule="atLeast"/>
              <w:ind w:left="113" w:right="113"/>
              <w:rPr>
                <w:b/>
                <w:bCs/>
                <w:color w:val="000000" w:themeColor="text1"/>
                <w:sz w:val="18"/>
                <w:szCs w:val="18"/>
              </w:rPr>
            </w:pPr>
            <w:r w:rsidRPr="008333A9">
              <w:rPr>
                <w:b/>
                <w:bCs/>
                <w:color w:val="000000" w:themeColor="text1"/>
                <w:sz w:val="18"/>
                <w:szCs w:val="18"/>
              </w:rPr>
              <w:t>51 - 80</w:t>
            </w:r>
          </w:p>
        </w:tc>
        <w:tc>
          <w:tcPr>
            <w:tcW w:w="1417" w:type="dxa"/>
            <w:tcBorders>
              <w:top w:val="nil"/>
              <w:bottom w:val="nil"/>
            </w:tcBorders>
            <w:shd w:val="clear" w:color="auto" w:fill="auto"/>
            <w:vAlign w:val="bottom"/>
          </w:tcPr>
          <w:p w14:paraId="67BDF006"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10</w:t>
            </w:r>
          </w:p>
        </w:tc>
        <w:tc>
          <w:tcPr>
            <w:tcW w:w="1418" w:type="dxa"/>
            <w:tcBorders>
              <w:top w:val="nil"/>
              <w:bottom w:val="nil"/>
            </w:tcBorders>
            <w:shd w:val="clear" w:color="auto" w:fill="auto"/>
            <w:vAlign w:val="bottom"/>
          </w:tcPr>
          <w:p w14:paraId="7CAE128F"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500 - 512</w:t>
            </w:r>
          </w:p>
        </w:tc>
        <w:tc>
          <w:tcPr>
            <w:tcW w:w="1417" w:type="dxa"/>
            <w:tcBorders>
              <w:top w:val="nil"/>
              <w:bottom w:val="nil"/>
            </w:tcBorders>
            <w:shd w:val="clear" w:color="auto" w:fill="auto"/>
            <w:vAlign w:val="bottom"/>
          </w:tcPr>
          <w:p w14:paraId="3D0AE5DF"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44</w:t>
            </w:r>
          </w:p>
        </w:tc>
        <w:tc>
          <w:tcPr>
            <w:tcW w:w="1417" w:type="dxa"/>
            <w:tcBorders>
              <w:top w:val="nil"/>
              <w:bottom w:val="nil"/>
            </w:tcBorders>
            <w:shd w:val="clear" w:color="auto" w:fill="auto"/>
            <w:vAlign w:val="bottom"/>
          </w:tcPr>
          <w:p w14:paraId="66216178" w14:textId="77777777" w:rsidR="007C7D76" w:rsidRPr="00F46AE4" w:rsidRDefault="007C7D76" w:rsidP="008333A9">
            <w:pPr>
              <w:suppressAutoHyphens w:val="0"/>
              <w:spacing w:before="40" w:after="40" w:line="220" w:lineRule="atLeast"/>
              <w:ind w:left="113" w:right="113"/>
              <w:rPr>
                <w:color w:val="000000" w:themeColor="text1"/>
                <w:sz w:val="18"/>
                <w:szCs w:val="18"/>
              </w:rPr>
            </w:pPr>
          </w:p>
        </w:tc>
        <w:tc>
          <w:tcPr>
            <w:tcW w:w="1418" w:type="dxa"/>
            <w:tcBorders>
              <w:top w:val="nil"/>
              <w:bottom w:val="nil"/>
            </w:tcBorders>
            <w:shd w:val="clear" w:color="auto" w:fill="auto"/>
            <w:vAlign w:val="bottom"/>
          </w:tcPr>
          <w:p w14:paraId="29A5210C" w14:textId="77777777" w:rsidR="007C7D76" w:rsidRDefault="007C7D76" w:rsidP="008333A9">
            <w:pPr>
              <w:suppressAutoHyphens w:val="0"/>
              <w:spacing w:before="40" w:after="40" w:line="220" w:lineRule="atLeast"/>
              <w:ind w:left="113" w:right="113"/>
              <w:jc w:val="right"/>
              <w:rPr>
                <w:color w:val="000000" w:themeColor="text1"/>
                <w:sz w:val="18"/>
                <w:szCs w:val="18"/>
              </w:rPr>
            </w:pPr>
          </w:p>
        </w:tc>
      </w:tr>
      <w:tr w:rsidR="007C7D76" w:rsidRPr="00F46AE4" w14:paraId="4EC31A4F" w14:textId="77777777" w:rsidTr="00F46AE4">
        <w:trPr>
          <w:cantSplit/>
        </w:trPr>
        <w:tc>
          <w:tcPr>
            <w:tcW w:w="1417" w:type="dxa"/>
            <w:tcBorders>
              <w:top w:val="nil"/>
              <w:bottom w:val="nil"/>
            </w:tcBorders>
            <w:shd w:val="clear" w:color="auto" w:fill="auto"/>
          </w:tcPr>
          <w:p w14:paraId="527FA1B4" w14:textId="77777777" w:rsidR="007C7D76" w:rsidRPr="007C7D76" w:rsidRDefault="007C7D76" w:rsidP="008333A9">
            <w:pPr>
              <w:suppressAutoHyphens w:val="0"/>
              <w:spacing w:before="40" w:after="40" w:line="220" w:lineRule="atLeast"/>
              <w:ind w:left="113" w:right="113"/>
              <w:rPr>
                <w:b/>
                <w:bCs/>
                <w:color w:val="000000" w:themeColor="text1"/>
                <w:sz w:val="18"/>
                <w:szCs w:val="18"/>
              </w:rPr>
            </w:pPr>
            <w:r w:rsidRPr="008333A9">
              <w:rPr>
                <w:b/>
                <w:bCs/>
                <w:color w:val="000000" w:themeColor="text1"/>
                <w:sz w:val="18"/>
                <w:szCs w:val="18"/>
              </w:rPr>
              <w:t>81 - 125</w:t>
            </w:r>
          </w:p>
        </w:tc>
        <w:tc>
          <w:tcPr>
            <w:tcW w:w="1417" w:type="dxa"/>
            <w:tcBorders>
              <w:top w:val="nil"/>
              <w:bottom w:val="nil"/>
            </w:tcBorders>
            <w:shd w:val="clear" w:color="auto" w:fill="auto"/>
            <w:vAlign w:val="bottom"/>
          </w:tcPr>
          <w:p w14:paraId="056B6750"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14</w:t>
            </w:r>
          </w:p>
        </w:tc>
        <w:tc>
          <w:tcPr>
            <w:tcW w:w="1418" w:type="dxa"/>
            <w:tcBorders>
              <w:top w:val="nil"/>
              <w:bottom w:val="nil"/>
            </w:tcBorders>
            <w:shd w:val="clear" w:color="auto" w:fill="auto"/>
            <w:vAlign w:val="bottom"/>
          </w:tcPr>
          <w:p w14:paraId="04671147"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513 - 526</w:t>
            </w:r>
          </w:p>
        </w:tc>
        <w:tc>
          <w:tcPr>
            <w:tcW w:w="1417" w:type="dxa"/>
            <w:tcBorders>
              <w:top w:val="nil"/>
              <w:bottom w:val="nil"/>
            </w:tcBorders>
            <w:shd w:val="clear" w:color="auto" w:fill="auto"/>
            <w:vAlign w:val="bottom"/>
          </w:tcPr>
          <w:p w14:paraId="010E8087"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45</w:t>
            </w:r>
          </w:p>
        </w:tc>
        <w:tc>
          <w:tcPr>
            <w:tcW w:w="1417" w:type="dxa"/>
            <w:tcBorders>
              <w:top w:val="nil"/>
              <w:bottom w:val="nil"/>
            </w:tcBorders>
            <w:shd w:val="clear" w:color="auto" w:fill="auto"/>
            <w:vAlign w:val="bottom"/>
          </w:tcPr>
          <w:p w14:paraId="24656335"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881 - 893</w:t>
            </w:r>
          </w:p>
        </w:tc>
        <w:tc>
          <w:tcPr>
            <w:tcW w:w="1418" w:type="dxa"/>
            <w:tcBorders>
              <w:top w:val="nil"/>
              <w:bottom w:val="nil"/>
            </w:tcBorders>
            <w:shd w:val="clear" w:color="auto" w:fill="auto"/>
            <w:vAlign w:val="bottom"/>
          </w:tcPr>
          <w:p w14:paraId="609BA984"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72</w:t>
            </w:r>
          </w:p>
        </w:tc>
      </w:tr>
      <w:tr w:rsidR="007C7D76" w:rsidRPr="00F46AE4" w14:paraId="4B717773" w14:textId="77777777" w:rsidTr="00F46AE4">
        <w:trPr>
          <w:cantSplit/>
        </w:trPr>
        <w:tc>
          <w:tcPr>
            <w:tcW w:w="1417" w:type="dxa"/>
            <w:tcBorders>
              <w:top w:val="nil"/>
              <w:bottom w:val="nil"/>
            </w:tcBorders>
            <w:shd w:val="clear" w:color="auto" w:fill="auto"/>
          </w:tcPr>
          <w:p w14:paraId="2DD539B1"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126</w:t>
            </w:r>
            <w:r w:rsidRPr="008333A9">
              <w:rPr>
                <w:color w:val="000000" w:themeColor="text1"/>
                <w:sz w:val="18"/>
                <w:szCs w:val="18"/>
              </w:rPr>
              <w:t xml:space="preserve"> - 200</w:t>
            </w:r>
          </w:p>
        </w:tc>
        <w:tc>
          <w:tcPr>
            <w:tcW w:w="1417" w:type="dxa"/>
            <w:tcBorders>
              <w:top w:val="nil"/>
              <w:bottom w:val="nil"/>
            </w:tcBorders>
            <w:shd w:val="clear" w:color="auto" w:fill="auto"/>
            <w:vAlign w:val="bottom"/>
          </w:tcPr>
          <w:p w14:paraId="681311D7"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21</w:t>
            </w:r>
          </w:p>
        </w:tc>
        <w:tc>
          <w:tcPr>
            <w:tcW w:w="1418" w:type="dxa"/>
            <w:tcBorders>
              <w:top w:val="nil"/>
              <w:bottom w:val="nil"/>
            </w:tcBorders>
            <w:shd w:val="clear" w:color="auto" w:fill="auto"/>
            <w:vAlign w:val="bottom"/>
          </w:tcPr>
          <w:p w14:paraId="3EA05D71"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8333A9">
              <w:rPr>
                <w:b/>
                <w:bCs/>
                <w:color w:val="000000" w:themeColor="text1"/>
                <w:sz w:val="18"/>
                <w:szCs w:val="18"/>
              </w:rPr>
              <w:t>527 - 540</w:t>
            </w:r>
          </w:p>
        </w:tc>
        <w:tc>
          <w:tcPr>
            <w:tcW w:w="1417" w:type="dxa"/>
            <w:tcBorders>
              <w:top w:val="nil"/>
              <w:bottom w:val="nil"/>
            </w:tcBorders>
            <w:shd w:val="clear" w:color="auto" w:fill="auto"/>
            <w:vAlign w:val="bottom"/>
          </w:tcPr>
          <w:p w14:paraId="292D86F4" w14:textId="77777777" w:rsidR="007C7D76" w:rsidRPr="007C7D76" w:rsidRDefault="007C7D76" w:rsidP="008333A9">
            <w:pPr>
              <w:suppressAutoHyphens w:val="0"/>
              <w:spacing w:before="40" w:after="40" w:line="220" w:lineRule="atLeast"/>
              <w:ind w:left="113" w:right="113"/>
              <w:jc w:val="right"/>
              <w:rPr>
                <w:b/>
                <w:bCs/>
                <w:color w:val="000000" w:themeColor="text1"/>
                <w:sz w:val="18"/>
                <w:szCs w:val="18"/>
              </w:rPr>
            </w:pPr>
            <w:r w:rsidRPr="007C7D76">
              <w:rPr>
                <w:b/>
                <w:bCs/>
                <w:color w:val="000000" w:themeColor="text1"/>
                <w:sz w:val="18"/>
                <w:szCs w:val="18"/>
              </w:rPr>
              <w:t>46</w:t>
            </w:r>
          </w:p>
        </w:tc>
        <w:tc>
          <w:tcPr>
            <w:tcW w:w="1417" w:type="dxa"/>
            <w:tcBorders>
              <w:top w:val="nil"/>
              <w:bottom w:val="nil"/>
            </w:tcBorders>
            <w:shd w:val="clear" w:color="auto" w:fill="auto"/>
            <w:vAlign w:val="bottom"/>
          </w:tcPr>
          <w:p w14:paraId="529EFC61"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894 - 907</w:t>
            </w:r>
          </w:p>
        </w:tc>
        <w:tc>
          <w:tcPr>
            <w:tcW w:w="1418" w:type="dxa"/>
            <w:tcBorders>
              <w:top w:val="nil"/>
              <w:bottom w:val="nil"/>
            </w:tcBorders>
            <w:shd w:val="clear" w:color="auto" w:fill="auto"/>
            <w:vAlign w:val="bottom"/>
          </w:tcPr>
          <w:p w14:paraId="384508DA"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73</w:t>
            </w:r>
          </w:p>
        </w:tc>
      </w:tr>
      <w:tr w:rsidR="007C7D76" w:rsidRPr="00F46AE4" w14:paraId="43A45669" w14:textId="77777777" w:rsidTr="00F46AE4">
        <w:trPr>
          <w:cantSplit/>
        </w:trPr>
        <w:tc>
          <w:tcPr>
            <w:tcW w:w="1417" w:type="dxa"/>
            <w:tcBorders>
              <w:top w:val="nil"/>
              <w:bottom w:val="nil"/>
            </w:tcBorders>
            <w:shd w:val="clear" w:color="auto" w:fill="auto"/>
          </w:tcPr>
          <w:p w14:paraId="5B0051F7"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201 - 213</w:t>
            </w:r>
          </w:p>
        </w:tc>
        <w:tc>
          <w:tcPr>
            <w:tcW w:w="1417" w:type="dxa"/>
            <w:tcBorders>
              <w:top w:val="nil"/>
              <w:bottom w:val="nil"/>
            </w:tcBorders>
            <w:shd w:val="clear" w:color="auto" w:fill="auto"/>
            <w:vAlign w:val="bottom"/>
          </w:tcPr>
          <w:p w14:paraId="36554CBE"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22</w:t>
            </w:r>
          </w:p>
        </w:tc>
        <w:tc>
          <w:tcPr>
            <w:tcW w:w="1418" w:type="dxa"/>
            <w:tcBorders>
              <w:top w:val="nil"/>
              <w:bottom w:val="nil"/>
            </w:tcBorders>
            <w:shd w:val="clear" w:color="auto" w:fill="auto"/>
            <w:vAlign w:val="bottom"/>
          </w:tcPr>
          <w:p w14:paraId="016DF0F7"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541 - 553</w:t>
            </w:r>
          </w:p>
        </w:tc>
        <w:tc>
          <w:tcPr>
            <w:tcW w:w="1417" w:type="dxa"/>
            <w:tcBorders>
              <w:top w:val="nil"/>
              <w:bottom w:val="nil"/>
            </w:tcBorders>
            <w:shd w:val="clear" w:color="auto" w:fill="auto"/>
            <w:vAlign w:val="bottom"/>
          </w:tcPr>
          <w:p w14:paraId="71C1E255"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47</w:t>
            </w:r>
          </w:p>
        </w:tc>
        <w:tc>
          <w:tcPr>
            <w:tcW w:w="1417" w:type="dxa"/>
            <w:tcBorders>
              <w:top w:val="nil"/>
              <w:bottom w:val="nil"/>
            </w:tcBorders>
            <w:shd w:val="clear" w:color="auto" w:fill="auto"/>
            <w:vAlign w:val="bottom"/>
          </w:tcPr>
          <w:p w14:paraId="3614D656"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908 - 920</w:t>
            </w:r>
          </w:p>
        </w:tc>
        <w:tc>
          <w:tcPr>
            <w:tcW w:w="1418" w:type="dxa"/>
            <w:tcBorders>
              <w:top w:val="nil"/>
              <w:bottom w:val="nil"/>
            </w:tcBorders>
            <w:shd w:val="clear" w:color="auto" w:fill="auto"/>
            <w:vAlign w:val="bottom"/>
          </w:tcPr>
          <w:p w14:paraId="586F5F35"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74</w:t>
            </w:r>
          </w:p>
        </w:tc>
      </w:tr>
      <w:tr w:rsidR="007C7D76" w:rsidRPr="00F46AE4" w14:paraId="66DCCB9E" w14:textId="77777777" w:rsidTr="00F46AE4">
        <w:trPr>
          <w:cantSplit/>
        </w:trPr>
        <w:tc>
          <w:tcPr>
            <w:tcW w:w="1417" w:type="dxa"/>
            <w:tcBorders>
              <w:top w:val="nil"/>
              <w:bottom w:val="nil"/>
            </w:tcBorders>
            <w:shd w:val="clear" w:color="auto" w:fill="auto"/>
          </w:tcPr>
          <w:p w14:paraId="1293D20A"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214 - 227</w:t>
            </w:r>
          </w:p>
        </w:tc>
        <w:tc>
          <w:tcPr>
            <w:tcW w:w="1417" w:type="dxa"/>
            <w:tcBorders>
              <w:top w:val="nil"/>
              <w:bottom w:val="nil"/>
            </w:tcBorders>
            <w:shd w:val="clear" w:color="auto" w:fill="auto"/>
            <w:vAlign w:val="bottom"/>
          </w:tcPr>
          <w:p w14:paraId="4BED7F95"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23</w:t>
            </w:r>
          </w:p>
        </w:tc>
        <w:tc>
          <w:tcPr>
            <w:tcW w:w="1418" w:type="dxa"/>
            <w:tcBorders>
              <w:top w:val="nil"/>
              <w:bottom w:val="nil"/>
            </w:tcBorders>
            <w:shd w:val="clear" w:color="auto" w:fill="auto"/>
            <w:vAlign w:val="bottom"/>
          </w:tcPr>
          <w:p w14:paraId="71444893"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554 - 567</w:t>
            </w:r>
          </w:p>
        </w:tc>
        <w:tc>
          <w:tcPr>
            <w:tcW w:w="1417" w:type="dxa"/>
            <w:tcBorders>
              <w:top w:val="nil"/>
              <w:bottom w:val="nil"/>
            </w:tcBorders>
            <w:shd w:val="clear" w:color="auto" w:fill="auto"/>
            <w:vAlign w:val="bottom"/>
          </w:tcPr>
          <w:p w14:paraId="63A11A40"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48</w:t>
            </w:r>
          </w:p>
        </w:tc>
        <w:tc>
          <w:tcPr>
            <w:tcW w:w="1417" w:type="dxa"/>
            <w:tcBorders>
              <w:top w:val="nil"/>
              <w:bottom w:val="nil"/>
            </w:tcBorders>
            <w:shd w:val="clear" w:color="auto" w:fill="auto"/>
            <w:vAlign w:val="bottom"/>
          </w:tcPr>
          <w:p w14:paraId="3678E3FD"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921 - 934</w:t>
            </w:r>
          </w:p>
        </w:tc>
        <w:tc>
          <w:tcPr>
            <w:tcW w:w="1418" w:type="dxa"/>
            <w:tcBorders>
              <w:top w:val="nil"/>
              <w:bottom w:val="nil"/>
            </w:tcBorders>
            <w:shd w:val="clear" w:color="auto" w:fill="auto"/>
            <w:vAlign w:val="bottom"/>
          </w:tcPr>
          <w:p w14:paraId="56CF3979"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75</w:t>
            </w:r>
          </w:p>
        </w:tc>
      </w:tr>
      <w:tr w:rsidR="007C7D76" w:rsidRPr="00F46AE4" w14:paraId="6E85749C" w14:textId="77777777" w:rsidTr="00F46AE4">
        <w:trPr>
          <w:cantSplit/>
        </w:trPr>
        <w:tc>
          <w:tcPr>
            <w:tcW w:w="1417" w:type="dxa"/>
            <w:tcBorders>
              <w:top w:val="nil"/>
              <w:bottom w:val="nil"/>
            </w:tcBorders>
            <w:shd w:val="clear" w:color="auto" w:fill="auto"/>
          </w:tcPr>
          <w:p w14:paraId="3F7C657C"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228 - 24</w:t>
            </w:r>
            <w:r>
              <w:rPr>
                <w:color w:val="000000" w:themeColor="text1"/>
                <w:sz w:val="18"/>
                <w:szCs w:val="18"/>
              </w:rPr>
              <w:t>0</w:t>
            </w:r>
          </w:p>
        </w:tc>
        <w:tc>
          <w:tcPr>
            <w:tcW w:w="1417" w:type="dxa"/>
            <w:tcBorders>
              <w:top w:val="nil"/>
              <w:bottom w:val="nil"/>
            </w:tcBorders>
            <w:shd w:val="clear" w:color="auto" w:fill="auto"/>
            <w:vAlign w:val="bottom"/>
          </w:tcPr>
          <w:p w14:paraId="224E0DE8"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24</w:t>
            </w:r>
          </w:p>
        </w:tc>
        <w:tc>
          <w:tcPr>
            <w:tcW w:w="1418" w:type="dxa"/>
            <w:tcBorders>
              <w:top w:val="nil"/>
              <w:bottom w:val="nil"/>
            </w:tcBorders>
            <w:shd w:val="clear" w:color="auto" w:fill="auto"/>
            <w:vAlign w:val="bottom"/>
          </w:tcPr>
          <w:p w14:paraId="2778382D"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568 - 580</w:t>
            </w:r>
          </w:p>
        </w:tc>
        <w:tc>
          <w:tcPr>
            <w:tcW w:w="1417" w:type="dxa"/>
            <w:tcBorders>
              <w:top w:val="nil"/>
              <w:bottom w:val="nil"/>
            </w:tcBorders>
            <w:shd w:val="clear" w:color="auto" w:fill="auto"/>
            <w:vAlign w:val="bottom"/>
          </w:tcPr>
          <w:p w14:paraId="4A0FE758"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49</w:t>
            </w:r>
          </w:p>
        </w:tc>
        <w:tc>
          <w:tcPr>
            <w:tcW w:w="1417" w:type="dxa"/>
            <w:tcBorders>
              <w:top w:val="nil"/>
              <w:bottom w:val="nil"/>
            </w:tcBorders>
            <w:shd w:val="clear" w:color="auto" w:fill="auto"/>
            <w:vAlign w:val="bottom"/>
          </w:tcPr>
          <w:p w14:paraId="5F2B025E"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935 - 948</w:t>
            </w:r>
          </w:p>
        </w:tc>
        <w:tc>
          <w:tcPr>
            <w:tcW w:w="1418" w:type="dxa"/>
            <w:tcBorders>
              <w:top w:val="nil"/>
              <w:bottom w:val="nil"/>
            </w:tcBorders>
            <w:shd w:val="clear" w:color="auto" w:fill="auto"/>
            <w:vAlign w:val="bottom"/>
          </w:tcPr>
          <w:p w14:paraId="1006C377"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76</w:t>
            </w:r>
          </w:p>
        </w:tc>
      </w:tr>
      <w:tr w:rsidR="007C7D76" w:rsidRPr="00F46AE4" w14:paraId="016B5A74" w14:textId="77777777" w:rsidTr="00F46AE4">
        <w:trPr>
          <w:cantSplit/>
        </w:trPr>
        <w:tc>
          <w:tcPr>
            <w:tcW w:w="1417" w:type="dxa"/>
            <w:tcBorders>
              <w:top w:val="nil"/>
              <w:bottom w:val="nil"/>
            </w:tcBorders>
            <w:shd w:val="clear" w:color="auto" w:fill="auto"/>
          </w:tcPr>
          <w:p w14:paraId="10D77059"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241 - 254</w:t>
            </w:r>
          </w:p>
        </w:tc>
        <w:tc>
          <w:tcPr>
            <w:tcW w:w="1417" w:type="dxa"/>
            <w:tcBorders>
              <w:top w:val="nil"/>
              <w:bottom w:val="nil"/>
            </w:tcBorders>
            <w:shd w:val="clear" w:color="auto" w:fill="auto"/>
            <w:vAlign w:val="bottom"/>
          </w:tcPr>
          <w:p w14:paraId="33FDBA8F"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25</w:t>
            </w:r>
          </w:p>
        </w:tc>
        <w:tc>
          <w:tcPr>
            <w:tcW w:w="1418" w:type="dxa"/>
            <w:tcBorders>
              <w:top w:val="nil"/>
              <w:bottom w:val="nil"/>
            </w:tcBorders>
            <w:shd w:val="clear" w:color="auto" w:fill="auto"/>
            <w:vAlign w:val="bottom"/>
          </w:tcPr>
          <w:p w14:paraId="27EACA94"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581 - 594</w:t>
            </w:r>
          </w:p>
        </w:tc>
        <w:tc>
          <w:tcPr>
            <w:tcW w:w="1417" w:type="dxa"/>
            <w:tcBorders>
              <w:top w:val="nil"/>
              <w:bottom w:val="nil"/>
            </w:tcBorders>
            <w:shd w:val="clear" w:color="auto" w:fill="auto"/>
            <w:vAlign w:val="bottom"/>
          </w:tcPr>
          <w:p w14:paraId="756A664E"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50</w:t>
            </w:r>
          </w:p>
        </w:tc>
        <w:tc>
          <w:tcPr>
            <w:tcW w:w="1417" w:type="dxa"/>
            <w:tcBorders>
              <w:top w:val="nil"/>
              <w:bottom w:val="nil"/>
            </w:tcBorders>
            <w:shd w:val="clear" w:color="auto" w:fill="auto"/>
            <w:vAlign w:val="bottom"/>
          </w:tcPr>
          <w:p w14:paraId="0DE3B6AD"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949 - 961</w:t>
            </w:r>
          </w:p>
        </w:tc>
        <w:tc>
          <w:tcPr>
            <w:tcW w:w="1418" w:type="dxa"/>
            <w:tcBorders>
              <w:top w:val="nil"/>
              <w:bottom w:val="nil"/>
            </w:tcBorders>
            <w:shd w:val="clear" w:color="auto" w:fill="auto"/>
            <w:vAlign w:val="bottom"/>
          </w:tcPr>
          <w:p w14:paraId="73E3B388"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77</w:t>
            </w:r>
          </w:p>
        </w:tc>
      </w:tr>
      <w:tr w:rsidR="007C7D76" w:rsidRPr="00F46AE4" w14:paraId="31025791" w14:textId="77777777" w:rsidTr="00F46AE4">
        <w:trPr>
          <w:cantSplit/>
        </w:trPr>
        <w:tc>
          <w:tcPr>
            <w:tcW w:w="1417" w:type="dxa"/>
            <w:tcBorders>
              <w:top w:val="nil"/>
              <w:bottom w:val="nil"/>
            </w:tcBorders>
            <w:shd w:val="clear" w:color="auto" w:fill="auto"/>
          </w:tcPr>
          <w:p w14:paraId="0E79B2F1"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255 - 268</w:t>
            </w:r>
          </w:p>
        </w:tc>
        <w:tc>
          <w:tcPr>
            <w:tcW w:w="1417" w:type="dxa"/>
            <w:tcBorders>
              <w:top w:val="nil"/>
              <w:bottom w:val="nil"/>
            </w:tcBorders>
            <w:shd w:val="clear" w:color="auto" w:fill="auto"/>
            <w:vAlign w:val="bottom"/>
          </w:tcPr>
          <w:p w14:paraId="6DD26DC3"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26</w:t>
            </w:r>
          </w:p>
        </w:tc>
        <w:tc>
          <w:tcPr>
            <w:tcW w:w="1418" w:type="dxa"/>
            <w:tcBorders>
              <w:top w:val="nil"/>
              <w:bottom w:val="nil"/>
            </w:tcBorders>
            <w:shd w:val="clear" w:color="auto" w:fill="auto"/>
            <w:vAlign w:val="bottom"/>
          </w:tcPr>
          <w:p w14:paraId="3CC9CF9C"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595 - 608</w:t>
            </w:r>
          </w:p>
        </w:tc>
        <w:tc>
          <w:tcPr>
            <w:tcW w:w="1417" w:type="dxa"/>
            <w:tcBorders>
              <w:top w:val="nil"/>
              <w:bottom w:val="nil"/>
            </w:tcBorders>
            <w:shd w:val="clear" w:color="auto" w:fill="auto"/>
            <w:vAlign w:val="bottom"/>
          </w:tcPr>
          <w:p w14:paraId="252E55FC"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51</w:t>
            </w:r>
          </w:p>
        </w:tc>
        <w:tc>
          <w:tcPr>
            <w:tcW w:w="1417" w:type="dxa"/>
            <w:tcBorders>
              <w:top w:val="nil"/>
              <w:bottom w:val="nil"/>
            </w:tcBorders>
            <w:shd w:val="clear" w:color="auto" w:fill="auto"/>
            <w:vAlign w:val="bottom"/>
          </w:tcPr>
          <w:p w14:paraId="7DA574DE" w14:textId="77777777" w:rsidR="007C7D76"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962 - 975</w:t>
            </w:r>
          </w:p>
        </w:tc>
        <w:tc>
          <w:tcPr>
            <w:tcW w:w="1418" w:type="dxa"/>
            <w:tcBorders>
              <w:top w:val="nil"/>
              <w:bottom w:val="nil"/>
            </w:tcBorders>
            <w:shd w:val="clear" w:color="auto" w:fill="auto"/>
            <w:vAlign w:val="bottom"/>
          </w:tcPr>
          <w:p w14:paraId="4F815E0F" w14:textId="77777777" w:rsidR="007C7D76"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78</w:t>
            </w:r>
          </w:p>
        </w:tc>
      </w:tr>
      <w:tr w:rsidR="00F46AE4" w:rsidRPr="00F46AE4" w14:paraId="0F83CF4E" w14:textId="77777777" w:rsidTr="00F46AE4">
        <w:trPr>
          <w:cantSplit/>
        </w:trPr>
        <w:tc>
          <w:tcPr>
            <w:tcW w:w="1417" w:type="dxa"/>
            <w:tcBorders>
              <w:top w:val="nil"/>
              <w:bottom w:val="nil"/>
            </w:tcBorders>
            <w:shd w:val="clear" w:color="auto" w:fill="auto"/>
          </w:tcPr>
          <w:p w14:paraId="41E621A7"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269 - 281</w:t>
            </w:r>
          </w:p>
        </w:tc>
        <w:tc>
          <w:tcPr>
            <w:tcW w:w="1417" w:type="dxa"/>
            <w:tcBorders>
              <w:top w:val="nil"/>
              <w:bottom w:val="nil"/>
            </w:tcBorders>
            <w:shd w:val="clear" w:color="auto" w:fill="auto"/>
            <w:vAlign w:val="bottom"/>
          </w:tcPr>
          <w:p w14:paraId="34A5E48D"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27</w:t>
            </w:r>
          </w:p>
        </w:tc>
        <w:tc>
          <w:tcPr>
            <w:tcW w:w="1418" w:type="dxa"/>
            <w:tcBorders>
              <w:top w:val="nil"/>
              <w:bottom w:val="nil"/>
            </w:tcBorders>
            <w:shd w:val="clear" w:color="auto" w:fill="auto"/>
            <w:vAlign w:val="bottom"/>
          </w:tcPr>
          <w:p w14:paraId="5B3DC9BE"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609 - 621</w:t>
            </w:r>
          </w:p>
        </w:tc>
        <w:tc>
          <w:tcPr>
            <w:tcW w:w="1417" w:type="dxa"/>
            <w:tcBorders>
              <w:top w:val="nil"/>
              <w:bottom w:val="nil"/>
            </w:tcBorders>
            <w:shd w:val="clear" w:color="auto" w:fill="auto"/>
            <w:vAlign w:val="bottom"/>
          </w:tcPr>
          <w:p w14:paraId="6C7153AA"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52</w:t>
            </w:r>
          </w:p>
        </w:tc>
        <w:tc>
          <w:tcPr>
            <w:tcW w:w="1417" w:type="dxa"/>
            <w:tcBorders>
              <w:top w:val="nil"/>
              <w:bottom w:val="nil"/>
            </w:tcBorders>
            <w:shd w:val="clear" w:color="auto" w:fill="auto"/>
            <w:vAlign w:val="bottom"/>
          </w:tcPr>
          <w:p w14:paraId="52A39233"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976 - 988</w:t>
            </w:r>
          </w:p>
        </w:tc>
        <w:tc>
          <w:tcPr>
            <w:tcW w:w="1418" w:type="dxa"/>
            <w:tcBorders>
              <w:top w:val="nil"/>
              <w:bottom w:val="nil"/>
            </w:tcBorders>
            <w:shd w:val="clear" w:color="auto" w:fill="auto"/>
            <w:vAlign w:val="bottom"/>
          </w:tcPr>
          <w:p w14:paraId="682C88AA"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79</w:t>
            </w:r>
          </w:p>
        </w:tc>
      </w:tr>
      <w:tr w:rsidR="00F46AE4" w:rsidRPr="00F46AE4" w14:paraId="313D6EBC" w14:textId="77777777" w:rsidTr="00F46AE4">
        <w:trPr>
          <w:cantSplit/>
        </w:trPr>
        <w:tc>
          <w:tcPr>
            <w:tcW w:w="1417" w:type="dxa"/>
            <w:tcBorders>
              <w:top w:val="nil"/>
              <w:bottom w:val="nil"/>
            </w:tcBorders>
            <w:shd w:val="clear" w:color="auto" w:fill="auto"/>
          </w:tcPr>
          <w:p w14:paraId="4EB4AC3E"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282 - 295</w:t>
            </w:r>
          </w:p>
        </w:tc>
        <w:tc>
          <w:tcPr>
            <w:tcW w:w="1417" w:type="dxa"/>
            <w:tcBorders>
              <w:top w:val="nil"/>
              <w:bottom w:val="nil"/>
            </w:tcBorders>
            <w:shd w:val="clear" w:color="auto" w:fill="auto"/>
            <w:vAlign w:val="bottom"/>
          </w:tcPr>
          <w:p w14:paraId="04409640"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28</w:t>
            </w:r>
          </w:p>
        </w:tc>
        <w:tc>
          <w:tcPr>
            <w:tcW w:w="1418" w:type="dxa"/>
            <w:tcBorders>
              <w:top w:val="nil"/>
              <w:bottom w:val="nil"/>
            </w:tcBorders>
            <w:shd w:val="clear" w:color="auto" w:fill="auto"/>
            <w:vAlign w:val="bottom"/>
          </w:tcPr>
          <w:p w14:paraId="3CD0D2EB"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622 - 635</w:t>
            </w:r>
          </w:p>
        </w:tc>
        <w:tc>
          <w:tcPr>
            <w:tcW w:w="1417" w:type="dxa"/>
            <w:tcBorders>
              <w:top w:val="nil"/>
              <w:bottom w:val="nil"/>
            </w:tcBorders>
            <w:shd w:val="clear" w:color="auto" w:fill="auto"/>
            <w:vAlign w:val="bottom"/>
          </w:tcPr>
          <w:p w14:paraId="323847A8"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53</w:t>
            </w:r>
          </w:p>
        </w:tc>
        <w:tc>
          <w:tcPr>
            <w:tcW w:w="1417" w:type="dxa"/>
            <w:tcBorders>
              <w:top w:val="nil"/>
              <w:bottom w:val="nil"/>
            </w:tcBorders>
            <w:shd w:val="clear" w:color="auto" w:fill="auto"/>
            <w:vAlign w:val="bottom"/>
          </w:tcPr>
          <w:p w14:paraId="3421BA0B"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989 - 1,002</w:t>
            </w:r>
          </w:p>
        </w:tc>
        <w:tc>
          <w:tcPr>
            <w:tcW w:w="1418" w:type="dxa"/>
            <w:tcBorders>
              <w:top w:val="nil"/>
              <w:bottom w:val="nil"/>
            </w:tcBorders>
            <w:shd w:val="clear" w:color="auto" w:fill="auto"/>
            <w:vAlign w:val="bottom"/>
          </w:tcPr>
          <w:p w14:paraId="0CEB12D0"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80</w:t>
            </w:r>
          </w:p>
        </w:tc>
      </w:tr>
      <w:tr w:rsidR="00F46AE4" w:rsidRPr="00F46AE4" w14:paraId="3F0B3775" w14:textId="77777777" w:rsidTr="00F46AE4">
        <w:trPr>
          <w:cantSplit/>
        </w:trPr>
        <w:tc>
          <w:tcPr>
            <w:tcW w:w="1417" w:type="dxa"/>
            <w:tcBorders>
              <w:top w:val="nil"/>
              <w:bottom w:val="nil"/>
            </w:tcBorders>
            <w:shd w:val="clear" w:color="auto" w:fill="auto"/>
          </w:tcPr>
          <w:p w14:paraId="1CCDEC7A"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296 - 308</w:t>
            </w:r>
          </w:p>
        </w:tc>
        <w:tc>
          <w:tcPr>
            <w:tcW w:w="1417" w:type="dxa"/>
            <w:tcBorders>
              <w:top w:val="nil"/>
              <w:bottom w:val="nil"/>
            </w:tcBorders>
            <w:shd w:val="clear" w:color="auto" w:fill="auto"/>
            <w:vAlign w:val="bottom"/>
          </w:tcPr>
          <w:p w14:paraId="22F5D76B"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29</w:t>
            </w:r>
          </w:p>
        </w:tc>
        <w:tc>
          <w:tcPr>
            <w:tcW w:w="1418" w:type="dxa"/>
            <w:tcBorders>
              <w:top w:val="nil"/>
              <w:bottom w:val="nil"/>
            </w:tcBorders>
            <w:shd w:val="clear" w:color="auto" w:fill="auto"/>
            <w:vAlign w:val="bottom"/>
          </w:tcPr>
          <w:p w14:paraId="4C55E835"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636 - 648</w:t>
            </w:r>
          </w:p>
        </w:tc>
        <w:tc>
          <w:tcPr>
            <w:tcW w:w="1417" w:type="dxa"/>
            <w:tcBorders>
              <w:top w:val="nil"/>
              <w:bottom w:val="nil"/>
            </w:tcBorders>
            <w:shd w:val="clear" w:color="auto" w:fill="auto"/>
            <w:vAlign w:val="bottom"/>
          </w:tcPr>
          <w:p w14:paraId="16BA05E9"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54</w:t>
            </w:r>
          </w:p>
        </w:tc>
        <w:tc>
          <w:tcPr>
            <w:tcW w:w="1417" w:type="dxa"/>
            <w:tcBorders>
              <w:top w:val="nil"/>
              <w:bottom w:val="nil"/>
            </w:tcBorders>
            <w:shd w:val="clear" w:color="auto" w:fill="auto"/>
            <w:vAlign w:val="bottom"/>
          </w:tcPr>
          <w:p w14:paraId="79816826"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1,003 -,1016</w:t>
            </w:r>
          </w:p>
        </w:tc>
        <w:tc>
          <w:tcPr>
            <w:tcW w:w="1418" w:type="dxa"/>
            <w:tcBorders>
              <w:top w:val="nil"/>
              <w:bottom w:val="nil"/>
            </w:tcBorders>
            <w:shd w:val="clear" w:color="auto" w:fill="auto"/>
            <w:vAlign w:val="bottom"/>
          </w:tcPr>
          <w:p w14:paraId="748575F5"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81</w:t>
            </w:r>
          </w:p>
        </w:tc>
      </w:tr>
      <w:tr w:rsidR="00F46AE4" w:rsidRPr="00F46AE4" w14:paraId="7CBBD753" w14:textId="77777777" w:rsidTr="00F46AE4">
        <w:trPr>
          <w:cantSplit/>
        </w:trPr>
        <w:tc>
          <w:tcPr>
            <w:tcW w:w="1417" w:type="dxa"/>
            <w:tcBorders>
              <w:top w:val="nil"/>
              <w:bottom w:val="nil"/>
            </w:tcBorders>
            <w:shd w:val="clear" w:color="auto" w:fill="auto"/>
          </w:tcPr>
          <w:p w14:paraId="2C5B5C4C"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309 - 322</w:t>
            </w:r>
          </w:p>
        </w:tc>
        <w:tc>
          <w:tcPr>
            <w:tcW w:w="1417" w:type="dxa"/>
            <w:tcBorders>
              <w:top w:val="nil"/>
              <w:bottom w:val="nil"/>
            </w:tcBorders>
            <w:shd w:val="clear" w:color="auto" w:fill="auto"/>
            <w:vAlign w:val="bottom"/>
          </w:tcPr>
          <w:p w14:paraId="47F08C73"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30</w:t>
            </w:r>
          </w:p>
        </w:tc>
        <w:tc>
          <w:tcPr>
            <w:tcW w:w="1418" w:type="dxa"/>
            <w:tcBorders>
              <w:top w:val="nil"/>
              <w:bottom w:val="nil"/>
            </w:tcBorders>
            <w:shd w:val="clear" w:color="auto" w:fill="auto"/>
            <w:vAlign w:val="bottom"/>
          </w:tcPr>
          <w:p w14:paraId="7249047F"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649 - 662</w:t>
            </w:r>
          </w:p>
        </w:tc>
        <w:tc>
          <w:tcPr>
            <w:tcW w:w="1417" w:type="dxa"/>
            <w:tcBorders>
              <w:top w:val="nil"/>
              <w:bottom w:val="nil"/>
            </w:tcBorders>
            <w:shd w:val="clear" w:color="auto" w:fill="auto"/>
            <w:vAlign w:val="bottom"/>
          </w:tcPr>
          <w:p w14:paraId="763E6B7A"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55</w:t>
            </w:r>
          </w:p>
        </w:tc>
        <w:tc>
          <w:tcPr>
            <w:tcW w:w="1417" w:type="dxa"/>
            <w:tcBorders>
              <w:top w:val="nil"/>
              <w:bottom w:val="nil"/>
            </w:tcBorders>
            <w:shd w:val="clear" w:color="auto" w:fill="auto"/>
            <w:vAlign w:val="bottom"/>
          </w:tcPr>
          <w:p w14:paraId="53AE2486"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1,017 - 1,029</w:t>
            </w:r>
          </w:p>
        </w:tc>
        <w:tc>
          <w:tcPr>
            <w:tcW w:w="1418" w:type="dxa"/>
            <w:tcBorders>
              <w:top w:val="nil"/>
              <w:bottom w:val="nil"/>
            </w:tcBorders>
            <w:shd w:val="clear" w:color="auto" w:fill="auto"/>
            <w:vAlign w:val="bottom"/>
          </w:tcPr>
          <w:p w14:paraId="5ABC1699"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82</w:t>
            </w:r>
          </w:p>
        </w:tc>
      </w:tr>
      <w:tr w:rsidR="00F46AE4" w:rsidRPr="00F46AE4" w14:paraId="654C66DE" w14:textId="77777777" w:rsidTr="00F46AE4">
        <w:trPr>
          <w:cantSplit/>
        </w:trPr>
        <w:tc>
          <w:tcPr>
            <w:tcW w:w="1417" w:type="dxa"/>
            <w:tcBorders>
              <w:top w:val="nil"/>
              <w:bottom w:val="nil"/>
            </w:tcBorders>
            <w:shd w:val="clear" w:color="auto" w:fill="auto"/>
          </w:tcPr>
          <w:p w14:paraId="4D4092FF"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323 - 336</w:t>
            </w:r>
          </w:p>
        </w:tc>
        <w:tc>
          <w:tcPr>
            <w:tcW w:w="1417" w:type="dxa"/>
            <w:tcBorders>
              <w:top w:val="nil"/>
              <w:bottom w:val="nil"/>
            </w:tcBorders>
            <w:shd w:val="clear" w:color="auto" w:fill="auto"/>
            <w:vAlign w:val="bottom"/>
          </w:tcPr>
          <w:p w14:paraId="4154269D"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31</w:t>
            </w:r>
          </w:p>
        </w:tc>
        <w:tc>
          <w:tcPr>
            <w:tcW w:w="1418" w:type="dxa"/>
            <w:tcBorders>
              <w:top w:val="nil"/>
              <w:bottom w:val="nil"/>
            </w:tcBorders>
            <w:shd w:val="clear" w:color="auto" w:fill="auto"/>
            <w:vAlign w:val="bottom"/>
          </w:tcPr>
          <w:p w14:paraId="545A370A"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663 - 676</w:t>
            </w:r>
          </w:p>
        </w:tc>
        <w:tc>
          <w:tcPr>
            <w:tcW w:w="1417" w:type="dxa"/>
            <w:tcBorders>
              <w:top w:val="nil"/>
              <w:bottom w:val="nil"/>
            </w:tcBorders>
            <w:shd w:val="clear" w:color="auto" w:fill="auto"/>
            <w:vAlign w:val="bottom"/>
          </w:tcPr>
          <w:p w14:paraId="23FE6AF4"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56</w:t>
            </w:r>
          </w:p>
        </w:tc>
        <w:tc>
          <w:tcPr>
            <w:tcW w:w="1417" w:type="dxa"/>
            <w:tcBorders>
              <w:top w:val="nil"/>
              <w:bottom w:val="nil"/>
            </w:tcBorders>
            <w:shd w:val="clear" w:color="auto" w:fill="auto"/>
            <w:vAlign w:val="bottom"/>
          </w:tcPr>
          <w:p w14:paraId="7259D0D4"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1,030 - 1,043</w:t>
            </w:r>
          </w:p>
        </w:tc>
        <w:tc>
          <w:tcPr>
            <w:tcW w:w="1418" w:type="dxa"/>
            <w:tcBorders>
              <w:top w:val="nil"/>
              <w:bottom w:val="nil"/>
            </w:tcBorders>
            <w:shd w:val="clear" w:color="auto" w:fill="auto"/>
            <w:vAlign w:val="bottom"/>
          </w:tcPr>
          <w:p w14:paraId="7AAD4C13"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83</w:t>
            </w:r>
          </w:p>
        </w:tc>
      </w:tr>
      <w:tr w:rsidR="00F46AE4" w:rsidRPr="00F46AE4" w14:paraId="674B8662" w14:textId="77777777" w:rsidTr="00F46AE4">
        <w:trPr>
          <w:cantSplit/>
        </w:trPr>
        <w:tc>
          <w:tcPr>
            <w:tcW w:w="1417" w:type="dxa"/>
            <w:tcBorders>
              <w:top w:val="nil"/>
              <w:bottom w:val="nil"/>
            </w:tcBorders>
            <w:shd w:val="clear" w:color="auto" w:fill="auto"/>
          </w:tcPr>
          <w:p w14:paraId="3F133721"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337 - 349</w:t>
            </w:r>
          </w:p>
        </w:tc>
        <w:tc>
          <w:tcPr>
            <w:tcW w:w="1417" w:type="dxa"/>
            <w:tcBorders>
              <w:top w:val="nil"/>
              <w:bottom w:val="nil"/>
            </w:tcBorders>
            <w:shd w:val="clear" w:color="auto" w:fill="auto"/>
            <w:vAlign w:val="bottom"/>
          </w:tcPr>
          <w:p w14:paraId="5F36B6B7"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32</w:t>
            </w:r>
          </w:p>
        </w:tc>
        <w:tc>
          <w:tcPr>
            <w:tcW w:w="1418" w:type="dxa"/>
            <w:tcBorders>
              <w:top w:val="nil"/>
              <w:bottom w:val="nil"/>
            </w:tcBorders>
            <w:shd w:val="clear" w:color="auto" w:fill="auto"/>
            <w:vAlign w:val="bottom"/>
          </w:tcPr>
          <w:p w14:paraId="510C807E"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677 - 689</w:t>
            </w:r>
          </w:p>
        </w:tc>
        <w:tc>
          <w:tcPr>
            <w:tcW w:w="1417" w:type="dxa"/>
            <w:tcBorders>
              <w:top w:val="nil"/>
              <w:bottom w:val="nil"/>
            </w:tcBorders>
            <w:shd w:val="clear" w:color="auto" w:fill="auto"/>
            <w:vAlign w:val="bottom"/>
          </w:tcPr>
          <w:p w14:paraId="67AA3ED5"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57</w:t>
            </w:r>
          </w:p>
        </w:tc>
        <w:tc>
          <w:tcPr>
            <w:tcW w:w="1417" w:type="dxa"/>
            <w:tcBorders>
              <w:top w:val="nil"/>
              <w:bottom w:val="nil"/>
            </w:tcBorders>
            <w:shd w:val="clear" w:color="auto" w:fill="auto"/>
            <w:vAlign w:val="bottom"/>
          </w:tcPr>
          <w:p w14:paraId="09396226"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1,044 - 1,056</w:t>
            </w:r>
          </w:p>
        </w:tc>
        <w:tc>
          <w:tcPr>
            <w:tcW w:w="1418" w:type="dxa"/>
            <w:tcBorders>
              <w:top w:val="nil"/>
              <w:bottom w:val="nil"/>
            </w:tcBorders>
            <w:shd w:val="clear" w:color="auto" w:fill="auto"/>
            <w:vAlign w:val="bottom"/>
          </w:tcPr>
          <w:p w14:paraId="79770D70"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84</w:t>
            </w:r>
          </w:p>
        </w:tc>
      </w:tr>
      <w:tr w:rsidR="00F46AE4" w:rsidRPr="00F46AE4" w14:paraId="28FB5886" w14:textId="77777777" w:rsidTr="00F46AE4">
        <w:trPr>
          <w:cantSplit/>
        </w:trPr>
        <w:tc>
          <w:tcPr>
            <w:tcW w:w="1417" w:type="dxa"/>
            <w:tcBorders>
              <w:top w:val="nil"/>
              <w:bottom w:val="nil"/>
            </w:tcBorders>
            <w:shd w:val="clear" w:color="auto" w:fill="auto"/>
          </w:tcPr>
          <w:p w14:paraId="576F51D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350 - 363</w:t>
            </w:r>
          </w:p>
        </w:tc>
        <w:tc>
          <w:tcPr>
            <w:tcW w:w="1417" w:type="dxa"/>
            <w:tcBorders>
              <w:top w:val="nil"/>
              <w:bottom w:val="nil"/>
            </w:tcBorders>
            <w:shd w:val="clear" w:color="auto" w:fill="auto"/>
            <w:vAlign w:val="bottom"/>
          </w:tcPr>
          <w:p w14:paraId="64A28E33"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33</w:t>
            </w:r>
          </w:p>
        </w:tc>
        <w:tc>
          <w:tcPr>
            <w:tcW w:w="1418" w:type="dxa"/>
            <w:tcBorders>
              <w:top w:val="nil"/>
              <w:bottom w:val="nil"/>
            </w:tcBorders>
            <w:shd w:val="clear" w:color="auto" w:fill="auto"/>
            <w:vAlign w:val="bottom"/>
          </w:tcPr>
          <w:p w14:paraId="4B361B1C"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690 - 703</w:t>
            </w:r>
          </w:p>
        </w:tc>
        <w:tc>
          <w:tcPr>
            <w:tcW w:w="1417" w:type="dxa"/>
            <w:tcBorders>
              <w:top w:val="nil"/>
              <w:bottom w:val="nil"/>
            </w:tcBorders>
            <w:shd w:val="clear" w:color="auto" w:fill="auto"/>
            <w:vAlign w:val="bottom"/>
          </w:tcPr>
          <w:p w14:paraId="75BAE02E"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58</w:t>
            </w:r>
          </w:p>
        </w:tc>
        <w:tc>
          <w:tcPr>
            <w:tcW w:w="1417" w:type="dxa"/>
            <w:tcBorders>
              <w:top w:val="nil"/>
              <w:bottom w:val="nil"/>
            </w:tcBorders>
            <w:shd w:val="clear" w:color="auto" w:fill="auto"/>
            <w:vAlign w:val="bottom"/>
          </w:tcPr>
          <w:p w14:paraId="1D372AD7"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1,057 - 1,070</w:t>
            </w:r>
          </w:p>
        </w:tc>
        <w:tc>
          <w:tcPr>
            <w:tcW w:w="1418" w:type="dxa"/>
            <w:tcBorders>
              <w:top w:val="nil"/>
              <w:bottom w:val="nil"/>
            </w:tcBorders>
            <w:shd w:val="clear" w:color="auto" w:fill="auto"/>
            <w:vAlign w:val="bottom"/>
          </w:tcPr>
          <w:p w14:paraId="687343C2"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85</w:t>
            </w:r>
          </w:p>
        </w:tc>
      </w:tr>
      <w:tr w:rsidR="00F46AE4" w:rsidRPr="00F46AE4" w14:paraId="5C26DB4A" w14:textId="77777777" w:rsidTr="00F46AE4">
        <w:trPr>
          <w:cantSplit/>
        </w:trPr>
        <w:tc>
          <w:tcPr>
            <w:tcW w:w="1417" w:type="dxa"/>
            <w:tcBorders>
              <w:top w:val="nil"/>
              <w:bottom w:val="nil"/>
            </w:tcBorders>
            <w:shd w:val="clear" w:color="auto" w:fill="auto"/>
          </w:tcPr>
          <w:p w14:paraId="4D7FC77F"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364 - 376</w:t>
            </w:r>
          </w:p>
        </w:tc>
        <w:tc>
          <w:tcPr>
            <w:tcW w:w="1417" w:type="dxa"/>
            <w:tcBorders>
              <w:top w:val="nil"/>
              <w:bottom w:val="nil"/>
            </w:tcBorders>
            <w:shd w:val="clear" w:color="auto" w:fill="auto"/>
            <w:vAlign w:val="bottom"/>
          </w:tcPr>
          <w:p w14:paraId="3A154388"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34</w:t>
            </w:r>
          </w:p>
        </w:tc>
        <w:tc>
          <w:tcPr>
            <w:tcW w:w="1418" w:type="dxa"/>
            <w:tcBorders>
              <w:top w:val="nil"/>
              <w:bottom w:val="nil"/>
            </w:tcBorders>
            <w:shd w:val="clear" w:color="auto" w:fill="auto"/>
            <w:vAlign w:val="bottom"/>
          </w:tcPr>
          <w:p w14:paraId="5CCC7D90"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704 - 716</w:t>
            </w:r>
          </w:p>
        </w:tc>
        <w:tc>
          <w:tcPr>
            <w:tcW w:w="1417" w:type="dxa"/>
            <w:tcBorders>
              <w:top w:val="nil"/>
              <w:bottom w:val="nil"/>
            </w:tcBorders>
            <w:shd w:val="clear" w:color="auto" w:fill="auto"/>
            <w:vAlign w:val="bottom"/>
          </w:tcPr>
          <w:p w14:paraId="2BF9F041"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59</w:t>
            </w:r>
          </w:p>
        </w:tc>
        <w:tc>
          <w:tcPr>
            <w:tcW w:w="1417" w:type="dxa"/>
            <w:tcBorders>
              <w:top w:val="nil"/>
              <w:bottom w:val="nil"/>
            </w:tcBorders>
            <w:shd w:val="clear" w:color="auto" w:fill="auto"/>
            <w:vAlign w:val="bottom"/>
          </w:tcPr>
          <w:p w14:paraId="2E82B984"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1,071 - 1,084</w:t>
            </w:r>
          </w:p>
        </w:tc>
        <w:tc>
          <w:tcPr>
            <w:tcW w:w="1418" w:type="dxa"/>
            <w:tcBorders>
              <w:top w:val="nil"/>
              <w:bottom w:val="nil"/>
            </w:tcBorders>
            <w:shd w:val="clear" w:color="auto" w:fill="auto"/>
            <w:vAlign w:val="bottom"/>
          </w:tcPr>
          <w:p w14:paraId="6813D6DD"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86</w:t>
            </w:r>
          </w:p>
        </w:tc>
      </w:tr>
      <w:tr w:rsidR="00F46AE4" w:rsidRPr="00F46AE4" w14:paraId="79B007E3" w14:textId="77777777" w:rsidTr="00F46AE4">
        <w:trPr>
          <w:cantSplit/>
        </w:trPr>
        <w:tc>
          <w:tcPr>
            <w:tcW w:w="1417" w:type="dxa"/>
            <w:tcBorders>
              <w:top w:val="nil"/>
              <w:bottom w:val="nil"/>
            </w:tcBorders>
            <w:shd w:val="clear" w:color="auto" w:fill="auto"/>
          </w:tcPr>
          <w:p w14:paraId="59B77B26"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377 - 390</w:t>
            </w:r>
          </w:p>
        </w:tc>
        <w:tc>
          <w:tcPr>
            <w:tcW w:w="1417" w:type="dxa"/>
            <w:tcBorders>
              <w:top w:val="nil"/>
              <w:bottom w:val="nil"/>
            </w:tcBorders>
            <w:shd w:val="clear" w:color="auto" w:fill="auto"/>
            <w:vAlign w:val="bottom"/>
          </w:tcPr>
          <w:p w14:paraId="6EFC55C4"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35</w:t>
            </w:r>
          </w:p>
        </w:tc>
        <w:tc>
          <w:tcPr>
            <w:tcW w:w="1418" w:type="dxa"/>
            <w:tcBorders>
              <w:top w:val="nil"/>
              <w:bottom w:val="nil"/>
            </w:tcBorders>
            <w:shd w:val="clear" w:color="auto" w:fill="auto"/>
            <w:vAlign w:val="bottom"/>
          </w:tcPr>
          <w:p w14:paraId="61732ECC"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717 - 730</w:t>
            </w:r>
          </w:p>
        </w:tc>
        <w:tc>
          <w:tcPr>
            <w:tcW w:w="1417" w:type="dxa"/>
            <w:tcBorders>
              <w:top w:val="nil"/>
              <w:bottom w:val="nil"/>
            </w:tcBorders>
            <w:shd w:val="clear" w:color="auto" w:fill="auto"/>
            <w:vAlign w:val="bottom"/>
          </w:tcPr>
          <w:p w14:paraId="1AD725D9"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60</w:t>
            </w:r>
          </w:p>
        </w:tc>
        <w:tc>
          <w:tcPr>
            <w:tcW w:w="1417" w:type="dxa"/>
            <w:tcBorders>
              <w:top w:val="nil"/>
              <w:bottom w:val="nil"/>
            </w:tcBorders>
            <w:shd w:val="clear" w:color="auto" w:fill="auto"/>
            <w:vAlign w:val="bottom"/>
          </w:tcPr>
          <w:p w14:paraId="4AD3B239"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1,085 - 1,097</w:t>
            </w:r>
          </w:p>
        </w:tc>
        <w:tc>
          <w:tcPr>
            <w:tcW w:w="1418" w:type="dxa"/>
            <w:tcBorders>
              <w:top w:val="nil"/>
              <w:bottom w:val="nil"/>
            </w:tcBorders>
            <w:shd w:val="clear" w:color="auto" w:fill="auto"/>
            <w:vAlign w:val="bottom"/>
          </w:tcPr>
          <w:p w14:paraId="36691DFB"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87</w:t>
            </w:r>
          </w:p>
        </w:tc>
      </w:tr>
      <w:tr w:rsidR="00F46AE4" w:rsidRPr="00F46AE4" w14:paraId="36D7262E" w14:textId="77777777" w:rsidTr="00F46AE4">
        <w:trPr>
          <w:cantSplit/>
        </w:trPr>
        <w:tc>
          <w:tcPr>
            <w:tcW w:w="1417" w:type="dxa"/>
            <w:tcBorders>
              <w:top w:val="nil"/>
              <w:bottom w:val="nil"/>
            </w:tcBorders>
            <w:shd w:val="clear" w:color="auto" w:fill="auto"/>
          </w:tcPr>
          <w:p w14:paraId="712B8A45"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391 - 404</w:t>
            </w:r>
          </w:p>
        </w:tc>
        <w:tc>
          <w:tcPr>
            <w:tcW w:w="1417" w:type="dxa"/>
            <w:tcBorders>
              <w:top w:val="nil"/>
              <w:bottom w:val="nil"/>
            </w:tcBorders>
            <w:shd w:val="clear" w:color="auto" w:fill="auto"/>
            <w:vAlign w:val="bottom"/>
          </w:tcPr>
          <w:p w14:paraId="2E646E2E"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36</w:t>
            </w:r>
          </w:p>
        </w:tc>
        <w:tc>
          <w:tcPr>
            <w:tcW w:w="1418" w:type="dxa"/>
            <w:tcBorders>
              <w:top w:val="nil"/>
              <w:bottom w:val="nil"/>
            </w:tcBorders>
            <w:shd w:val="clear" w:color="auto" w:fill="auto"/>
            <w:vAlign w:val="bottom"/>
          </w:tcPr>
          <w:p w14:paraId="5DE3B0F4"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731 - 744</w:t>
            </w:r>
          </w:p>
        </w:tc>
        <w:tc>
          <w:tcPr>
            <w:tcW w:w="1417" w:type="dxa"/>
            <w:tcBorders>
              <w:top w:val="nil"/>
              <w:bottom w:val="nil"/>
            </w:tcBorders>
            <w:shd w:val="clear" w:color="auto" w:fill="auto"/>
            <w:vAlign w:val="bottom"/>
          </w:tcPr>
          <w:p w14:paraId="03085D1B"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61</w:t>
            </w:r>
          </w:p>
        </w:tc>
        <w:tc>
          <w:tcPr>
            <w:tcW w:w="1417" w:type="dxa"/>
            <w:tcBorders>
              <w:top w:val="nil"/>
              <w:bottom w:val="nil"/>
            </w:tcBorders>
            <w:shd w:val="clear" w:color="auto" w:fill="auto"/>
            <w:vAlign w:val="bottom"/>
          </w:tcPr>
          <w:p w14:paraId="72E88DD4"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1,098 - 1,111</w:t>
            </w:r>
          </w:p>
        </w:tc>
        <w:tc>
          <w:tcPr>
            <w:tcW w:w="1418" w:type="dxa"/>
            <w:tcBorders>
              <w:top w:val="nil"/>
              <w:bottom w:val="nil"/>
            </w:tcBorders>
            <w:shd w:val="clear" w:color="auto" w:fill="auto"/>
            <w:vAlign w:val="bottom"/>
          </w:tcPr>
          <w:p w14:paraId="5E95E09F"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88</w:t>
            </w:r>
          </w:p>
        </w:tc>
      </w:tr>
      <w:tr w:rsidR="00F46AE4" w:rsidRPr="00F46AE4" w14:paraId="607D372F" w14:textId="77777777" w:rsidTr="00F46AE4">
        <w:trPr>
          <w:cantSplit/>
        </w:trPr>
        <w:tc>
          <w:tcPr>
            <w:tcW w:w="1417" w:type="dxa"/>
            <w:tcBorders>
              <w:top w:val="nil"/>
              <w:bottom w:val="nil"/>
            </w:tcBorders>
            <w:shd w:val="clear" w:color="auto" w:fill="auto"/>
          </w:tcPr>
          <w:p w14:paraId="76E07432"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lastRenderedPageBreak/>
              <w:t>405 - 417</w:t>
            </w:r>
          </w:p>
        </w:tc>
        <w:tc>
          <w:tcPr>
            <w:tcW w:w="1417" w:type="dxa"/>
            <w:tcBorders>
              <w:top w:val="nil"/>
              <w:bottom w:val="nil"/>
            </w:tcBorders>
            <w:shd w:val="clear" w:color="auto" w:fill="auto"/>
            <w:vAlign w:val="bottom"/>
          </w:tcPr>
          <w:p w14:paraId="1BD698EE" w14:textId="77777777" w:rsid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37</w:t>
            </w:r>
          </w:p>
        </w:tc>
        <w:tc>
          <w:tcPr>
            <w:tcW w:w="1418" w:type="dxa"/>
            <w:tcBorders>
              <w:top w:val="nil"/>
              <w:bottom w:val="nil"/>
            </w:tcBorders>
            <w:shd w:val="clear" w:color="auto" w:fill="auto"/>
            <w:vAlign w:val="bottom"/>
          </w:tcPr>
          <w:p w14:paraId="12B59231"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745 - 757</w:t>
            </w:r>
          </w:p>
        </w:tc>
        <w:tc>
          <w:tcPr>
            <w:tcW w:w="1417" w:type="dxa"/>
            <w:tcBorders>
              <w:top w:val="nil"/>
              <w:bottom w:val="nil"/>
            </w:tcBorders>
            <w:shd w:val="clear" w:color="auto" w:fill="auto"/>
            <w:vAlign w:val="bottom"/>
          </w:tcPr>
          <w:p w14:paraId="5AB63053"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62</w:t>
            </w:r>
          </w:p>
        </w:tc>
        <w:tc>
          <w:tcPr>
            <w:tcW w:w="1417" w:type="dxa"/>
            <w:tcBorders>
              <w:top w:val="nil"/>
              <w:bottom w:val="nil"/>
            </w:tcBorders>
            <w:shd w:val="clear" w:color="auto" w:fill="auto"/>
            <w:vAlign w:val="bottom"/>
          </w:tcPr>
          <w:p w14:paraId="1A68C7C8" w14:textId="77777777" w:rsidR="00F46AE4" w:rsidRPr="00F46AE4" w:rsidRDefault="007C7D76"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1,112 - 1,124</w:t>
            </w:r>
          </w:p>
        </w:tc>
        <w:tc>
          <w:tcPr>
            <w:tcW w:w="1418" w:type="dxa"/>
            <w:tcBorders>
              <w:top w:val="nil"/>
              <w:bottom w:val="nil"/>
            </w:tcBorders>
            <w:shd w:val="clear" w:color="auto" w:fill="auto"/>
            <w:vAlign w:val="bottom"/>
          </w:tcPr>
          <w:p w14:paraId="40C4FF26" w14:textId="77777777" w:rsidR="00F46AE4" w:rsidRDefault="007C7D76"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89</w:t>
            </w:r>
          </w:p>
        </w:tc>
      </w:tr>
      <w:tr w:rsidR="00F46AE4" w:rsidRPr="00F46AE4" w14:paraId="1214ED41" w14:textId="77777777" w:rsidTr="00F46AE4">
        <w:trPr>
          <w:cantSplit/>
        </w:trPr>
        <w:tc>
          <w:tcPr>
            <w:tcW w:w="1417" w:type="dxa"/>
            <w:tcBorders>
              <w:top w:val="nil"/>
              <w:bottom w:val="nil"/>
            </w:tcBorders>
            <w:shd w:val="clear" w:color="auto" w:fill="auto"/>
          </w:tcPr>
          <w:p w14:paraId="3EBAF2DF"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418 - 431</w:t>
            </w:r>
          </w:p>
        </w:tc>
        <w:tc>
          <w:tcPr>
            <w:tcW w:w="1417" w:type="dxa"/>
            <w:tcBorders>
              <w:top w:val="nil"/>
              <w:bottom w:val="nil"/>
            </w:tcBorders>
            <w:shd w:val="clear" w:color="auto" w:fill="auto"/>
            <w:vAlign w:val="bottom"/>
          </w:tcPr>
          <w:p w14:paraId="250424F6"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38</w:t>
            </w:r>
          </w:p>
        </w:tc>
        <w:tc>
          <w:tcPr>
            <w:tcW w:w="1418" w:type="dxa"/>
            <w:tcBorders>
              <w:top w:val="nil"/>
              <w:bottom w:val="nil"/>
            </w:tcBorders>
            <w:shd w:val="clear" w:color="auto" w:fill="auto"/>
            <w:vAlign w:val="bottom"/>
          </w:tcPr>
          <w:p w14:paraId="2B0AC3F1"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758 - 771</w:t>
            </w:r>
          </w:p>
        </w:tc>
        <w:tc>
          <w:tcPr>
            <w:tcW w:w="1417" w:type="dxa"/>
            <w:tcBorders>
              <w:top w:val="nil"/>
              <w:bottom w:val="nil"/>
            </w:tcBorders>
            <w:shd w:val="clear" w:color="auto" w:fill="auto"/>
            <w:vAlign w:val="bottom"/>
          </w:tcPr>
          <w:p w14:paraId="570BAE78"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63</w:t>
            </w:r>
          </w:p>
        </w:tc>
        <w:tc>
          <w:tcPr>
            <w:tcW w:w="1417" w:type="dxa"/>
            <w:tcBorders>
              <w:top w:val="nil"/>
              <w:bottom w:val="nil"/>
            </w:tcBorders>
            <w:shd w:val="clear" w:color="auto" w:fill="auto"/>
            <w:vAlign w:val="bottom"/>
          </w:tcPr>
          <w:p w14:paraId="76311B17"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1,125 - 1,138</w:t>
            </w:r>
          </w:p>
        </w:tc>
        <w:tc>
          <w:tcPr>
            <w:tcW w:w="1418" w:type="dxa"/>
            <w:tcBorders>
              <w:top w:val="nil"/>
              <w:bottom w:val="nil"/>
            </w:tcBorders>
            <w:shd w:val="clear" w:color="auto" w:fill="auto"/>
            <w:vAlign w:val="bottom"/>
          </w:tcPr>
          <w:p w14:paraId="54E937F7"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90</w:t>
            </w:r>
          </w:p>
        </w:tc>
      </w:tr>
      <w:tr w:rsidR="00F46AE4" w:rsidRPr="00F46AE4" w14:paraId="5C672DE6" w14:textId="77777777" w:rsidTr="00F46AE4">
        <w:trPr>
          <w:cantSplit/>
        </w:trPr>
        <w:tc>
          <w:tcPr>
            <w:tcW w:w="1417" w:type="dxa"/>
            <w:tcBorders>
              <w:top w:val="nil"/>
              <w:bottom w:val="nil"/>
            </w:tcBorders>
            <w:shd w:val="clear" w:color="auto" w:fill="auto"/>
          </w:tcPr>
          <w:p w14:paraId="47DE8704"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432 - 444</w:t>
            </w:r>
          </w:p>
        </w:tc>
        <w:tc>
          <w:tcPr>
            <w:tcW w:w="1417" w:type="dxa"/>
            <w:tcBorders>
              <w:top w:val="nil"/>
              <w:bottom w:val="nil"/>
            </w:tcBorders>
            <w:shd w:val="clear" w:color="auto" w:fill="auto"/>
            <w:vAlign w:val="bottom"/>
          </w:tcPr>
          <w:p w14:paraId="3EEE8B54"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39</w:t>
            </w:r>
          </w:p>
        </w:tc>
        <w:tc>
          <w:tcPr>
            <w:tcW w:w="1418" w:type="dxa"/>
            <w:tcBorders>
              <w:top w:val="nil"/>
              <w:bottom w:val="nil"/>
            </w:tcBorders>
            <w:shd w:val="clear" w:color="auto" w:fill="auto"/>
            <w:vAlign w:val="bottom"/>
          </w:tcPr>
          <w:p w14:paraId="6063FE6A"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772 - 784</w:t>
            </w:r>
          </w:p>
        </w:tc>
        <w:tc>
          <w:tcPr>
            <w:tcW w:w="1417" w:type="dxa"/>
            <w:tcBorders>
              <w:top w:val="nil"/>
              <w:bottom w:val="nil"/>
            </w:tcBorders>
            <w:shd w:val="clear" w:color="auto" w:fill="auto"/>
            <w:vAlign w:val="bottom"/>
          </w:tcPr>
          <w:p w14:paraId="77240DBC"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64</w:t>
            </w:r>
          </w:p>
        </w:tc>
        <w:tc>
          <w:tcPr>
            <w:tcW w:w="1417" w:type="dxa"/>
            <w:tcBorders>
              <w:top w:val="nil"/>
              <w:bottom w:val="nil"/>
            </w:tcBorders>
            <w:shd w:val="clear" w:color="auto" w:fill="auto"/>
            <w:vAlign w:val="bottom"/>
          </w:tcPr>
          <w:p w14:paraId="3D2FCE59"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1,139 - 1,152</w:t>
            </w:r>
          </w:p>
        </w:tc>
        <w:tc>
          <w:tcPr>
            <w:tcW w:w="1418" w:type="dxa"/>
            <w:tcBorders>
              <w:top w:val="nil"/>
              <w:bottom w:val="nil"/>
            </w:tcBorders>
            <w:shd w:val="clear" w:color="auto" w:fill="auto"/>
            <w:vAlign w:val="bottom"/>
          </w:tcPr>
          <w:p w14:paraId="6E0BF948"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91</w:t>
            </w:r>
          </w:p>
        </w:tc>
      </w:tr>
      <w:tr w:rsidR="00F46AE4" w:rsidRPr="00F46AE4" w14:paraId="671C8FEA" w14:textId="77777777" w:rsidTr="00F46AE4">
        <w:trPr>
          <w:cantSplit/>
        </w:trPr>
        <w:tc>
          <w:tcPr>
            <w:tcW w:w="1417" w:type="dxa"/>
            <w:tcBorders>
              <w:top w:val="nil"/>
              <w:bottom w:val="nil"/>
            </w:tcBorders>
            <w:shd w:val="clear" w:color="auto" w:fill="auto"/>
          </w:tcPr>
          <w:p w14:paraId="7D58BC6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445 - 458</w:t>
            </w:r>
          </w:p>
        </w:tc>
        <w:tc>
          <w:tcPr>
            <w:tcW w:w="1417" w:type="dxa"/>
            <w:tcBorders>
              <w:top w:val="nil"/>
              <w:bottom w:val="nil"/>
            </w:tcBorders>
            <w:shd w:val="clear" w:color="auto" w:fill="auto"/>
            <w:vAlign w:val="bottom"/>
          </w:tcPr>
          <w:p w14:paraId="503F9753"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40</w:t>
            </w:r>
          </w:p>
        </w:tc>
        <w:tc>
          <w:tcPr>
            <w:tcW w:w="1418" w:type="dxa"/>
            <w:tcBorders>
              <w:top w:val="nil"/>
              <w:bottom w:val="nil"/>
            </w:tcBorders>
            <w:shd w:val="clear" w:color="auto" w:fill="auto"/>
            <w:vAlign w:val="bottom"/>
          </w:tcPr>
          <w:p w14:paraId="329D2D16"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785 - 798</w:t>
            </w:r>
          </w:p>
        </w:tc>
        <w:tc>
          <w:tcPr>
            <w:tcW w:w="1417" w:type="dxa"/>
            <w:tcBorders>
              <w:top w:val="nil"/>
              <w:bottom w:val="nil"/>
            </w:tcBorders>
            <w:shd w:val="clear" w:color="auto" w:fill="auto"/>
            <w:vAlign w:val="bottom"/>
          </w:tcPr>
          <w:p w14:paraId="52D767FA"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65</w:t>
            </w:r>
          </w:p>
        </w:tc>
        <w:tc>
          <w:tcPr>
            <w:tcW w:w="1417" w:type="dxa"/>
            <w:tcBorders>
              <w:top w:val="nil"/>
              <w:bottom w:val="nil"/>
            </w:tcBorders>
            <w:shd w:val="clear" w:color="auto" w:fill="auto"/>
            <w:vAlign w:val="bottom"/>
          </w:tcPr>
          <w:p w14:paraId="2CBCCA7F"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1,153 - 1,165</w:t>
            </w:r>
          </w:p>
        </w:tc>
        <w:tc>
          <w:tcPr>
            <w:tcW w:w="1418" w:type="dxa"/>
            <w:tcBorders>
              <w:top w:val="nil"/>
              <w:bottom w:val="nil"/>
            </w:tcBorders>
            <w:shd w:val="clear" w:color="auto" w:fill="auto"/>
            <w:vAlign w:val="bottom"/>
          </w:tcPr>
          <w:p w14:paraId="61B13A75"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92</w:t>
            </w:r>
          </w:p>
        </w:tc>
      </w:tr>
      <w:tr w:rsidR="00F46AE4" w:rsidRPr="00F46AE4" w14:paraId="41B57454" w14:textId="77777777" w:rsidTr="00F46AE4">
        <w:trPr>
          <w:cantSplit/>
        </w:trPr>
        <w:tc>
          <w:tcPr>
            <w:tcW w:w="1417" w:type="dxa"/>
            <w:tcBorders>
              <w:top w:val="nil"/>
              <w:bottom w:val="nil"/>
            </w:tcBorders>
            <w:shd w:val="clear" w:color="auto" w:fill="auto"/>
          </w:tcPr>
          <w:p w14:paraId="4DC9F60C"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459 - 472</w:t>
            </w:r>
          </w:p>
        </w:tc>
        <w:tc>
          <w:tcPr>
            <w:tcW w:w="1417" w:type="dxa"/>
            <w:tcBorders>
              <w:top w:val="nil"/>
              <w:bottom w:val="nil"/>
            </w:tcBorders>
            <w:shd w:val="clear" w:color="auto" w:fill="auto"/>
            <w:vAlign w:val="bottom"/>
          </w:tcPr>
          <w:p w14:paraId="57F115BB"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41</w:t>
            </w:r>
          </w:p>
        </w:tc>
        <w:tc>
          <w:tcPr>
            <w:tcW w:w="1418" w:type="dxa"/>
            <w:tcBorders>
              <w:top w:val="nil"/>
              <w:bottom w:val="nil"/>
            </w:tcBorders>
            <w:shd w:val="clear" w:color="auto" w:fill="auto"/>
            <w:vAlign w:val="bottom"/>
          </w:tcPr>
          <w:p w14:paraId="56DB8BF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799 - 812</w:t>
            </w:r>
          </w:p>
        </w:tc>
        <w:tc>
          <w:tcPr>
            <w:tcW w:w="1417" w:type="dxa"/>
            <w:tcBorders>
              <w:top w:val="nil"/>
              <w:bottom w:val="nil"/>
            </w:tcBorders>
            <w:shd w:val="clear" w:color="auto" w:fill="auto"/>
            <w:vAlign w:val="bottom"/>
          </w:tcPr>
          <w:p w14:paraId="3F944A55"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66</w:t>
            </w:r>
          </w:p>
        </w:tc>
        <w:tc>
          <w:tcPr>
            <w:tcW w:w="1417" w:type="dxa"/>
            <w:tcBorders>
              <w:top w:val="nil"/>
              <w:bottom w:val="nil"/>
            </w:tcBorders>
            <w:shd w:val="clear" w:color="auto" w:fill="auto"/>
            <w:vAlign w:val="bottom"/>
          </w:tcPr>
          <w:p w14:paraId="36F4780B"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1,166 - 1,179</w:t>
            </w:r>
          </w:p>
        </w:tc>
        <w:tc>
          <w:tcPr>
            <w:tcW w:w="1418" w:type="dxa"/>
            <w:tcBorders>
              <w:top w:val="nil"/>
              <w:bottom w:val="nil"/>
            </w:tcBorders>
            <w:shd w:val="clear" w:color="auto" w:fill="auto"/>
            <w:vAlign w:val="bottom"/>
          </w:tcPr>
          <w:p w14:paraId="5BAE1DAE"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93</w:t>
            </w:r>
          </w:p>
        </w:tc>
      </w:tr>
      <w:tr w:rsidR="00F46AE4" w:rsidRPr="00F46AE4" w14:paraId="1A585665" w14:textId="77777777" w:rsidTr="00F46AE4">
        <w:trPr>
          <w:cantSplit/>
        </w:trPr>
        <w:tc>
          <w:tcPr>
            <w:tcW w:w="1417" w:type="dxa"/>
            <w:tcBorders>
              <w:top w:val="nil"/>
              <w:bottom w:val="nil"/>
            </w:tcBorders>
            <w:shd w:val="clear" w:color="auto" w:fill="auto"/>
          </w:tcPr>
          <w:p w14:paraId="693C855E"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473 - 485</w:t>
            </w:r>
          </w:p>
        </w:tc>
        <w:tc>
          <w:tcPr>
            <w:tcW w:w="1417" w:type="dxa"/>
            <w:tcBorders>
              <w:top w:val="nil"/>
              <w:bottom w:val="nil"/>
            </w:tcBorders>
            <w:shd w:val="clear" w:color="auto" w:fill="auto"/>
            <w:vAlign w:val="bottom"/>
          </w:tcPr>
          <w:p w14:paraId="51D55298"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42</w:t>
            </w:r>
          </w:p>
        </w:tc>
        <w:tc>
          <w:tcPr>
            <w:tcW w:w="1418" w:type="dxa"/>
            <w:tcBorders>
              <w:top w:val="nil"/>
              <w:bottom w:val="nil"/>
            </w:tcBorders>
            <w:shd w:val="clear" w:color="auto" w:fill="auto"/>
            <w:vAlign w:val="bottom"/>
          </w:tcPr>
          <w:p w14:paraId="7FCE7D3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813 - 825</w:t>
            </w:r>
          </w:p>
        </w:tc>
        <w:tc>
          <w:tcPr>
            <w:tcW w:w="1417" w:type="dxa"/>
            <w:tcBorders>
              <w:top w:val="nil"/>
              <w:bottom w:val="nil"/>
            </w:tcBorders>
            <w:shd w:val="clear" w:color="auto" w:fill="auto"/>
            <w:vAlign w:val="bottom"/>
          </w:tcPr>
          <w:p w14:paraId="2FA590D3"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67</w:t>
            </w:r>
          </w:p>
        </w:tc>
        <w:tc>
          <w:tcPr>
            <w:tcW w:w="1417" w:type="dxa"/>
            <w:tcBorders>
              <w:top w:val="nil"/>
              <w:bottom w:val="nil"/>
            </w:tcBorders>
            <w:shd w:val="clear" w:color="auto" w:fill="auto"/>
            <w:vAlign w:val="bottom"/>
          </w:tcPr>
          <w:p w14:paraId="7DB1C83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1,180 - 1,192</w:t>
            </w:r>
          </w:p>
        </w:tc>
        <w:tc>
          <w:tcPr>
            <w:tcW w:w="1418" w:type="dxa"/>
            <w:tcBorders>
              <w:top w:val="nil"/>
              <w:bottom w:val="nil"/>
            </w:tcBorders>
            <w:shd w:val="clear" w:color="auto" w:fill="auto"/>
            <w:vAlign w:val="bottom"/>
          </w:tcPr>
          <w:p w14:paraId="2859DBF7"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94</w:t>
            </w:r>
          </w:p>
        </w:tc>
      </w:tr>
      <w:tr w:rsidR="00F46AE4" w:rsidRPr="00F46AE4" w14:paraId="1BD89C09" w14:textId="77777777" w:rsidTr="00F46AE4">
        <w:trPr>
          <w:cantSplit/>
        </w:trPr>
        <w:tc>
          <w:tcPr>
            <w:tcW w:w="1417" w:type="dxa"/>
            <w:tcBorders>
              <w:top w:val="nil"/>
              <w:bottom w:val="nil"/>
            </w:tcBorders>
            <w:shd w:val="clear" w:color="auto" w:fill="auto"/>
          </w:tcPr>
          <w:p w14:paraId="49F714FE"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486 - 499</w:t>
            </w:r>
          </w:p>
        </w:tc>
        <w:tc>
          <w:tcPr>
            <w:tcW w:w="1417" w:type="dxa"/>
            <w:tcBorders>
              <w:top w:val="nil"/>
              <w:bottom w:val="nil"/>
            </w:tcBorders>
            <w:shd w:val="clear" w:color="auto" w:fill="auto"/>
            <w:vAlign w:val="bottom"/>
          </w:tcPr>
          <w:p w14:paraId="26ED25DF"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43</w:t>
            </w:r>
          </w:p>
        </w:tc>
        <w:tc>
          <w:tcPr>
            <w:tcW w:w="1418" w:type="dxa"/>
            <w:tcBorders>
              <w:top w:val="nil"/>
              <w:bottom w:val="nil"/>
            </w:tcBorders>
            <w:shd w:val="clear" w:color="auto" w:fill="auto"/>
            <w:vAlign w:val="bottom"/>
          </w:tcPr>
          <w:p w14:paraId="72D2AE6E"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826 - 839</w:t>
            </w:r>
          </w:p>
        </w:tc>
        <w:tc>
          <w:tcPr>
            <w:tcW w:w="1417" w:type="dxa"/>
            <w:tcBorders>
              <w:top w:val="nil"/>
              <w:bottom w:val="nil"/>
            </w:tcBorders>
            <w:shd w:val="clear" w:color="auto" w:fill="auto"/>
            <w:vAlign w:val="bottom"/>
          </w:tcPr>
          <w:p w14:paraId="177AAAAC"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68</w:t>
            </w:r>
          </w:p>
        </w:tc>
        <w:tc>
          <w:tcPr>
            <w:tcW w:w="1417" w:type="dxa"/>
            <w:tcBorders>
              <w:top w:val="nil"/>
              <w:bottom w:val="nil"/>
            </w:tcBorders>
            <w:shd w:val="clear" w:color="auto" w:fill="auto"/>
            <w:vAlign w:val="bottom"/>
          </w:tcPr>
          <w:p w14:paraId="57F253F0"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1,193 - 1,206</w:t>
            </w:r>
          </w:p>
        </w:tc>
        <w:tc>
          <w:tcPr>
            <w:tcW w:w="1418" w:type="dxa"/>
            <w:tcBorders>
              <w:top w:val="nil"/>
              <w:bottom w:val="nil"/>
            </w:tcBorders>
            <w:shd w:val="clear" w:color="auto" w:fill="auto"/>
            <w:vAlign w:val="bottom"/>
          </w:tcPr>
          <w:p w14:paraId="068AF4A9"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95</w:t>
            </w:r>
          </w:p>
        </w:tc>
      </w:tr>
      <w:tr w:rsidR="00F46AE4" w:rsidRPr="00F46AE4" w14:paraId="17D143ED" w14:textId="77777777" w:rsidTr="00F46AE4">
        <w:trPr>
          <w:cantSplit/>
        </w:trPr>
        <w:tc>
          <w:tcPr>
            <w:tcW w:w="1417" w:type="dxa"/>
            <w:tcBorders>
              <w:top w:val="nil"/>
              <w:bottom w:val="nil"/>
            </w:tcBorders>
            <w:shd w:val="clear" w:color="auto" w:fill="auto"/>
          </w:tcPr>
          <w:p w14:paraId="5FE6D84A"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strike/>
                <w:color w:val="000000" w:themeColor="text1"/>
                <w:sz w:val="18"/>
                <w:szCs w:val="18"/>
              </w:rPr>
              <w:t>500 - 512</w:t>
            </w:r>
          </w:p>
        </w:tc>
        <w:tc>
          <w:tcPr>
            <w:tcW w:w="1417" w:type="dxa"/>
            <w:tcBorders>
              <w:top w:val="nil"/>
              <w:bottom w:val="nil"/>
            </w:tcBorders>
            <w:shd w:val="clear" w:color="auto" w:fill="auto"/>
            <w:vAlign w:val="bottom"/>
          </w:tcPr>
          <w:p w14:paraId="3604729D"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p>
        </w:tc>
        <w:tc>
          <w:tcPr>
            <w:tcW w:w="1418" w:type="dxa"/>
            <w:tcBorders>
              <w:top w:val="nil"/>
              <w:bottom w:val="nil"/>
            </w:tcBorders>
            <w:shd w:val="clear" w:color="auto" w:fill="auto"/>
            <w:vAlign w:val="bottom"/>
          </w:tcPr>
          <w:p w14:paraId="63ADC1CE"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840 - 852</w:t>
            </w:r>
          </w:p>
        </w:tc>
        <w:tc>
          <w:tcPr>
            <w:tcW w:w="1417" w:type="dxa"/>
            <w:tcBorders>
              <w:top w:val="nil"/>
              <w:bottom w:val="nil"/>
            </w:tcBorders>
            <w:shd w:val="clear" w:color="auto" w:fill="auto"/>
            <w:vAlign w:val="bottom"/>
          </w:tcPr>
          <w:p w14:paraId="1BF0F4B3"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69</w:t>
            </w:r>
          </w:p>
        </w:tc>
        <w:tc>
          <w:tcPr>
            <w:tcW w:w="1417" w:type="dxa"/>
            <w:tcBorders>
              <w:top w:val="nil"/>
              <w:bottom w:val="nil"/>
            </w:tcBorders>
            <w:shd w:val="clear" w:color="auto" w:fill="auto"/>
            <w:vAlign w:val="bottom"/>
          </w:tcPr>
          <w:p w14:paraId="05E829FC" w14:textId="77777777" w:rsidR="00F46AE4" w:rsidRPr="00F46AE4" w:rsidRDefault="00F46AE4" w:rsidP="008333A9">
            <w:pPr>
              <w:suppressAutoHyphens w:val="0"/>
              <w:spacing w:before="40" w:after="40" w:line="220" w:lineRule="atLeast"/>
              <w:ind w:left="113" w:right="113"/>
              <w:rPr>
                <w:color w:val="000000" w:themeColor="text1"/>
                <w:sz w:val="18"/>
                <w:szCs w:val="18"/>
              </w:rPr>
            </w:pPr>
            <w:r w:rsidRPr="00F46AE4">
              <w:rPr>
                <w:color w:val="000000" w:themeColor="text1"/>
                <w:sz w:val="18"/>
                <w:szCs w:val="18"/>
              </w:rPr>
              <w:t>1,207 - 1,220</w:t>
            </w:r>
          </w:p>
        </w:tc>
        <w:tc>
          <w:tcPr>
            <w:tcW w:w="1418" w:type="dxa"/>
            <w:tcBorders>
              <w:top w:val="nil"/>
              <w:bottom w:val="nil"/>
            </w:tcBorders>
            <w:shd w:val="clear" w:color="auto" w:fill="auto"/>
            <w:vAlign w:val="bottom"/>
          </w:tcPr>
          <w:p w14:paraId="369F4971" w14:textId="77777777" w:rsidR="00F46AE4" w:rsidRPr="00F46AE4" w:rsidRDefault="00F46AE4" w:rsidP="008333A9">
            <w:pPr>
              <w:suppressAutoHyphens w:val="0"/>
              <w:spacing w:before="40" w:after="40" w:line="220" w:lineRule="atLeast"/>
              <w:ind w:left="113" w:right="113"/>
              <w:jc w:val="right"/>
              <w:rPr>
                <w:color w:val="000000" w:themeColor="text1"/>
                <w:sz w:val="18"/>
                <w:szCs w:val="18"/>
              </w:rPr>
            </w:pPr>
            <w:r>
              <w:rPr>
                <w:color w:val="000000" w:themeColor="text1"/>
                <w:sz w:val="18"/>
                <w:szCs w:val="18"/>
              </w:rPr>
              <w:t>96</w:t>
            </w:r>
          </w:p>
        </w:tc>
      </w:tr>
      <w:tr w:rsidR="00F46AE4" w:rsidRPr="008333A9" w14:paraId="388CEA1E" w14:textId="77777777" w:rsidTr="00F46AE4">
        <w:trPr>
          <w:cantSplit/>
        </w:trPr>
        <w:tc>
          <w:tcPr>
            <w:tcW w:w="1417" w:type="dxa"/>
            <w:tcBorders>
              <w:top w:val="nil"/>
              <w:bottom w:val="nil"/>
            </w:tcBorders>
            <w:shd w:val="clear" w:color="auto" w:fill="auto"/>
          </w:tcPr>
          <w:p w14:paraId="5227A6B3"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strike/>
                <w:color w:val="000000" w:themeColor="text1"/>
                <w:sz w:val="18"/>
                <w:szCs w:val="18"/>
              </w:rPr>
              <w:t>513 - 526</w:t>
            </w:r>
          </w:p>
        </w:tc>
        <w:tc>
          <w:tcPr>
            <w:tcW w:w="1417" w:type="dxa"/>
            <w:tcBorders>
              <w:top w:val="nil"/>
              <w:bottom w:val="nil"/>
            </w:tcBorders>
            <w:shd w:val="clear" w:color="auto" w:fill="auto"/>
            <w:vAlign w:val="bottom"/>
          </w:tcPr>
          <w:p w14:paraId="5633056E"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strike/>
                <w:color w:val="000000" w:themeColor="text1"/>
                <w:sz w:val="18"/>
                <w:szCs w:val="18"/>
              </w:rPr>
              <w:t>44</w:t>
            </w:r>
          </w:p>
        </w:tc>
        <w:tc>
          <w:tcPr>
            <w:tcW w:w="1418" w:type="dxa"/>
            <w:tcBorders>
              <w:top w:val="nil"/>
              <w:bottom w:val="nil"/>
            </w:tcBorders>
            <w:shd w:val="clear" w:color="auto" w:fill="auto"/>
            <w:vAlign w:val="bottom"/>
          </w:tcPr>
          <w:p w14:paraId="7E643615"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color w:val="000000" w:themeColor="text1"/>
                <w:sz w:val="18"/>
                <w:szCs w:val="18"/>
              </w:rPr>
              <w:t>853 - 866</w:t>
            </w:r>
          </w:p>
        </w:tc>
        <w:tc>
          <w:tcPr>
            <w:tcW w:w="1417" w:type="dxa"/>
            <w:tcBorders>
              <w:top w:val="nil"/>
              <w:bottom w:val="nil"/>
            </w:tcBorders>
            <w:shd w:val="clear" w:color="auto" w:fill="auto"/>
            <w:vAlign w:val="bottom"/>
          </w:tcPr>
          <w:p w14:paraId="657BBDC3"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color w:val="000000" w:themeColor="text1"/>
                <w:sz w:val="18"/>
                <w:szCs w:val="18"/>
              </w:rPr>
              <w:t>70</w:t>
            </w:r>
          </w:p>
        </w:tc>
        <w:tc>
          <w:tcPr>
            <w:tcW w:w="1417" w:type="dxa"/>
            <w:tcBorders>
              <w:top w:val="nil"/>
              <w:bottom w:val="nil"/>
            </w:tcBorders>
            <w:shd w:val="clear" w:color="auto" w:fill="auto"/>
            <w:vAlign w:val="bottom"/>
          </w:tcPr>
          <w:p w14:paraId="572BBEAD"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color w:val="000000" w:themeColor="text1"/>
                <w:sz w:val="18"/>
                <w:szCs w:val="18"/>
              </w:rPr>
              <w:t>1,221 - 1,233</w:t>
            </w:r>
          </w:p>
        </w:tc>
        <w:tc>
          <w:tcPr>
            <w:tcW w:w="1418" w:type="dxa"/>
            <w:tcBorders>
              <w:top w:val="nil"/>
              <w:bottom w:val="nil"/>
            </w:tcBorders>
            <w:shd w:val="clear" w:color="auto" w:fill="auto"/>
            <w:vAlign w:val="bottom"/>
          </w:tcPr>
          <w:p w14:paraId="443ECEB6"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color w:val="000000" w:themeColor="text1"/>
                <w:sz w:val="18"/>
                <w:szCs w:val="18"/>
              </w:rPr>
              <w:t>97</w:t>
            </w:r>
          </w:p>
        </w:tc>
      </w:tr>
      <w:tr w:rsidR="00F46AE4" w:rsidRPr="008333A9" w14:paraId="613A3BBA" w14:textId="77777777" w:rsidTr="00F46AE4">
        <w:trPr>
          <w:cantSplit/>
        </w:trPr>
        <w:tc>
          <w:tcPr>
            <w:tcW w:w="1417" w:type="dxa"/>
            <w:tcBorders>
              <w:top w:val="nil"/>
              <w:bottom w:val="nil"/>
            </w:tcBorders>
            <w:shd w:val="clear" w:color="auto" w:fill="auto"/>
          </w:tcPr>
          <w:p w14:paraId="10FE5E1D"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strike/>
                <w:color w:val="000000" w:themeColor="text1"/>
                <w:sz w:val="18"/>
                <w:szCs w:val="18"/>
              </w:rPr>
              <w:t>527 - 540</w:t>
            </w:r>
          </w:p>
        </w:tc>
        <w:tc>
          <w:tcPr>
            <w:tcW w:w="1417" w:type="dxa"/>
            <w:tcBorders>
              <w:top w:val="nil"/>
              <w:bottom w:val="nil"/>
            </w:tcBorders>
            <w:shd w:val="clear" w:color="auto" w:fill="auto"/>
            <w:vAlign w:val="bottom"/>
          </w:tcPr>
          <w:p w14:paraId="096D3084"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strike/>
                <w:color w:val="000000" w:themeColor="text1"/>
                <w:sz w:val="18"/>
                <w:szCs w:val="18"/>
              </w:rPr>
              <w:t>45</w:t>
            </w:r>
          </w:p>
        </w:tc>
        <w:tc>
          <w:tcPr>
            <w:tcW w:w="1418" w:type="dxa"/>
            <w:tcBorders>
              <w:top w:val="nil"/>
              <w:bottom w:val="nil"/>
            </w:tcBorders>
            <w:shd w:val="clear" w:color="auto" w:fill="auto"/>
            <w:vAlign w:val="bottom"/>
          </w:tcPr>
          <w:p w14:paraId="3CEAF159"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color w:val="000000" w:themeColor="text1"/>
                <w:sz w:val="18"/>
                <w:szCs w:val="18"/>
              </w:rPr>
              <w:t>867 - 880</w:t>
            </w:r>
          </w:p>
        </w:tc>
        <w:tc>
          <w:tcPr>
            <w:tcW w:w="1417" w:type="dxa"/>
            <w:tcBorders>
              <w:top w:val="nil"/>
              <w:bottom w:val="nil"/>
            </w:tcBorders>
            <w:shd w:val="clear" w:color="auto" w:fill="auto"/>
            <w:vAlign w:val="bottom"/>
          </w:tcPr>
          <w:p w14:paraId="1C39C26B"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color w:val="000000" w:themeColor="text1"/>
                <w:sz w:val="18"/>
                <w:szCs w:val="18"/>
              </w:rPr>
              <w:t>71</w:t>
            </w:r>
          </w:p>
        </w:tc>
        <w:tc>
          <w:tcPr>
            <w:tcW w:w="1417" w:type="dxa"/>
            <w:tcBorders>
              <w:top w:val="nil"/>
              <w:bottom w:val="nil"/>
            </w:tcBorders>
            <w:shd w:val="clear" w:color="auto" w:fill="auto"/>
            <w:vAlign w:val="bottom"/>
          </w:tcPr>
          <w:p w14:paraId="6EE4499A" w14:textId="77777777" w:rsidR="00F46AE4" w:rsidRPr="008333A9" w:rsidRDefault="00F46AE4" w:rsidP="00F46AE4">
            <w:pPr>
              <w:suppressAutoHyphens w:val="0"/>
              <w:spacing w:before="40" w:after="40" w:line="220" w:lineRule="atLeast"/>
              <w:ind w:left="113" w:right="113"/>
              <w:rPr>
                <w:b/>
                <w:bCs/>
                <w:color w:val="000000" w:themeColor="text1"/>
                <w:sz w:val="18"/>
                <w:szCs w:val="18"/>
              </w:rPr>
            </w:pPr>
            <w:r w:rsidRPr="00F46AE4">
              <w:rPr>
                <w:color w:val="000000" w:themeColor="text1"/>
                <w:sz w:val="18"/>
                <w:szCs w:val="18"/>
              </w:rPr>
              <w:t>1,234 - 1,249</w:t>
            </w:r>
          </w:p>
        </w:tc>
        <w:tc>
          <w:tcPr>
            <w:tcW w:w="1418" w:type="dxa"/>
            <w:tcBorders>
              <w:top w:val="nil"/>
              <w:bottom w:val="nil"/>
            </w:tcBorders>
            <w:shd w:val="clear" w:color="auto" w:fill="auto"/>
            <w:vAlign w:val="bottom"/>
          </w:tcPr>
          <w:p w14:paraId="46E884C4" w14:textId="77777777" w:rsidR="00F46AE4" w:rsidRPr="008333A9" w:rsidRDefault="00F46AE4" w:rsidP="00F46AE4">
            <w:pPr>
              <w:suppressAutoHyphens w:val="0"/>
              <w:spacing w:before="40" w:after="40" w:line="220" w:lineRule="atLeast"/>
              <w:ind w:left="113" w:right="113"/>
              <w:jc w:val="right"/>
              <w:rPr>
                <w:b/>
                <w:bCs/>
                <w:color w:val="000000" w:themeColor="text1"/>
                <w:sz w:val="18"/>
                <w:szCs w:val="18"/>
              </w:rPr>
            </w:pPr>
            <w:r w:rsidRPr="00F46AE4">
              <w:rPr>
                <w:color w:val="000000" w:themeColor="text1"/>
                <w:sz w:val="18"/>
                <w:szCs w:val="18"/>
              </w:rPr>
              <w:t>98</w:t>
            </w:r>
          </w:p>
        </w:tc>
      </w:tr>
      <w:tr w:rsidR="00F46AE4" w:rsidRPr="008333A9" w14:paraId="081CA951" w14:textId="77777777" w:rsidTr="00F46AE4">
        <w:trPr>
          <w:cantSplit/>
        </w:trPr>
        <w:tc>
          <w:tcPr>
            <w:tcW w:w="1417" w:type="dxa"/>
            <w:tcBorders>
              <w:top w:val="nil"/>
              <w:bottom w:val="single" w:sz="12" w:space="0" w:color="auto"/>
            </w:tcBorders>
            <w:shd w:val="clear" w:color="auto" w:fill="auto"/>
          </w:tcPr>
          <w:p w14:paraId="12123753" w14:textId="77777777" w:rsidR="00F46AE4" w:rsidRPr="008333A9" w:rsidRDefault="00F46AE4" w:rsidP="008333A9">
            <w:pPr>
              <w:suppressAutoHyphens w:val="0"/>
              <w:spacing w:before="40" w:after="40" w:line="220" w:lineRule="atLeast"/>
              <w:ind w:left="113" w:right="113"/>
              <w:rPr>
                <w:b/>
                <w:bCs/>
                <w:color w:val="000000" w:themeColor="text1"/>
                <w:sz w:val="18"/>
                <w:szCs w:val="18"/>
              </w:rPr>
            </w:pPr>
          </w:p>
        </w:tc>
        <w:tc>
          <w:tcPr>
            <w:tcW w:w="1417" w:type="dxa"/>
            <w:tcBorders>
              <w:top w:val="nil"/>
              <w:bottom w:val="single" w:sz="12" w:space="0" w:color="auto"/>
            </w:tcBorders>
            <w:shd w:val="clear" w:color="auto" w:fill="auto"/>
            <w:vAlign w:val="bottom"/>
          </w:tcPr>
          <w:p w14:paraId="5FE11C14" w14:textId="77777777" w:rsidR="00F46AE4" w:rsidRPr="008333A9" w:rsidRDefault="00F46AE4" w:rsidP="008333A9">
            <w:pPr>
              <w:suppressAutoHyphens w:val="0"/>
              <w:spacing w:before="40" w:after="40" w:line="220" w:lineRule="atLeast"/>
              <w:ind w:left="113" w:right="113"/>
              <w:jc w:val="right"/>
              <w:rPr>
                <w:b/>
                <w:bCs/>
                <w:color w:val="000000" w:themeColor="text1"/>
                <w:sz w:val="18"/>
                <w:szCs w:val="18"/>
              </w:rPr>
            </w:pPr>
            <w:r w:rsidRPr="00F46AE4">
              <w:rPr>
                <w:strike/>
                <w:color w:val="000000" w:themeColor="text1"/>
                <w:sz w:val="18"/>
                <w:szCs w:val="18"/>
              </w:rPr>
              <w:t>46</w:t>
            </w:r>
          </w:p>
        </w:tc>
        <w:tc>
          <w:tcPr>
            <w:tcW w:w="1418" w:type="dxa"/>
            <w:tcBorders>
              <w:top w:val="nil"/>
              <w:bottom w:val="single" w:sz="12" w:space="0" w:color="auto"/>
            </w:tcBorders>
            <w:shd w:val="clear" w:color="auto" w:fill="auto"/>
            <w:vAlign w:val="bottom"/>
          </w:tcPr>
          <w:p w14:paraId="59FF1C8E" w14:textId="77777777" w:rsidR="00F46AE4" w:rsidRPr="008333A9" w:rsidRDefault="00F46AE4" w:rsidP="008333A9">
            <w:pPr>
              <w:suppressAutoHyphens w:val="0"/>
              <w:spacing w:before="40" w:after="40" w:line="220" w:lineRule="atLeast"/>
              <w:ind w:left="113" w:right="113"/>
              <w:rPr>
                <w:b/>
                <w:bCs/>
                <w:color w:val="000000" w:themeColor="text1"/>
                <w:sz w:val="18"/>
                <w:szCs w:val="18"/>
              </w:rPr>
            </w:pPr>
            <w:r w:rsidRPr="00F46AE4">
              <w:rPr>
                <w:strike/>
                <w:color w:val="000000" w:themeColor="text1"/>
                <w:sz w:val="18"/>
                <w:szCs w:val="18"/>
              </w:rPr>
              <w:t>881 - 893</w:t>
            </w:r>
          </w:p>
        </w:tc>
        <w:tc>
          <w:tcPr>
            <w:tcW w:w="1417" w:type="dxa"/>
            <w:tcBorders>
              <w:top w:val="nil"/>
              <w:bottom w:val="single" w:sz="12" w:space="0" w:color="auto"/>
            </w:tcBorders>
            <w:shd w:val="clear" w:color="auto" w:fill="auto"/>
            <w:vAlign w:val="bottom"/>
          </w:tcPr>
          <w:p w14:paraId="2AF76601" w14:textId="77777777" w:rsidR="00F46AE4" w:rsidRPr="008333A9" w:rsidRDefault="00F46AE4" w:rsidP="008333A9">
            <w:pPr>
              <w:suppressAutoHyphens w:val="0"/>
              <w:spacing w:before="40" w:after="40" w:line="220" w:lineRule="atLeast"/>
              <w:ind w:left="113" w:right="113"/>
              <w:jc w:val="right"/>
              <w:rPr>
                <w:b/>
                <w:bCs/>
                <w:color w:val="000000" w:themeColor="text1"/>
                <w:sz w:val="18"/>
                <w:szCs w:val="18"/>
              </w:rPr>
            </w:pPr>
            <w:r w:rsidRPr="00F46AE4">
              <w:rPr>
                <w:strike/>
                <w:color w:val="000000" w:themeColor="text1"/>
                <w:sz w:val="18"/>
                <w:szCs w:val="18"/>
              </w:rPr>
              <w:t>72</w:t>
            </w:r>
          </w:p>
        </w:tc>
        <w:tc>
          <w:tcPr>
            <w:tcW w:w="1417" w:type="dxa"/>
            <w:tcBorders>
              <w:top w:val="nil"/>
              <w:bottom w:val="single" w:sz="12" w:space="0" w:color="auto"/>
            </w:tcBorders>
            <w:shd w:val="clear" w:color="auto" w:fill="auto"/>
            <w:vAlign w:val="bottom"/>
          </w:tcPr>
          <w:p w14:paraId="7010F5D9" w14:textId="77777777" w:rsidR="00F46AE4" w:rsidRPr="008333A9" w:rsidRDefault="00F46AE4" w:rsidP="008333A9">
            <w:pPr>
              <w:suppressAutoHyphens w:val="0"/>
              <w:spacing w:before="40" w:after="40" w:line="220" w:lineRule="atLeast"/>
              <w:ind w:left="113" w:right="113"/>
              <w:rPr>
                <w:b/>
                <w:bCs/>
                <w:color w:val="000000" w:themeColor="text1"/>
                <w:sz w:val="18"/>
                <w:szCs w:val="18"/>
              </w:rPr>
            </w:pPr>
          </w:p>
        </w:tc>
        <w:tc>
          <w:tcPr>
            <w:tcW w:w="1418" w:type="dxa"/>
            <w:tcBorders>
              <w:top w:val="nil"/>
              <w:bottom w:val="single" w:sz="12" w:space="0" w:color="auto"/>
            </w:tcBorders>
            <w:shd w:val="clear" w:color="auto" w:fill="auto"/>
            <w:vAlign w:val="bottom"/>
          </w:tcPr>
          <w:p w14:paraId="55B47C98" w14:textId="77777777" w:rsidR="00F46AE4" w:rsidRPr="008333A9" w:rsidRDefault="00F46AE4" w:rsidP="008333A9">
            <w:pPr>
              <w:suppressAutoHyphens w:val="0"/>
              <w:spacing w:before="40" w:after="40" w:line="220" w:lineRule="atLeast"/>
              <w:ind w:left="113" w:right="113"/>
              <w:jc w:val="right"/>
              <w:rPr>
                <w:b/>
                <w:bCs/>
                <w:color w:val="000000" w:themeColor="text1"/>
                <w:sz w:val="18"/>
                <w:szCs w:val="18"/>
              </w:rPr>
            </w:pPr>
          </w:p>
        </w:tc>
      </w:tr>
    </w:tbl>
    <w:p w14:paraId="4E983096" w14:textId="77777777" w:rsidR="00A34D73" w:rsidRPr="00A87926" w:rsidRDefault="00A34D73" w:rsidP="008333A9">
      <w:pPr>
        <w:pStyle w:val="SingleTxtG"/>
      </w:pPr>
      <w:r w:rsidRPr="00A87926">
        <w:t>».</w:t>
      </w:r>
    </w:p>
    <w:p w14:paraId="3F8CD21E" w14:textId="77777777" w:rsidR="00A34D73" w:rsidRPr="00A87926" w:rsidRDefault="00A34D73" w:rsidP="008333A9">
      <w:pPr>
        <w:pStyle w:val="SingleTxtG"/>
      </w:pPr>
      <w:r w:rsidRPr="008333A9">
        <w:rPr>
          <w:i/>
          <w:iCs/>
        </w:rPr>
        <w:t xml:space="preserve">Annexe 9 </w:t>
      </w:r>
      <w:bookmarkStart w:id="10" w:name="_Hlk49860837"/>
      <w:r w:rsidRPr="008333A9">
        <w:rPr>
          <w:i/>
          <w:iCs/>
        </w:rPr>
        <w:t>(dans la nouvelle numérotation)</w:t>
      </w:r>
      <w:bookmarkEnd w:id="10"/>
      <w:r w:rsidRPr="008333A9">
        <w:rPr>
          <w:i/>
          <w:iCs/>
        </w:rPr>
        <w:t>, paragraphes 1, 2 et 4</w:t>
      </w:r>
      <w:r w:rsidRPr="00A87926">
        <w:t>, supprimer «</w:t>
      </w:r>
      <w:r w:rsidR="008333A9">
        <w:t> à</w:t>
      </w:r>
      <w:r w:rsidRPr="00A87926">
        <w:t xml:space="preserve"> </w:t>
      </w:r>
      <w:r w:rsidRPr="00A34D73">
        <w:t>incandescence</w:t>
      </w:r>
      <w:r w:rsidR="008333A9">
        <w:t> </w:t>
      </w:r>
      <w:r w:rsidRPr="00A87926">
        <w:t>».</w:t>
      </w:r>
    </w:p>
    <w:p w14:paraId="1865AAC2" w14:textId="77777777" w:rsidR="00A34D73" w:rsidRPr="00A87926" w:rsidRDefault="00A34D73" w:rsidP="008333A9">
      <w:pPr>
        <w:pStyle w:val="SingleTxtG"/>
      </w:pPr>
      <w:r w:rsidRPr="008333A9">
        <w:rPr>
          <w:i/>
          <w:iCs/>
        </w:rPr>
        <w:t>Annexe 10 (dans la nouvelle numérotation), texte d’introduction et notes * et **</w:t>
      </w:r>
      <w:r w:rsidRPr="00A87926">
        <w:t xml:space="preserve">, supprimer </w:t>
      </w:r>
      <w:r w:rsidR="008333A9">
        <w:t>« </w:t>
      </w:r>
      <w:r w:rsidRPr="00A87926">
        <w:t xml:space="preserve">à </w:t>
      </w:r>
      <w:r w:rsidRPr="00A34D73">
        <w:t>incandescence</w:t>
      </w:r>
      <w:r w:rsidR="008333A9">
        <w:t> </w:t>
      </w:r>
      <w:r w:rsidRPr="00A87926">
        <w:t>».</w:t>
      </w:r>
    </w:p>
    <w:p w14:paraId="0F54907F" w14:textId="77777777" w:rsidR="00A34D73" w:rsidRPr="00A87926" w:rsidRDefault="008333A9" w:rsidP="008333A9">
      <w:pPr>
        <w:pStyle w:val="HChG"/>
      </w:pPr>
      <w:r>
        <w:tab/>
      </w:r>
      <w:r w:rsidR="00A34D73" w:rsidRPr="00A87926">
        <w:t>II.</w:t>
      </w:r>
      <w:r w:rsidR="00A34D73" w:rsidRPr="00A87926">
        <w:tab/>
        <w:t>Justification</w:t>
      </w:r>
    </w:p>
    <w:p w14:paraId="3A381E92" w14:textId="77777777" w:rsidR="00A34D73" w:rsidRPr="00A87926" w:rsidRDefault="00A34D73" w:rsidP="00A34D73">
      <w:pPr>
        <w:pStyle w:val="SingleTxtG"/>
        <w:ind w:firstLine="567"/>
      </w:pPr>
      <w:r w:rsidRPr="00A87926">
        <w:t>La présente proposition introduit les sources lumineuses à DEL de remplacement (</w:t>
      </w:r>
      <w:proofErr w:type="spellStart"/>
      <w:r w:rsidRPr="00A87926">
        <w:t>DELr</w:t>
      </w:r>
      <w:proofErr w:type="spellEnd"/>
      <w:r w:rsidRPr="00A87926">
        <w:t>) dans le Règlement ONU n</w:t>
      </w:r>
      <w:r w:rsidRPr="00A87926">
        <w:rPr>
          <w:vertAlign w:val="superscript"/>
        </w:rPr>
        <w:t>o</w:t>
      </w:r>
      <w:r w:rsidR="008333A9">
        <w:t> </w:t>
      </w:r>
      <w:r w:rsidRPr="00A87926">
        <w:t>37, dans le cadre d’un ensemble de propositions qui visent à</w:t>
      </w:r>
      <w:r>
        <w:t> :</w:t>
      </w:r>
    </w:p>
    <w:p w14:paraId="15F996FE" w14:textId="77777777" w:rsidR="00A34D73" w:rsidRPr="00A87926" w:rsidRDefault="00A34D73" w:rsidP="00A34D73">
      <w:pPr>
        <w:pStyle w:val="SingleTxtG"/>
        <w:ind w:firstLine="567"/>
        <w:rPr>
          <w:bCs/>
          <w:color w:val="000000" w:themeColor="text1"/>
        </w:rPr>
      </w:pPr>
      <w:r w:rsidRPr="00A87926">
        <w:rPr>
          <w:bCs/>
          <w:color w:val="000000" w:themeColor="text1"/>
        </w:rPr>
        <w:t>a)</w:t>
      </w:r>
      <w:r w:rsidRPr="00A87926">
        <w:rPr>
          <w:bCs/>
          <w:color w:val="000000" w:themeColor="text1"/>
        </w:rPr>
        <w:tab/>
        <w:t>Exclure la possibilité d’homologation de sources lumineuses à DEL de remplacement en vertu du Règlement ONU n</w:t>
      </w:r>
      <w:r w:rsidRPr="00A87926">
        <w:rPr>
          <w:bCs/>
          <w:color w:val="000000" w:themeColor="text1"/>
          <w:vertAlign w:val="superscript"/>
        </w:rPr>
        <w:t>o</w:t>
      </w:r>
      <w:r w:rsidR="008333A9">
        <w:rPr>
          <w:bCs/>
          <w:color w:val="000000" w:themeColor="text1"/>
        </w:rPr>
        <w:t> </w:t>
      </w:r>
      <w:r w:rsidRPr="00A87926">
        <w:rPr>
          <w:bCs/>
          <w:color w:val="000000" w:themeColor="text1"/>
        </w:rPr>
        <w:t>128</w:t>
      </w:r>
      <w:r>
        <w:rPr>
          <w:bCs/>
          <w:color w:val="000000" w:themeColor="text1"/>
        </w:rPr>
        <w:t> ;</w:t>
      </w:r>
    </w:p>
    <w:p w14:paraId="23223A7C" w14:textId="77777777" w:rsidR="00A34D73" w:rsidRPr="00A87926" w:rsidRDefault="00A34D73" w:rsidP="00A34D73">
      <w:pPr>
        <w:pStyle w:val="SingleTxtG"/>
        <w:ind w:firstLine="567"/>
        <w:rPr>
          <w:bCs/>
          <w:color w:val="000000" w:themeColor="text1"/>
        </w:rPr>
      </w:pPr>
      <w:r w:rsidRPr="00A87926">
        <w:rPr>
          <w:bCs/>
          <w:color w:val="000000" w:themeColor="text1"/>
        </w:rPr>
        <w:t>b) Ajouter une première catégorie de sources lumineuses à DEL de remplacement (</w:t>
      </w:r>
      <w:proofErr w:type="spellStart"/>
      <w:r w:rsidRPr="00A87926">
        <w:rPr>
          <w:bCs/>
          <w:color w:val="000000" w:themeColor="text1"/>
        </w:rPr>
        <w:t>DELr</w:t>
      </w:r>
      <w:proofErr w:type="spellEnd"/>
      <w:r w:rsidRPr="00A87926">
        <w:rPr>
          <w:bCs/>
          <w:color w:val="000000" w:themeColor="text1"/>
        </w:rPr>
        <w:t>), H11, dans la Résolution R.E.5</w:t>
      </w:r>
      <w:r>
        <w:rPr>
          <w:bCs/>
          <w:color w:val="000000" w:themeColor="text1"/>
        </w:rPr>
        <w:t> ;</w:t>
      </w:r>
    </w:p>
    <w:p w14:paraId="732A60F7" w14:textId="77777777" w:rsidR="00A34D73" w:rsidRPr="00A87926" w:rsidRDefault="00A34D73" w:rsidP="00A34D73">
      <w:pPr>
        <w:pStyle w:val="SingleTxtG"/>
        <w:ind w:firstLine="567"/>
        <w:rPr>
          <w:bCs/>
          <w:color w:val="000000" w:themeColor="text1"/>
        </w:rPr>
      </w:pPr>
      <w:r w:rsidRPr="00A87926">
        <w:rPr>
          <w:bCs/>
          <w:color w:val="000000" w:themeColor="text1"/>
        </w:rPr>
        <w:t>c)</w:t>
      </w:r>
      <w:r w:rsidRPr="00A87926">
        <w:rPr>
          <w:bCs/>
          <w:color w:val="000000" w:themeColor="text1"/>
        </w:rPr>
        <w:tab/>
        <w:t xml:space="preserve">Donner au GRE des renseignements sur le document intitulé </w:t>
      </w:r>
      <w:proofErr w:type="spellStart"/>
      <w:r w:rsidRPr="00A87926">
        <w:rPr>
          <w:bCs/>
          <w:i/>
          <w:iCs/>
          <w:color w:val="000000" w:themeColor="text1"/>
        </w:rPr>
        <w:t>Equivalence</w:t>
      </w:r>
      <w:proofErr w:type="spellEnd"/>
      <w:r w:rsidRPr="00A87926">
        <w:rPr>
          <w:bCs/>
          <w:i/>
          <w:iCs/>
          <w:color w:val="000000" w:themeColor="text1"/>
        </w:rPr>
        <w:t xml:space="preserve"> </w:t>
      </w:r>
      <w:proofErr w:type="spellStart"/>
      <w:r w:rsidRPr="00A87926">
        <w:rPr>
          <w:bCs/>
          <w:i/>
          <w:iCs/>
          <w:color w:val="000000" w:themeColor="text1"/>
        </w:rPr>
        <w:t>Criteria</w:t>
      </w:r>
      <w:proofErr w:type="spellEnd"/>
      <w:r w:rsidRPr="00A87926">
        <w:rPr>
          <w:bCs/>
          <w:i/>
          <w:iCs/>
          <w:color w:val="000000" w:themeColor="text1"/>
        </w:rPr>
        <w:t xml:space="preserve">, Guide for </w:t>
      </w:r>
      <w:proofErr w:type="spellStart"/>
      <w:r w:rsidRPr="00A87926">
        <w:rPr>
          <w:bCs/>
          <w:i/>
          <w:iCs/>
          <w:color w:val="000000" w:themeColor="text1"/>
        </w:rPr>
        <w:t>specifying</w:t>
      </w:r>
      <w:proofErr w:type="spellEnd"/>
      <w:r w:rsidRPr="00A87926">
        <w:rPr>
          <w:bCs/>
          <w:i/>
          <w:iCs/>
          <w:color w:val="000000" w:themeColor="text1"/>
        </w:rPr>
        <w:t xml:space="preserve"> DEL replacement light source </w:t>
      </w:r>
      <w:proofErr w:type="spellStart"/>
      <w:r w:rsidRPr="00A87926">
        <w:rPr>
          <w:bCs/>
          <w:i/>
          <w:iCs/>
          <w:color w:val="000000" w:themeColor="text1"/>
        </w:rPr>
        <w:t>categories</w:t>
      </w:r>
      <w:proofErr w:type="spellEnd"/>
      <w:r w:rsidRPr="00A87926">
        <w:rPr>
          <w:bCs/>
          <w:i/>
          <w:iCs/>
          <w:color w:val="000000" w:themeColor="text1"/>
        </w:rPr>
        <w:t xml:space="preserve"> as </w:t>
      </w:r>
      <w:proofErr w:type="spellStart"/>
      <w:r w:rsidRPr="00A87926">
        <w:rPr>
          <w:bCs/>
          <w:i/>
          <w:iCs/>
          <w:color w:val="000000" w:themeColor="text1"/>
        </w:rPr>
        <w:t>equivalents</w:t>
      </w:r>
      <w:proofErr w:type="spellEnd"/>
      <w:r w:rsidRPr="00A87926">
        <w:rPr>
          <w:bCs/>
          <w:i/>
          <w:iCs/>
          <w:color w:val="000000" w:themeColor="text1"/>
        </w:rPr>
        <w:t xml:space="preserve"> for </w:t>
      </w:r>
      <w:proofErr w:type="spellStart"/>
      <w:r w:rsidRPr="00A87926">
        <w:rPr>
          <w:bCs/>
          <w:i/>
          <w:iCs/>
          <w:color w:val="000000" w:themeColor="text1"/>
        </w:rPr>
        <w:t>corresponding</w:t>
      </w:r>
      <w:proofErr w:type="spellEnd"/>
      <w:r w:rsidRPr="00A87926">
        <w:rPr>
          <w:bCs/>
          <w:i/>
          <w:iCs/>
          <w:color w:val="000000" w:themeColor="text1"/>
        </w:rPr>
        <w:t xml:space="preserve"> filament light source </w:t>
      </w:r>
      <w:proofErr w:type="spellStart"/>
      <w:r w:rsidRPr="00A87926">
        <w:rPr>
          <w:bCs/>
          <w:i/>
          <w:iCs/>
          <w:color w:val="000000" w:themeColor="text1"/>
        </w:rPr>
        <w:t>categories</w:t>
      </w:r>
      <w:proofErr w:type="spellEnd"/>
      <w:r w:rsidRPr="00A87926">
        <w:rPr>
          <w:bCs/>
          <w:i/>
          <w:iCs/>
          <w:color w:val="000000" w:themeColor="text1"/>
        </w:rPr>
        <w:t>,</w:t>
      </w:r>
      <w:r w:rsidRPr="00A87926">
        <w:rPr>
          <w:bCs/>
          <w:color w:val="000000" w:themeColor="text1"/>
        </w:rPr>
        <w:t xml:space="preserve"> qui devrait être publié sur le site Web du Groupe de travail de l’éclairage et de la signalisation lumineuse (GRE), dans la section «Documents for </w:t>
      </w:r>
      <w:proofErr w:type="spellStart"/>
      <w:r w:rsidRPr="00A87926">
        <w:rPr>
          <w:bCs/>
          <w:color w:val="000000" w:themeColor="text1"/>
        </w:rPr>
        <w:t>reference</w:t>
      </w:r>
      <w:proofErr w:type="spellEnd"/>
      <w:r w:rsidRPr="00A87926">
        <w:rPr>
          <w:bCs/>
          <w:color w:val="000000" w:themeColor="text1"/>
        </w:rPr>
        <w:t xml:space="preserve"> </w:t>
      </w:r>
      <w:proofErr w:type="spellStart"/>
      <w:r w:rsidRPr="00A87926">
        <w:rPr>
          <w:bCs/>
          <w:color w:val="000000" w:themeColor="text1"/>
        </w:rPr>
        <w:t>only</w:t>
      </w:r>
      <w:proofErr w:type="spellEnd"/>
      <w:r w:rsidRPr="00A87926">
        <w:rPr>
          <w:bCs/>
          <w:color w:val="000000" w:themeColor="text1"/>
        </w:rPr>
        <w:t>».</w:t>
      </w:r>
    </w:p>
    <w:p w14:paraId="3BD6CD3B" w14:textId="77777777" w:rsidR="00F9573C" w:rsidRPr="00A34D73" w:rsidRDefault="00A34D73" w:rsidP="00A34D73">
      <w:pPr>
        <w:pStyle w:val="SingleTxtG"/>
        <w:spacing w:before="240" w:after="0"/>
        <w:jc w:val="center"/>
        <w:rPr>
          <w:u w:val="single"/>
        </w:rPr>
      </w:pPr>
      <w:r>
        <w:rPr>
          <w:u w:val="single"/>
        </w:rPr>
        <w:tab/>
      </w:r>
      <w:r>
        <w:rPr>
          <w:u w:val="single"/>
        </w:rPr>
        <w:tab/>
      </w:r>
      <w:r>
        <w:rPr>
          <w:u w:val="single"/>
        </w:rPr>
        <w:tab/>
      </w:r>
    </w:p>
    <w:sectPr w:rsidR="00F9573C" w:rsidRPr="00A34D73" w:rsidSect="00A34D73">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1796" w14:textId="77777777" w:rsidR="0077447F" w:rsidRDefault="0077447F" w:rsidP="00F95C08">
      <w:pPr>
        <w:spacing w:line="240" w:lineRule="auto"/>
      </w:pPr>
    </w:p>
  </w:endnote>
  <w:endnote w:type="continuationSeparator" w:id="0">
    <w:p w14:paraId="441E1E47" w14:textId="77777777" w:rsidR="0077447F" w:rsidRPr="00AC3823" w:rsidRDefault="0077447F" w:rsidP="00AC3823">
      <w:pPr>
        <w:pStyle w:val="Pieddepage"/>
      </w:pPr>
    </w:p>
  </w:endnote>
  <w:endnote w:type="continuationNotice" w:id="1">
    <w:p w14:paraId="09156EE1" w14:textId="77777777" w:rsidR="0077447F" w:rsidRDefault="00774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B850" w14:textId="77777777" w:rsidR="0077447F" w:rsidRPr="00A34D73" w:rsidRDefault="0077447F" w:rsidP="00A34D73">
    <w:pPr>
      <w:pStyle w:val="Pieddepage"/>
      <w:tabs>
        <w:tab w:val="right" w:pos="9638"/>
      </w:tabs>
    </w:pPr>
    <w:r w:rsidRPr="00A34D73">
      <w:rPr>
        <w:b/>
        <w:sz w:val="18"/>
      </w:rPr>
      <w:fldChar w:fldCharType="begin"/>
    </w:r>
    <w:r w:rsidRPr="00A34D73">
      <w:rPr>
        <w:b/>
        <w:sz w:val="18"/>
      </w:rPr>
      <w:instrText xml:space="preserve"> PAGE  \* MERGEFORMAT </w:instrText>
    </w:r>
    <w:r w:rsidRPr="00A34D73">
      <w:rPr>
        <w:b/>
        <w:sz w:val="18"/>
      </w:rPr>
      <w:fldChar w:fldCharType="separate"/>
    </w:r>
    <w:r w:rsidRPr="00A34D73">
      <w:rPr>
        <w:b/>
        <w:noProof/>
        <w:sz w:val="18"/>
      </w:rPr>
      <w:t>2</w:t>
    </w:r>
    <w:r w:rsidRPr="00A34D73">
      <w:rPr>
        <w:b/>
        <w:sz w:val="18"/>
      </w:rPr>
      <w:fldChar w:fldCharType="end"/>
    </w:r>
    <w:r>
      <w:rPr>
        <w:b/>
        <w:sz w:val="18"/>
      </w:rPr>
      <w:tab/>
    </w:r>
    <w:r>
      <w:t>GE.20-10232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2928" w14:textId="77777777" w:rsidR="0077447F" w:rsidRPr="00A34D73" w:rsidRDefault="0077447F" w:rsidP="00A34D73">
    <w:pPr>
      <w:pStyle w:val="Pieddepage"/>
      <w:tabs>
        <w:tab w:val="right" w:pos="9638"/>
      </w:tabs>
      <w:rPr>
        <w:b/>
        <w:sz w:val="18"/>
      </w:rPr>
    </w:pPr>
    <w:r>
      <w:t>GE.20-10232</w:t>
    </w:r>
    <w:r>
      <w:tab/>
    </w:r>
    <w:r w:rsidRPr="00A34D73">
      <w:rPr>
        <w:b/>
        <w:sz w:val="18"/>
      </w:rPr>
      <w:fldChar w:fldCharType="begin"/>
    </w:r>
    <w:r w:rsidRPr="00A34D73">
      <w:rPr>
        <w:b/>
        <w:sz w:val="18"/>
      </w:rPr>
      <w:instrText xml:space="preserve"> PAGE  \* MERGEFORMAT </w:instrText>
    </w:r>
    <w:r w:rsidRPr="00A34D73">
      <w:rPr>
        <w:b/>
        <w:sz w:val="18"/>
      </w:rPr>
      <w:fldChar w:fldCharType="separate"/>
    </w:r>
    <w:r w:rsidRPr="00A34D73">
      <w:rPr>
        <w:b/>
        <w:noProof/>
        <w:sz w:val="18"/>
      </w:rPr>
      <w:t>3</w:t>
    </w:r>
    <w:r w:rsidRPr="00A34D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D63A" w14:textId="1D1FB273" w:rsidR="0077447F" w:rsidRPr="00A34D73" w:rsidRDefault="0077447F" w:rsidP="00A34D7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89E0D7B" wp14:editId="0277F0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20-10232  (F)    020920    0</w:t>
    </w:r>
    <w:r w:rsidR="00C34A0E">
      <w:rPr>
        <w:sz w:val="20"/>
      </w:rPr>
      <w:t>3</w:t>
    </w:r>
    <w:r>
      <w:rPr>
        <w:sz w:val="20"/>
      </w:rPr>
      <w:t>0920</w:t>
    </w:r>
    <w:r>
      <w:rPr>
        <w:sz w:val="20"/>
      </w:rPr>
      <w:br/>
    </w:r>
    <w:r w:rsidRPr="00A34D73">
      <w:rPr>
        <w:rFonts w:ascii="C39T30Lfz" w:hAnsi="C39T30Lfz"/>
        <w:sz w:val="56"/>
      </w:rPr>
      <w:t>*2010232*</w:t>
    </w:r>
    <w:r>
      <w:rPr>
        <w:noProof/>
        <w:sz w:val="20"/>
      </w:rPr>
      <w:drawing>
        <wp:anchor distT="0" distB="0" distL="114300" distR="114300" simplePos="0" relativeHeight="251658240" behindDoc="0" locked="0" layoutInCell="1" allowOverlap="1" wp14:anchorId="4E612010" wp14:editId="7F17D95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2C18" w14:textId="77777777" w:rsidR="0077447F" w:rsidRPr="00AC3823" w:rsidRDefault="0077447F" w:rsidP="00AC3823">
      <w:pPr>
        <w:pStyle w:val="Pieddepage"/>
        <w:tabs>
          <w:tab w:val="right" w:pos="2155"/>
        </w:tabs>
        <w:spacing w:after="80" w:line="240" w:lineRule="atLeast"/>
        <w:ind w:left="680"/>
        <w:rPr>
          <w:u w:val="single"/>
        </w:rPr>
      </w:pPr>
      <w:r>
        <w:rPr>
          <w:u w:val="single"/>
        </w:rPr>
        <w:tab/>
      </w:r>
    </w:p>
  </w:footnote>
  <w:footnote w:type="continuationSeparator" w:id="0">
    <w:p w14:paraId="5A5BD416" w14:textId="77777777" w:rsidR="0077447F" w:rsidRPr="00AC3823" w:rsidRDefault="0077447F" w:rsidP="00AC3823">
      <w:pPr>
        <w:pStyle w:val="Pieddepage"/>
        <w:tabs>
          <w:tab w:val="right" w:pos="2155"/>
        </w:tabs>
        <w:spacing w:after="80" w:line="240" w:lineRule="atLeast"/>
        <w:ind w:left="680"/>
        <w:rPr>
          <w:u w:val="single"/>
        </w:rPr>
      </w:pPr>
      <w:r>
        <w:rPr>
          <w:u w:val="single"/>
        </w:rPr>
        <w:tab/>
      </w:r>
    </w:p>
  </w:footnote>
  <w:footnote w:type="continuationNotice" w:id="1">
    <w:p w14:paraId="3E6ACA75" w14:textId="77777777" w:rsidR="0077447F" w:rsidRPr="00AC3823" w:rsidRDefault="0077447F">
      <w:pPr>
        <w:spacing w:line="240" w:lineRule="auto"/>
        <w:rPr>
          <w:sz w:val="2"/>
          <w:szCs w:val="2"/>
        </w:rPr>
      </w:pPr>
    </w:p>
  </w:footnote>
  <w:footnote w:id="2">
    <w:p w14:paraId="50FA7D35" w14:textId="77777777" w:rsidR="0077447F" w:rsidRPr="00494AE1" w:rsidRDefault="0077447F" w:rsidP="00A34D73">
      <w:pPr>
        <w:pStyle w:val="Notedebasdepage"/>
      </w:pPr>
      <w:r w:rsidRPr="00A34D73">
        <w:rPr>
          <w:sz w:val="20"/>
        </w:rPr>
        <w:tab/>
        <w:t>*</w:t>
      </w:r>
      <w:r w:rsidRPr="00A34D73">
        <w:rPr>
          <w:sz w:val="20"/>
        </w:rPr>
        <w:tab/>
      </w:r>
      <w: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bookmarkStart w:id="0" w:name="_GoBack"/>
      <w:bookmarkEnd w:id="0"/>
    </w:p>
  </w:footnote>
  <w:footnote w:id="3">
    <w:p w14:paraId="34A22B8D" w14:textId="77777777" w:rsidR="0077447F" w:rsidRPr="00494AE1" w:rsidRDefault="0077447F" w:rsidP="00A34D73">
      <w:pPr>
        <w:pStyle w:val="Notedebasdepage"/>
      </w:pPr>
      <w:r w:rsidRPr="00CB1541">
        <w:rPr>
          <w:rStyle w:val="Appelnotedebasdep"/>
          <w:vertAlign w:val="baseline"/>
        </w:rPr>
        <w:tab/>
      </w:r>
      <w:r w:rsidRPr="00CB1541">
        <w:rPr>
          <w:rStyle w:val="Appelnotedebasdep"/>
          <w:sz w:val="20"/>
          <w:vertAlign w:val="baseline"/>
        </w:rPr>
        <w:t>*</w:t>
      </w:r>
      <w:r w:rsidRPr="00CB1541">
        <w:rPr>
          <w:rStyle w:val="Appelnotedebasdep"/>
          <w:sz w:val="20"/>
          <w:vertAlign w:val="baseline"/>
        </w:rPr>
        <w:tab/>
      </w:r>
      <w:r w:rsidRPr="00494AE1">
        <w:t>À compter du [date], les feuilles relatives aux sources lumineuses à incandescence, la liste par groupe des catégories de sources lumineuses à incandescence et les restrictions d</w:t>
      </w:r>
      <w:r>
        <w:t>’</w:t>
      </w:r>
      <w:r w:rsidRPr="00494AE1">
        <w:t xml:space="preserve">utilisation et numéros de feuille correspondants figurent dans la Résolution </w:t>
      </w:r>
      <w:r w:rsidRPr="00032B4D">
        <w:rPr>
          <w:strike/>
        </w:rPr>
        <w:t>[</w:t>
      </w:r>
      <w:r w:rsidRPr="00494AE1">
        <w:t>R.E.</w:t>
      </w:r>
      <w:r w:rsidRPr="00032B4D">
        <w:rPr>
          <w:strike/>
        </w:rPr>
        <w:t>4</w:t>
      </w:r>
      <w:r>
        <w:rPr>
          <w:strike/>
        </w:rPr>
        <w:t xml:space="preserve"> </w:t>
      </w:r>
      <w:r w:rsidRPr="00032B4D">
        <w:rPr>
          <w:b/>
          <w:bCs/>
        </w:rPr>
        <w:t>5</w:t>
      </w:r>
      <w:r w:rsidRPr="00032B4D">
        <w:rPr>
          <w:strike/>
        </w:rPr>
        <w:t>]</w:t>
      </w:r>
      <w:r w:rsidRPr="00494AE1">
        <w:t xml:space="preserve"> publiée sous la cote ECE/TRANS/ WP.29/</w:t>
      </w:r>
      <w:r w:rsidRPr="00494AE1">
        <w:rPr>
          <w:strike/>
        </w:rPr>
        <w:t>2016/111</w:t>
      </w:r>
      <w:r w:rsidRPr="00494AE1">
        <w:rPr>
          <w:b/>
          <w:bCs/>
        </w:rPr>
        <w:t>1127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4EC7" w14:textId="09F4E59C" w:rsidR="0077447F" w:rsidRPr="00A34D73" w:rsidRDefault="0077447F">
    <w:pPr>
      <w:pStyle w:val="En-tte"/>
    </w:pPr>
    <w:fldSimple w:instr=" TITLE  \* MERGEFORMAT ">
      <w:r w:rsidR="00C34A0E">
        <w:t>ECE/TRANS/WP.29/GRE/2020/15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7883" w14:textId="4C4D8B2A" w:rsidR="0077447F" w:rsidRPr="00A34D73" w:rsidRDefault="0077447F" w:rsidP="00A34D73">
    <w:pPr>
      <w:pStyle w:val="En-tte"/>
      <w:jc w:val="right"/>
    </w:pPr>
    <w:fldSimple w:instr=" TITLE  \* MERGEFORMAT ">
      <w:r w:rsidR="00C34A0E">
        <w:t>ECE/TRANS/WP.29/GRE/2020/15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0" w15:restartNumberingAfterBreak="0">
    <w:nsid w:val="39B230FE"/>
    <w:multiLevelType w:val="hybridMultilevel"/>
    <w:tmpl w:val="76EA922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9E37A0"/>
    <w:multiLevelType w:val="hybridMultilevel"/>
    <w:tmpl w:val="87541B92"/>
    <w:lvl w:ilvl="0" w:tplc="F7C62D8E">
      <w:start w:val="1"/>
      <w:numFmt w:val="lowerRoman"/>
      <w:lvlText w:val="(%1)"/>
      <w:lvlJc w:val="left"/>
      <w:pPr>
        <w:ind w:left="2628" w:hanging="360"/>
      </w:pPr>
      <w:rPr>
        <w:rFonts w:hint="default"/>
        <w:lang w:val="fr-CH"/>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3"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5"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29"/>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1"/>
  </w:num>
  <w:num w:numId="16">
    <w:abstractNumId w:val="11"/>
  </w:num>
  <w:num w:numId="17">
    <w:abstractNumId w:val="10"/>
  </w:num>
  <w:num w:numId="18">
    <w:abstractNumId w:val="28"/>
  </w:num>
  <w:num w:numId="19">
    <w:abstractNumId w:val="22"/>
  </w:num>
  <w:num w:numId="20">
    <w:abstractNumId w:val="36"/>
  </w:num>
  <w:num w:numId="21">
    <w:abstractNumId w:val="17"/>
  </w:num>
  <w:num w:numId="22">
    <w:abstractNumId w:val="15"/>
  </w:num>
  <w:num w:numId="23">
    <w:abstractNumId w:val="31"/>
  </w:num>
  <w:num w:numId="24">
    <w:abstractNumId w:val="33"/>
  </w:num>
  <w:num w:numId="25">
    <w:abstractNumId w:val="24"/>
  </w:num>
  <w:num w:numId="26">
    <w:abstractNumId w:val="13"/>
  </w:num>
  <w:num w:numId="27">
    <w:abstractNumId w:val="27"/>
  </w:num>
  <w:num w:numId="28">
    <w:abstractNumId w:val="34"/>
  </w:num>
  <w:num w:numId="29">
    <w:abstractNumId w:val="23"/>
  </w:num>
  <w:num w:numId="30">
    <w:abstractNumId w:val="35"/>
  </w:num>
  <w:num w:numId="31">
    <w:abstractNumId w:val="16"/>
  </w:num>
  <w:num w:numId="32">
    <w:abstractNumId w:val="25"/>
  </w:num>
  <w:num w:numId="33">
    <w:abstractNumId w:val="19"/>
  </w:num>
  <w:num w:numId="34">
    <w:abstractNumId w:val="32"/>
  </w:num>
  <w:num w:numId="35">
    <w:abstractNumId w:val="18"/>
  </w:num>
  <w:num w:numId="36">
    <w:abstractNumId w:val="14"/>
  </w:num>
  <w:num w:numId="37">
    <w:abstractNumId w:val="30"/>
  </w:num>
  <w:num w:numId="38">
    <w:abstractNumId w:val="26"/>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02D"/>
    <w:rsid w:val="00017F94"/>
    <w:rsid w:val="00023842"/>
    <w:rsid w:val="000242C4"/>
    <w:rsid w:val="000334F9"/>
    <w:rsid w:val="00045FEB"/>
    <w:rsid w:val="0007796D"/>
    <w:rsid w:val="000B7790"/>
    <w:rsid w:val="000C42AE"/>
    <w:rsid w:val="00111F2F"/>
    <w:rsid w:val="0014365E"/>
    <w:rsid w:val="00143C66"/>
    <w:rsid w:val="0016788D"/>
    <w:rsid w:val="00176178"/>
    <w:rsid w:val="001F525A"/>
    <w:rsid w:val="00223272"/>
    <w:rsid w:val="0024779E"/>
    <w:rsid w:val="00257168"/>
    <w:rsid w:val="002744B8"/>
    <w:rsid w:val="002832AC"/>
    <w:rsid w:val="002D7C93"/>
    <w:rsid w:val="00305801"/>
    <w:rsid w:val="003916DE"/>
    <w:rsid w:val="00392DC4"/>
    <w:rsid w:val="00421996"/>
    <w:rsid w:val="00441C3B"/>
    <w:rsid w:val="00446FE5"/>
    <w:rsid w:val="00452396"/>
    <w:rsid w:val="004837D8"/>
    <w:rsid w:val="004B2E6F"/>
    <w:rsid w:val="004B7F7A"/>
    <w:rsid w:val="004E2EED"/>
    <w:rsid w:val="004E468C"/>
    <w:rsid w:val="005505B7"/>
    <w:rsid w:val="00573BE5"/>
    <w:rsid w:val="00586ED3"/>
    <w:rsid w:val="00596AA9"/>
    <w:rsid w:val="006B6616"/>
    <w:rsid w:val="0071601D"/>
    <w:rsid w:val="0077447F"/>
    <w:rsid w:val="007A62E6"/>
    <w:rsid w:val="007C7D76"/>
    <w:rsid w:val="007F20FA"/>
    <w:rsid w:val="0080684C"/>
    <w:rsid w:val="008333A9"/>
    <w:rsid w:val="00834BD7"/>
    <w:rsid w:val="00871C75"/>
    <w:rsid w:val="008776DC"/>
    <w:rsid w:val="009446C0"/>
    <w:rsid w:val="009705C8"/>
    <w:rsid w:val="009C1CF4"/>
    <w:rsid w:val="009F6B74"/>
    <w:rsid w:val="00A3029F"/>
    <w:rsid w:val="00A30353"/>
    <w:rsid w:val="00A34D73"/>
    <w:rsid w:val="00AC3823"/>
    <w:rsid w:val="00AD0AEE"/>
    <w:rsid w:val="00AE323C"/>
    <w:rsid w:val="00AF0CB5"/>
    <w:rsid w:val="00B00181"/>
    <w:rsid w:val="00B00B0D"/>
    <w:rsid w:val="00B01F9B"/>
    <w:rsid w:val="00B246EE"/>
    <w:rsid w:val="00B45F2E"/>
    <w:rsid w:val="00B765F7"/>
    <w:rsid w:val="00BA0CA9"/>
    <w:rsid w:val="00C02897"/>
    <w:rsid w:val="00C34A0E"/>
    <w:rsid w:val="00C97039"/>
    <w:rsid w:val="00CB1541"/>
    <w:rsid w:val="00CE00EC"/>
    <w:rsid w:val="00D3439C"/>
    <w:rsid w:val="00DB1831"/>
    <w:rsid w:val="00DD0FA5"/>
    <w:rsid w:val="00DD3BFD"/>
    <w:rsid w:val="00DF6678"/>
    <w:rsid w:val="00E0299A"/>
    <w:rsid w:val="00E1002D"/>
    <w:rsid w:val="00E85C74"/>
    <w:rsid w:val="00EA6547"/>
    <w:rsid w:val="00EF2E22"/>
    <w:rsid w:val="00F35BAF"/>
    <w:rsid w:val="00F46AE4"/>
    <w:rsid w:val="00F65F2D"/>
    <w:rsid w:val="00F660DF"/>
    <w:rsid w:val="00F94664"/>
    <w:rsid w:val="00F9573C"/>
    <w:rsid w:val="00F95C08"/>
    <w:rsid w:val="00FC47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748F4"/>
  <w15:docId w15:val="{7AFD2AAC-E29C-4D06-8B02-1375B697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rsid w:val="00A34D73"/>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34D73"/>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A34D73"/>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A34D73"/>
    <w:pPr>
      <w:suppressAutoHyphens w:val="0"/>
      <w:spacing w:after="120"/>
      <w:ind w:left="2268" w:right="1134" w:hanging="1134"/>
      <w:jc w:val="both"/>
    </w:pPr>
    <w:rPr>
      <w:snapToGrid w:val="0"/>
    </w:rPr>
  </w:style>
  <w:style w:type="character" w:customStyle="1" w:styleId="paraChar">
    <w:name w:val="para Char"/>
    <w:link w:val="para"/>
    <w:rsid w:val="00A34D73"/>
    <w:rPr>
      <w:rFonts w:ascii="Times New Roman" w:eastAsiaTheme="minorHAnsi" w:hAnsi="Times New Roman" w:cs="Times New Roman"/>
      <w:snapToGrid w:val="0"/>
      <w:sz w:val="20"/>
      <w:szCs w:val="20"/>
      <w:lang w:eastAsia="en-US"/>
    </w:rPr>
  </w:style>
  <w:style w:type="paragraph" w:customStyle="1" w:styleId="endnotetable">
    <w:name w:val="endnote table"/>
    <w:basedOn w:val="Normal"/>
    <w:link w:val="endnotetableChar"/>
    <w:rsid w:val="00A34D73"/>
    <w:pPr>
      <w:spacing w:line="220" w:lineRule="exact"/>
      <w:ind w:left="1134" w:right="1134" w:firstLine="170"/>
    </w:pPr>
    <w:rPr>
      <w:sz w:val="18"/>
      <w:szCs w:val="18"/>
    </w:rPr>
  </w:style>
  <w:style w:type="character" w:customStyle="1" w:styleId="endnotetableChar">
    <w:name w:val="endnote table Char"/>
    <w:link w:val="endnotetable"/>
    <w:rsid w:val="00A34D73"/>
    <w:rPr>
      <w:rFonts w:ascii="Times New Roman" w:eastAsiaTheme="minorHAnsi" w:hAnsi="Times New Roman" w:cs="Times New Roman"/>
      <w:sz w:val="18"/>
      <w:szCs w:val="18"/>
      <w:lang w:eastAsia="en-US"/>
    </w:rPr>
  </w:style>
  <w:style w:type="paragraph" w:customStyle="1" w:styleId="Bloc2cm">
    <w:name w:val="Bloc 2 cm"/>
    <w:basedOn w:val="para"/>
    <w:rsid w:val="00A34D73"/>
    <w:pPr>
      <w:ind w:left="1134" w:firstLine="0"/>
    </w:pPr>
  </w:style>
  <w:style w:type="paragraph" w:styleId="Paragraphedeliste">
    <w:name w:val="List Paragraph"/>
    <w:basedOn w:val="Normal"/>
    <w:uiPriority w:val="34"/>
    <w:qFormat/>
    <w:rsid w:val="00A34D73"/>
    <w:pPr>
      <w:suppressAutoHyphens w:val="0"/>
      <w:spacing w:line="240" w:lineRule="auto"/>
      <w:ind w:left="720"/>
      <w:contextualSpacing/>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16</Pages>
  <Words>5944</Words>
  <Characters>33886</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ECE/TRANS/WP.29/GRE/2020/15</vt:lpstr>
    </vt:vector>
  </TitlesOfParts>
  <Company>DCM</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ECE/TRANS/WP.29/GRE/2020/15</dc:title>
  <dc:subject/>
  <dc:creator>Nicolas MORIN</dc:creator>
  <cp:keywords/>
  <cp:lastModifiedBy>Nicolas MORIN</cp:lastModifiedBy>
  <cp:revision>3</cp:revision>
  <cp:lastPrinted>2020-09-03T07:13:00Z</cp:lastPrinted>
  <dcterms:created xsi:type="dcterms:W3CDTF">2020-09-03T07:13:00Z</dcterms:created>
  <dcterms:modified xsi:type="dcterms:W3CDTF">2020-09-03T07:13:00Z</dcterms:modified>
</cp:coreProperties>
</file>