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59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92536" w:rsidRPr="00525E6C" w14:paraId="75542E49" w14:textId="77777777" w:rsidTr="00D925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B58B5" w14:textId="77777777" w:rsidR="00D92536" w:rsidRPr="00525E6C" w:rsidRDefault="00D92536" w:rsidP="00D92536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6E1C8" w14:textId="77777777" w:rsidR="00D92536" w:rsidRPr="00525E6C" w:rsidRDefault="00D92536" w:rsidP="00D9253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0A12D" w14:textId="1DA1EF71" w:rsidR="00D92536" w:rsidRPr="00074E30" w:rsidRDefault="00D92536" w:rsidP="00D92536">
            <w:pPr>
              <w:jc w:val="right"/>
            </w:pPr>
            <w:r w:rsidRPr="00074E30">
              <w:rPr>
                <w:sz w:val="40"/>
              </w:rPr>
              <w:t>ECE</w:t>
            </w:r>
            <w:r w:rsidRPr="00074E30">
              <w:t>/TRANS/WP.29/GRE/2020/11</w:t>
            </w:r>
            <w:r w:rsidR="000978C7" w:rsidRPr="00074E30">
              <w:t>/Rev.1</w:t>
            </w:r>
          </w:p>
        </w:tc>
      </w:tr>
      <w:tr w:rsidR="00D92536" w:rsidRPr="00525E6C" w14:paraId="3649467E" w14:textId="77777777" w:rsidTr="00D925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8098C9" w14:textId="77777777" w:rsidR="00D92536" w:rsidRPr="00525E6C" w:rsidRDefault="00D92536" w:rsidP="00D92536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4220E0A" wp14:editId="19816D4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723103" w14:textId="77777777" w:rsidR="00D92536" w:rsidRPr="00525E6C" w:rsidRDefault="00D92536" w:rsidP="00D92536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CEF955" w14:textId="77777777" w:rsidR="00D92536" w:rsidRPr="00074E30" w:rsidRDefault="00D92536" w:rsidP="00D92536">
            <w:pPr>
              <w:spacing w:before="240" w:line="240" w:lineRule="exact"/>
            </w:pPr>
            <w:r w:rsidRPr="00074E30">
              <w:t>Distr.: General</w:t>
            </w:r>
          </w:p>
          <w:p w14:paraId="17402964" w14:textId="320A4B8F" w:rsidR="00D92536" w:rsidRPr="00074E30" w:rsidRDefault="00074E30" w:rsidP="00D92536">
            <w:pPr>
              <w:spacing w:line="240" w:lineRule="exact"/>
            </w:pPr>
            <w:r w:rsidRPr="00074E30">
              <w:rPr>
                <w:lang w:val="en-US"/>
              </w:rPr>
              <w:t>4</w:t>
            </w:r>
            <w:r w:rsidR="000978C7" w:rsidRPr="00074E30">
              <w:rPr>
                <w:lang w:val="en-US"/>
              </w:rPr>
              <w:t xml:space="preserve"> August</w:t>
            </w:r>
            <w:r w:rsidR="000978C7" w:rsidRPr="00074E30">
              <w:t xml:space="preserve"> </w:t>
            </w:r>
            <w:r w:rsidR="00D92536" w:rsidRPr="00074E30">
              <w:t>2020</w:t>
            </w:r>
          </w:p>
          <w:p w14:paraId="1380B04E" w14:textId="77777777" w:rsidR="00D92536" w:rsidRPr="00074E30" w:rsidRDefault="00D92536" w:rsidP="00D92536">
            <w:pPr>
              <w:spacing w:line="240" w:lineRule="exact"/>
            </w:pPr>
          </w:p>
          <w:p w14:paraId="4AF8650B" w14:textId="77777777" w:rsidR="00D92536" w:rsidRPr="00074E30" w:rsidRDefault="00D92536" w:rsidP="00D92536">
            <w:pPr>
              <w:spacing w:line="240" w:lineRule="exact"/>
            </w:pPr>
            <w:r w:rsidRPr="00074E30">
              <w:t>Original: English</w:t>
            </w:r>
          </w:p>
        </w:tc>
      </w:tr>
    </w:tbl>
    <w:p w14:paraId="759F7898" w14:textId="38CEFCDC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A72D4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65FDF998" w14:textId="77777777" w:rsidR="000978C7" w:rsidRPr="0039640C" w:rsidRDefault="000978C7" w:rsidP="000978C7">
      <w:pPr>
        <w:ind w:right="1134"/>
        <w:rPr>
          <w:b/>
        </w:rPr>
      </w:pPr>
      <w:r w:rsidRPr="0039640C">
        <w:rPr>
          <w:b/>
        </w:rPr>
        <w:t>Eighty-third session</w:t>
      </w:r>
    </w:p>
    <w:p w14:paraId="5B5D2558" w14:textId="717D0848" w:rsidR="000978C7" w:rsidRPr="0039640C" w:rsidRDefault="000978C7" w:rsidP="000978C7">
      <w:pPr>
        <w:ind w:right="1134"/>
      </w:pPr>
      <w:r w:rsidRPr="0039640C">
        <w:t xml:space="preserve">Geneva, </w:t>
      </w:r>
      <w:r>
        <w:t>19</w:t>
      </w:r>
      <w:r w:rsidR="00192BE2">
        <w:t>–</w:t>
      </w:r>
      <w:r>
        <w:t>23</w:t>
      </w:r>
      <w:r w:rsidR="00192BE2">
        <w:t xml:space="preserve"> </w:t>
      </w:r>
      <w:r>
        <w:t>October</w:t>
      </w:r>
      <w:r w:rsidRPr="0039640C">
        <w:t xml:space="preserve"> 2020</w:t>
      </w:r>
    </w:p>
    <w:p w14:paraId="1F6E74BE" w14:textId="5420F206" w:rsidR="000978C7" w:rsidRPr="00525E6C" w:rsidRDefault="000978C7" w:rsidP="000978C7">
      <w:pPr>
        <w:ind w:right="1134"/>
        <w:rPr>
          <w:bCs/>
        </w:rPr>
      </w:pPr>
      <w:r w:rsidRPr="00074E30">
        <w:rPr>
          <w:bCs/>
        </w:rPr>
        <w:t xml:space="preserve">Item </w:t>
      </w:r>
      <w:r w:rsidR="00074E30" w:rsidRPr="00074E30">
        <w:rPr>
          <w:bCs/>
        </w:rPr>
        <w:t xml:space="preserve">7 (d) </w:t>
      </w:r>
      <w:r w:rsidRPr="00074E30">
        <w:rPr>
          <w:bCs/>
        </w:rPr>
        <w:t>of the provisional agenda</w:t>
      </w:r>
    </w:p>
    <w:p w14:paraId="40693093" w14:textId="77777777" w:rsidR="0039580F" w:rsidRPr="00074E30" w:rsidRDefault="0039580F" w:rsidP="0039580F">
      <w:pPr>
        <w:ind w:right="1467"/>
        <w:jc w:val="both"/>
        <w:rPr>
          <w:b/>
          <w:bCs/>
          <w:lang w:val="fr-CH"/>
        </w:rPr>
      </w:pPr>
      <w:proofErr w:type="spellStart"/>
      <w:r w:rsidRPr="00074E30">
        <w:rPr>
          <w:b/>
          <w:bCs/>
          <w:lang w:val="fr-CH"/>
        </w:rPr>
        <w:t>Other</w:t>
      </w:r>
      <w:proofErr w:type="spellEnd"/>
      <w:r w:rsidRPr="00074E30">
        <w:rPr>
          <w:b/>
          <w:bCs/>
          <w:lang w:val="fr-CH"/>
        </w:rPr>
        <w:t xml:space="preserve"> UN </w:t>
      </w:r>
      <w:proofErr w:type="spellStart"/>
      <w:proofErr w:type="gramStart"/>
      <w:r w:rsidRPr="00074E30">
        <w:rPr>
          <w:b/>
          <w:bCs/>
          <w:lang w:val="fr-CH"/>
        </w:rPr>
        <w:t>Regulations</w:t>
      </w:r>
      <w:proofErr w:type="spellEnd"/>
      <w:r w:rsidRPr="00074E30">
        <w:rPr>
          <w:b/>
          <w:bCs/>
          <w:lang w:val="fr-CH"/>
        </w:rPr>
        <w:t>:</w:t>
      </w:r>
      <w:proofErr w:type="gramEnd"/>
      <w:r w:rsidRPr="00074E30">
        <w:rPr>
          <w:b/>
          <w:bCs/>
          <w:lang w:val="fr-CH"/>
        </w:rPr>
        <w:t xml:space="preserve"> UN </w:t>
      </w:r>
      <w:proofErr w:type="spellStart"/>
      <w:r w:rsidRPr="00074E30">
        <w:rPr>
          <w:b/>
          <w:bCs/>
          <w:lang w:val="fr-CH"/>
        </w:rPr>
        <w:t>Regulations</w:t>
      </w:r>
      <w:proofErr w:type="spellEnd"/>
      <w:r w:rsidRPr="00074E30">
        <w:rPr>
          <w:b/>
          <w:bCs/>
          <w:lang w:val="fr-CH"/>
        </w:rPr>
        <w:t xml:space="preserve"> Nos. 98 </w:t>
      </w:r>
    </w:p>
    <w:p w14:paraId="13DB20DB" w14:textId="4084C43D" w:rsidR="00F2014B" w:rsidRPr="00C740F6" w:rsidRDefault="0039580F" w:rsidP="0039580F">
      <w:pPr>
        <w:ind w:right="1467"/>
        <w:jc w:val="both"/>
        <w:rPr>
          <w:b/>
          <w:bCs/>
        </w:rPr>
      </w:pPr>
      <w:r w:rsidRPr="0039580F">
        <w:rPr>
          <w:b/>
          <w:bCs/>
        </w:rPr>
        <w:t>(Headlamps with gas-discharge light sources) and 123 (Adaptive front lighting systems)</w:t>
      </w:r>
    </w:p>
    <w:p w14:paraId="58883165" w14:textId="4D6BB5CE" w:rsidR="00C740F6" w:rsidRPr="00C740F6" w:rsidRDefault="00C740F6" w:rsidP="000A556D">
      <w:pPr>
        <w:ind w:right="1467"/>
        <w:jc w:val="both"/>
        <w:rPr>
          <w:b/>
          <w:bCs/>
        </w:rPr>
      </w:pPr>
    </w:p>
    <w:p w14:paraId="7BDBE699" w14:textId="387368B3"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0978C7">
        <w:t>Revised p</w:t>
      </w:r>
      <w:r w:rsidR="00F2014B">
        <w:t xml:space="preserve">roposal for </w:t>
      </w:r>
      <w:r w:rsidR="007A18EE">
        <w:t xml:space="preserve">corrections </w:t>
      </w:r>
      <w:r w:rsidR="0039580F">
        <w:t xml:space="preserve">to </w:t>
      </w:r>
      <w:r w:rsidR="00501826">
        <w:t>UN Regulation</w:t>
      </w:r>
      <w:r w:rsidR="007A18EE">
        <w:t>s</w:t>
      </w:r>
      <w:r w:rsidR="00501826">
        <w:t xml:space="preserve"> </w:t>
      </w:r>
      <w:bookmarkStart w:id="0" w:name="_Hlk30522452"/>
      <w:r w:rsidR="00501826">
        <w:t>No</w:t>
      </w:r>
      <w:r w:rsidR="007A18EE">
        <w:t>s</w:t>
      </w:r>
      <w:r w:rsidR="00501826">
        <w:t xml:space="preserve">. </w:t>
      </w:r>
      <w:r w:rsidR="007A18EE">
        <w:t>98</w:t>
      </w:r>
      <w:r w:rsidR="00A52134">
        <w:t xml:space="preserve"> </w:t>
      </w:r>
      <w:r w:rsidR="00F2014B">
        <w:t xml:space="preserve">and </w:t>
      </w:r>
      <w:r w:rsidR="007A18EE">
        <w:t>123</w:t>
      </w:r>
      <w:bookmarkEnd w:id="0"/>
    </w:p>
    <w:p w14:paraId="3E2A85E6" w14:textId="457E2844" w:rsidR="00732AD2" w:rsidRPr="00525E6C" w:rsidRDefault="007A18EE" w:rsidP="00732AD2">
      <w:pPr>
        <w:pStyle w:val="H1G"/>
        <w:ind w:firstLine="0"/>
        <w:rPr>
          <w:szCs w:val="24"/>
        </w:rPr>
      </w:pP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98AD4D" w14:textId="6E92DA1D" w:rsidR="007A18EE" w:rsidRPr="00525E6C" w:rsidRDefault="007A18EE" w:rsidP="0039580F">
      <w:pPr>
        <w:pStyle w:val="SingleTxtG"/>
        <w:tabs>
          <w:tab w:val="left" w:pos="8505"/>
        </w:tabs>
        <w:ind w:firstLine="567"/>
      </w:pPr>
      <w:r w:rsidRPr="00D47CC1">
        <w:rPr>
          <w:lang w:val="en-US"/>
        </w:rPr>
        <w:t xml:space="preserve">The text reproduced below was prepared by the </w:t>
      </w:r>
      <w:r w:rsidR="0039580F" w:rsidRPr="0039580F">
        <w:rPr>
          <w:lang w:val="en-US"/>
        </w:rPr>
        <w:t xml:space="preserve">Informal Working Group on Simplification of Lighting and Light-Signalling Regulations </w:t>
      </w:r>
      <w:r w:rsidR="0039580F">
        <w:rPr>
          <w:lang w:val="en-US"/>
        </w:rPr>
        <w:t>(</w:t>
      </w:r>
      <w:r>
        <w:rPr>
          <w:lang w:val="en-US"/>
        </w:rPr>
        <w:t>IWG SLR</w:t>
      </w:r>
      <w:r w:rsidR="0039580F">
        <w:rPr>
          <w:lang w:val="en-US"/>
        </w:rPr>
        <w:t>)</w:t>
      </w:r>
      <w:r>
        <w:rPr>
          <w:lang w:val="en-US"/>
        </w:rPr>
        <w:t xml:space="preserve"> after having identified errors in UN Regulation No. 149</w:t>
      </w:r>
      <w:r w:rsidR="00D92536">
        <w:rPr>
          <w:lang w:val="en-US"/>
        </w:rPr>
        <w:t>,</w:t>
      </w:r>
      <w:r>
        <w:rPr>
          <w:lang w:val="en-US"/>
        </w:rPr>
        <w:t xml:space="preserve"> due to </w:t>
      </w:r>
      <w:r w:rsidR="00D92536">
        <w:rPr>
          <w:lang w:val="en-US"/>
        </w:rPr>
        <w:t xml:space="preserve">the </w:t>
      </w:r>
      <w:r>
        <w:rPr>
          <w:lang w:val="en-US"/>
        </w:rPr>
        <w:t>existing mistakes in frozen UN Regulations</w:t>
      </w:r>
      <w:r w:rsidR="00FA5148">
        <w:rPr>
          <w:lang w:val="en-US"/>
        </w:rPr>
        <w:t xml:space="preserve"> </w:t>
      </w:r>
      <w:r w:rsidR="00FA5148" w:rsidRPr="00FA5148">
        <w:rPr>
          <w:lang w:val="en-US"/>
        </w:rPr>
        <w:t>Nos. 98 and 123</w:t>
      </w:r>
      <w:r>
        <w:rPr>
          <w:lang w:val="en-US"/>
        </w:rPr>
        <w:t xml:space="preserve">. </w:t>
      </w:r>
      <w:r>
        <w:t>The modifications to the existing text of the UN Regulations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D92536">
          <w:footerReference w:type="even" r:id="rId12"/>
          <w:footerReference w:type="first" r:id="rId13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2D1583F5" w14:textId="77777777"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40D6BE2" w14:textId="3DBB1D46" w:rsidR="00806CCF" w:rsidRDefault="0022516A" w:rsidP="00806CCF">
      <w:pPr>
        <w:pStyle w:val="H1G"/>
        <w:rPr>
          <w:rFonts w:eastAsia="SimSun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</w:r>
      <w:r w:rsidR="00806CCF" w:rsidRPr="0022516A">
        <w:rPr>
          <w:rFonts w:eastAsia="SimSun"/>
        </w:rPr>
        <w:t xml:space="preserve">Supplement </w:t>
      </w:r>
      <w:r w:rsidR="000C295D">
        <w:rPr>
          <w:szCs w:val="24"/>
        </w:rPr>
        <w:t>10</w:t>
      </w:r>
      <w:r w:rsidR="00806CCF" w:rsidRPr="004306AA">
        <w:rPr>
          <w:szCs w:val="24"/>
        </w:rPr>
        <w:t xml:space="preserve"> </w:t>
      </w:r>
      <w:r w:rsidR="00806CCF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806CCF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98</w:t>
      </w:r>
    </w:p>
    <w:p w14:paraId="5D9D8DAB" w14:textId="77777777" w:rsidR="00C34BFE" w:rsidRPr="00B21989" w:rsidRDefault="00C34BFE" w:rsidP="00C34BFE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0050CCF7" w14:textId="15791F96" w:rsidR="00C34BFE" w:rsidRDefault="00C34BFE" w:rsidP="00C34BFE">
      <w:pPr>
        <w:pStyle w:val="SingleTxtG"/>
        <w:ind w:left="2268" w:hanging="1134"/>
      </w:pPr>
      <w:r>
        <w:t>“</w:t>
      </w:r>
      <w:r w:rsidRPr="00525578">
        <w:t>6.2.5.</w:t>
      </w:r>
      <w:r w:rsidRPr="00525578">
        <w:tab/>
        <w:t>After more than 10 minutes after ignition the luminous intensities at the test points referred to in the table below and in Annex 3</w:t>
      </w:r>
      <w:r>
        <w:t>,</w:t>
      </w:r>
      <w:r w:rsidRPr="00525578">
        <w:t xml:space="preserve"> </w:t>
      </w:r>
      <w:r>
        <w:t>F</w:t>
      </w:r>
      <w:r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435E70" w:rsidRPr="00ED6495" w14:paraId="57626651" w14:textId="77777777" w:rsidTr="00F60E7E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1A38F989" w14:textId="77777777" w:rsidR="00435E70" w:rsidRPr="00ED6495" w:rsidRDefault="00435E70" w:rsidP="00F60E7E">
            <w:pPr>
              <w:spacing w:before="40" w:after="60" w:line="200" w:lineRule="exact"/>
              <w:ind w:left="113" w:right="113"/>
              <w:rPr>
                <w:i/>
                <w:sz w:val="16"/>
                <w:szCs w:val="16"/>
                <w:lang w:val="fr-FR"/>
              </w:rPr>
            </w:pPr>
            <w:r w:rsidRPr="004262FA">
              <w:rPr>
                <w:i/>
                <w:sz w:val="16"/>
                <w:szCs w:val="16"/>
                <w:lang w:val="en-US"/>
              </w:rPr>
              <w:br w:type="page"/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Points </w:t>
            </w:r>
            <w:r>
              <w:rPr>
                <w:i/>
                <w:sz w:val="16"/>
                <w:szCs w:val="16"/>
                <w:lang w:val="fr-FR"/>
              </w:rPr>
              <w:t>or</w:t>
            </w:r>
            <w:r w:rsidRPr="00ED6495">
              <w:rPr>
                <w:i/>
                <w:sz w:val="16"/>
                <w:szCs w:val="16"/>
                <w:lang w:val="fr-FR"/>
              </w:rPr>
              <w:t xml:space="preserve">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16C9AA2E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ED6495">
              <w:rPr>
                <w:i/>
                <w:sz w:val="16"/>
                <w:szCs w:val="16"/>
                <w:lang w:val="fr-FR"/>
              </w:rPr>
              <w:t>D</w:t>
            </w:r>
            <w:r>
              <w:rPr>
                <w:i/>
                <w:sz w:val="16"/>
                <w:szCs w:val="16"/>
                <w:lang w:val="fr-FR"/>
              </w:rPr>
              <w:t>e</w:t>
            </w:r>
            <w:r w:rsidRPr="00ED6495">
              <w:rPr>
                <w:i/>
                <w:sz w:val="16"/>
                <w:szCs w:val="16"/>
                <w:lang w:val="fr-FR"/>
              </w:rPr>
              <w:t>signation</w:t>
            </w:r>
            <w:proofErr w:type="spellEnd"/>
            <w:r w:rsidRPr="00ED6495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51925D0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Luminous</w:t>
            </w:r>
            <w:proofErr w:type="spellEnd"/>
            <w:r>
              <w:rPr>
                <w:bCs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7707F031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Horizontal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06968469" w14:textId="77777777" w:rsidR="00435E70" w:rsidRPr="00ED6495" w:rsidRDefault="00435E70" w:rsidP="00F60E7E">
            <w:pPr>
              <w:spacing w:before="40" w:after="60" w:line="20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Vertical a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ngle (</w:t>
            </w:r>
            <w:proofErr w:type="spellStart"/>
            <w:r w:rsidRPr="00ED6495">
              <w:rPr>
                <w:bCs/>
                <w:i/>
                <w:sz w:val="16"/>
                <w:szCs w:val="16"/>
                <w:lang w:val="fr-FR"/>
              </w:rPr>
              <w:t>degr</w:t>
            </w:r>
            <w:r>
              <w:rPr>
                <w:bCs/>
                <w:i/>
                <w:sz w:val="16"/>
                <w:szCs w:val="16"/>
                <w:lang w:val="fr-FR"/>
              </w:rPr>
              <w:t>ee</w:t>
            </w:r>
            <w:r w:rsidRPr="00ED6495">
              <w:rPr>
                <w:bCs/>
                <w:i/>
                <w:sz w:val="16"/>
                <w:szCs w:val="16"/>
                <w:lang w:val="fr-FR"/>
              </w:rPr>
              <w:t>s</w:t>
            </w:r>
            <w:proofErr w:type="spellEnd"/>
            <w:r w:rsidRPr="00ED6495">
              <w:rPr>
                <w:bCs/>
                <w:i/>
                <w:sz w:val="16"/>
                <w:szCs w:val="16"/>
                <w:lang w:val="fr-FR"/>
              </w:rPr>
              <w:t>)</w:t>
            </w:r>
          </w:p>
        </w:tc>
      </w:tr>
      <w:tr w:rsidR="00435E70" w:rsidRPr="00ED6495" w14:paraId="3D15930D" w14:textId="77777777" w:rsidTr="00F60E7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74FC17C6" w14:textId="77777777" w:rsidR="00435E70" w:rsidRPr="00ED6495" w:rsidRDefault="00435E70" w:rsidP="00F60E7E">
            <w:pPr>
              <w:spacing w:before="40" w:after="40" w:line="22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06290BC8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FB5AD14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7BDC5A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ED6495">
              <w:rPr>
                <w:bCs/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3654C5BA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6D324889" w14:textId="77777777" w:rsidR="00435E70" w:rsidRPr="00ED6495" w:rsidRDefault="00435E70" w:rsidP="00F60E7E">
            <w:pPr>
              <w:spacing w:before="40" w:after="40" w:line="220" w:lineRule="exact"/>
              <w:ind w:right="113"/>
              <w:jc w:val="right"/>
              <w:rPr>
                <w:bCs/>
                <w:sz w:val="16"/>
                <w:szCs w:val="16"/>
                <w:lang w:val="fr-FR"/>
              </w:rPr>
            </w:pPr>
          </w:p>
        </w:tc>
      </w:tr>
      <w:tr w:rsidR="00435E70" w:rsidRPr="00ED6495" w14:paraId="4392C5A9" w14:textId="77777777" w:rsidTr="00F60E7E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435E70" w:rsidRPr="00ED6495" w14:paraId="2484AF17" w14:textId="77777777" w:rsidTr="00F60E7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FB7271F" w14:textId="77777777" w:rsidR="00435E70" w:rsidRPr="0039580F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3064C274" w14:textId="77777777" w:rsidR="00435E70" w:rsidRPr="004262FA" w:rsidRDefault="00435E70" w:rsidP="00F60E7E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435E70" w:rsidRPr="00ED6495" w14:paraId="1D03BC80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3DBBC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8B00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650ED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F777A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B6B6FD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96AF8C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D96B13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ED69E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435E70" w:rsidRPr="00ED6495" w14:paraId="1033214D" w14:textId="77777777" w:rsidTr="00F60E7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633339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B0D87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6C2C82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F45FC0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80A317F" w14:textId="77777777" w:rsidR="00435E70" w:rsidRPr="005139F5" w:rsidRDefault="00435E70" w:rsidP="00F60E7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19D2CB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B880C1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03018C5" w14:textId="77777777" w:rsidR="00435E70" w:rsidRPr="005139F5" w:rsidRDefault="00435E70" w:rsidP="00F60E7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14913163" w14:textId="77777777" w:rsidR="00435E70" w:rsidRPr="00ED6495" w:rsidRDefault="00435E70" w:rsidP="00F60E7E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21204F1A" w14:textId="77777777" w:rsidR="00435E70" w:rsidRPr="007D3FD9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F874B65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4644F50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07438004" w14:textId="77777777" w:rsidR="00435E70" w:rsidRPr="00ED6495" w:rsidRDefault="00435E70" w:rsidP="00F60E7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435E70" w:rsidRPr="00ED6495" w14:paraId="5647E963" w14:textId="77777777" w:rsidTr="00F60E7E">
        <w:tc>
          <w:tcPr>
            <w:tcW w:w="1793" w:type="dxa"/>
            <w:shd w:val="clear" w:color="000000" w:fill="auto"/>
          </w:tcPr>
          <w:p w14:paraId="70B5C4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8470A5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864C89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D6FC43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3C71B6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8739C8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40530F1A" w14:textId="77777777" w:rsidTr="00F60E7E">
        <w:tc>
          <w:tcPr>
            <w:tcW w:w="1793" w:type="dxa"/>
            <w:shd w:val="clear" w:color="000000" w:fill="auto"/>
          </w:tcPr>
          <w:p w14:paraId="1FD163B8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EEB3AC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13A88D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DA12BF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B20D7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5F0C21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435E70" w:rsidRPr="00ED6495" w14:paraId="030AD5C9" w14:textId="77777777" w:rsidTr="00F60E7E">
        <w:tc>
          <w:tcPr>
            <w:tcW w:w="1793" w:type="dxa"/>
            <w:shd w:val="clear" w:color="000000" w:fill="auto"/>
          </w:tcPr>
          <w:p w14:paraId="4D77200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E138BB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E4FFD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238CDA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553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12A32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435E70" w:rsidRPr="00ED6495" w14:paraId="549587A3" w14:textId="77777777" w:rsidTr="00F60E7E">
        <w:tc>
          <w:tcPr>
            <w:tcW w:w="1793" w:type="dxa"/>
            <w:shd w:val="clear" w:color="000000" w:fill="auto"/>
          </w:tcPr>
          <w:p w14:paraId="51B82AB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14C0FF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E0C7061" w14:textId="77777777" w:rsidR="00435E70" w:rsidRPr="009778DD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E4045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42BD00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7D43F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7B026222" w14:textId="77777777" w:rsidTr="00F60E7E">
        <w:tc>
          <w:tcPr>
            <w:tcW w:w="1793" w:type="dxa"/>
            <w:shd w:val="clear" w:color="000000" w:fill="auto"/>
          </w:tcPr>
          <w:p w14:paraId="07816C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B2C671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17C53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9935D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574E76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DD75F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13AB0EAA" w14:textId="77777777" w:rsidTr="00F60E7E">
        <w:tc>
          <w:tcPr>
            <w:tcW w:w="1793" w:type="dxa"/>
            <w:shd w:val="clear" w:color="000000" w:fill="auto"/>
          </w:tcPr>
          <w:p w14:paraId="257BAC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497CDA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EBA5CF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E8E02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8F139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930795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5DEE0AD7" w14:textId="77777777" w:rsidTr="00F60E7E">
        <w:tc>
          <w:tcPr>
            <w:tcW w:w="1793" w:type="dxa"/>
            <w:shd w:val="clear" w:color="000000" w:fill="auto"/>
          </w:tcPr>
          <w:p w14:paraId="245E5B5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2E3BCD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5CFD3C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0FC4D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A253B8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686B6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19FB8049" w14:textId="77777777" w:rsidTr="00F60E7E">
        <w:tc>
          <w:tcPr>
            <w:tcW w:w="1793" w:type="dxa"/>
            <w:shd w:val="clear" w:color="000000" w:fill="auto"/>
          </w:tcPr>
          <w:p w14:paraId="1022B6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EC2B81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F1BFA0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F54C6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24D072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01969C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550FFB51" w14:textId="77777777" w:rsidTr="00F60E7E">
        <w:tc>
          <w:tcPr>
            <w:tcW w:w="1793" w:type="dxa"/>
            <w:shd w:val="clear" w:color="000000" w:fill="auto"/>
          </w:tcPr>
          <w:p w14:paraId="60754290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878A8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3DAD6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D62FA5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929896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98A2DE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36FD7A5" w14:textId="77777777" w:rsidTr="00F60E7E">
        <w:tc>
          <w:tcPr>
            <w:tcW w:w="1793" w:type="dxa"/>
            <w:shd w:val="clear" w:color="000000" w:fill="auto"/>
          </w:tcPr>
          <w:p w14:paraId="61292AB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357A1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53CBD28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D59A4A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30F23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6D062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3D3881AE" w14:textId="77777777" w:rsidTr="00F60E7E">
        <w:tc>
          <w:tcPr>
            <w:tcW w:w="1793" w:type="dxa"/>
            <w:shd w:val="clear" w:color="000000" w:fill="auto"/>
          </w:tcPr>
          <w:p w14:paraId="64B0B2A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9C3799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B1CF23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085300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091372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DFE3B6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9B9CA8F" w14:textId="77777777" w:rsidTr="00F60E7E">
        <w:tc>
          <w:tcPr>
            <w:tcW w:w="1793" w:type="dxa"/>
            <w:shd w:val="clear" w:color="000000" w:fill="auto"/>
          </w:tcPr>
          <w:p w14:paraId="3BD3C5B4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6546DE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3008CC6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C972A1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E36B2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37A66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298AD40B" w14:textId="77777777" w:rsidTr="00F60E7E">
        <w:tc>
          <w:tcPr>
            <w:tcW w:w="1793" w:type="dxa"/>
            <w:shd w:val="clear" w:color="000000" w:fill="auto"/>
          </w:tcPr>
          <w:p w14:paraId="379C95E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D30BE5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202617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06156D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14C41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863AC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905B6FD" w14:textId="77777777" w:rsidTr="00F60E7E">
        <w:tc>
          <w:tcPr>
            <w:tcW w:w="1793" w:type="dxa"/>
            <w:shd w:val="clear" w:color="000000" w:fill="auto"/>
          </w:tcPr>
          <w:p w14:paraId="4DF570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BE41C0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914825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D88A1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8354E7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0103673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5D8BFA4" w14:textId="77777777" w:rsidTr="00F60E7E">
        <w:tc>
          <w:tcPr>
            <w:tcW w:w="1793" w:type="dxa"/>
            <w:shd w:val="clear" w:color="000000" w:fill="auto"/>
          </w:tcPr>
          <w:p w14:paraId="7B49E03F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C2CD7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F4146F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64C200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175DCD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1A65A0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739D64F6" w14:textId="77777777" w:rsidTr="00F60E7E">
        <w:tc>
          <w:tcPr>
            <w:tcW w:w="1793" w:type="dxa"/>
            <w:shd w:val="clear" w:color="000000" w:fill="auto"/>
          </w:tcPr>
          <w:p w14:paraId="173CF58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8A34AA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B74AF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7DCDD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34E93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86E897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435E70" w:rsidRPr="00ED6495" w14:paraId="04C75737" w14:textId="77777777" w:rsidTr="00F60E7E">
        <w:tc>
          <w:tcPr>
            <w:tcW w:w="1793" w:type="dxa"/>
            <w:shd w:val="clear" w:color="000000" w:fill="auto"/>
          </w:tcPr>
          <w:p w14:paraId="7837286D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716CF9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125ABC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3C548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E847BD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8FC00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6F6CA2DC" w14:textId="77777777" w:rsidTr="00F60E7E">
        <w:tc>
          <w:tcPr>
            <w:tcW w:w="1793" w:type="dxa"/>
            <w:shd w:val="clear" w:color="000000" w:fill="auto"/>
          </w:tcPr>
          <w:p w14:paraId="6E699E2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4E497A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09AD41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EC7117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5F66C1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99D37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0F1D2905" w14:textId="77777777" w:rsidTr="00F60E7E">
        <w:tc>
          <w:tcPr>
            <w:tcW w:w="1793" w:type="dxa"/>
            <w:shd w:val="clear" w:color="000000" w:fill="auto"/>
          </w:tcPr>
          <w:p w14:paraId="35B0BDAB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8692AC0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599FB9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F55A2A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34DAF7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65251E9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435E70" w:rsidRPr="00ED6495" w14:paraId="14FB7C8C" w14:textId="77777777" w:rsidTr="00F60E7E">
        <w:tc>
          <w:tcPr>
            <w:tcW w:w="1793" w:type="dxa"/>
            <w:shd w:val="clear" w:color="000000" w:fill="auto"/>
          </w:tcPr>
          <w:p w14:paraId="6CBB6255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BB8359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4ECAC1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693884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74E12C3E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D6B35C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32FABE2C" w14:textId="77777777" w:rsidTr="00F60E7E">
        <w:tc>
          <w:tcPr>
            <w:tcW w:w="1793" w:type="dxa"/>
            <w:shd w:val="clear" w:color="000000" w:fill="auto"/>
          </w:tcPr>
          <w:p w14:paraId="0EE5CB9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0BF69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A327B3F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DAF1DE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21B87C7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34BB1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435E70" w:rsidRPr="00ED6495" w14:paraId="510A9DFB" w14:textId="77777777" w:rsidTr="00F60E7E">
        <w:tc>
          <w:tcPr>
            <w:tcW w:w="1793" w:type="dxa"/>
            <w:shd w:val="clear" w:color="000000" w:fill="auto"/>
          </w:tcPr>
          <w:p w14:paraId="585E5C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719FA0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99160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DEE518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BA52D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9085D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435E70" w:rsidRPr="00ED6495" w14:paraId="4C69F57F" w14:textId="77777777" w:rsidTr="00F60E7E">
        <w:tc>
          <w:tcPr>
            <w:tcW w:w="1793" w:type="dxa"/>
            <w:shd w:val="clear" w:color="000000" w:fill="auto"/>
          </w:tcPr>
          <w:p w14:paraId="1F5B95C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78CD25A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106E73E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860468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07E369B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501AD81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435E70" w:rsidRPr="00ED6495" w14:paraId="452236DB" w14:textId="77777777" w:rsidTr="00F60E7E">
        <w:tc>
          <w:tcPr>
            <w:tcW w:w="1793" w:type="dxa"/>
            <w:shd w:val="clear" w:color="000000" w:fill="auto"/>
          </w:tcPr>
          <w:p w14:paraId="17FBD57E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339F9C6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522FE0D8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11D195FD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073C462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441A34A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435E70" w:rsidRPr="00ED6495" w14:paraId="47DDF90C" w14:textId="77777777" w:rsidTr="00F60E7E">
        <w:tc>
          <w:tcPr>
            <w:tcW w:w="1793" w:type="dxa"/>
            <w:shd w:val="clear" w:color="000000" w:fill="auto"/>
          </w:tcPr>
          <w:p w14:paraId="4C9F5BC1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188FE00B" w14:textId="16D8D931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292D3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35BC1C45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0C956261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9EBD883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435E70" w:rsidRPr="00ED6495" w14:paraId="0FDEA09C" w14:textId="77777777" w:rsidTr="00F60E7E">
        <w:tc>
          <w:tcPr>
            <w:tcW w:w="1793" w:type="dxa"/>
            <w:shd w:val="clear" w:color="000000" w:fill="auto"/>
          </w:tcPr>
          <w:p w14:paraId="29A82AEF" w14:textId="77777777" w:rsidR="00435E70" w:rsidRPr="00ED6495" w:rsidRDefault="00435E70" w:rsidP="00F60E7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shd w:val="clear" w:color="000000" w:fill="auto"/>
            <w:vAlign w:val="bottom"/>
          </w:tcPr>
          <w:p w14:paraId="3383EA0B" w14:textId="0380C2BB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435E70">
              <w:rPr>
                <w:strike/>
                <w:sz w:val="18"/>
                <w:szCs w:val="18"/>
                <w:lang w:val="fr-FR"/>
              </w:rPr>
              <w:t xml:space="preserve">E </w:t>
            </w:r>
            <w:r w:rsidRPr="00435E70">
              <w:rPr>
                <w:b/>
                <w:bCs/>
                <w:sz w:val="18"/>
                <w:szCs w:val="18"/>
                <w:lang w:val="fr-FR"/>
              </w:rPr>
              <w:t>I</w:t>
            </w:r>
            <w:r w:rsidRPr="00ED6495">
              <w:rPr>
                <w:sz w:val="18"/>
                <w:szCs w:val="18"/>
                <w:lang w:val="fr-FR"/>
              </w:rPr>
              <w:t xml:space="preserve"> max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6B66BF4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F58662C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7D54B3D2" w14:textId="77777777" w:rsidR="00435E70" w:rsidRPr="00ED6495" w:rsidRDefault="00435E70" w:rsidP="00F60E7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58379A6" w14:textId="77777777" w:rsidR="00435E70" w:rsidRPr="00ED6495" w:rsidRDefault="00435E70" w:rsidP="00F60E7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2A55D6DC" w14:textId="77777777" w:rsidR="00435E70" w:rsidRPr="002B45F6" w:rsidRDefault="00435E70" w:rsidP="00435E70">
      <w:pPr>
        <w:pStyle w:val="SingleTxtG"/>
        <w:spacing w:after="0" w:line="220" w:lineRule="atLeast"/>
        <w:rPr>
          <w:sz w:val="18"/>
          <w:szCs w:val="18"/>
          <w:lang w:val="fr-FR"/>
        </w:rPr>
      </w:pPr>
      <w:proofErr w:type="gramStart"/>
      <w:r w:rsidRPr="00741ED7">
        <w:rPr>
          <w:i/>
          <w:sz w:val="18"/>
          <w:szCs w:val="18"/>
          <w:lang w:val="fr-FR"/>
        </w:rPr>
        <w:t>Note:</w:t>
      </w:r>
      <w:proofErr w:type="gramEnd"/>
      <w:r w:rsidRPr="00741ED7">
        <w:rPr>
          <w:i/>
          <w:sz w:val="18"/>
          <w:szCs w:val="18"/>
          <w:lang w:val="fr-FR"/>
        </w:rPr>
        <w:t xml:space="preserve">  </w:t>
      </w:r>
      <w:r w:rsidRPr="002B45F6">
        <w:rPr>
          <w:sz w:val="18"/>
          <w:szCs w:val="18"/>
          <w:lang w:val="fr-FR"/>
        </w:rPr>
        <w:t>In the table:</w:t>
      </w:r>
    </w:p>
    <w:p w14:paraId="3A207E0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0B8EBC2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7DD55BE4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7D33225A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2DB9BF85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49F52FA7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5E31E771" w14:textId="77777777" w:rsidR="00435E70" w:rsidRPr="004262FA" w:rsidRDefault="00435E70" w:rsidP="00435E70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271056D1" w14:textId="77777777" w:rsidR="00435E70" w:rsidRDefault="00435E70" w:rsidP="00435E70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…”</w:t>
      </w:r>
    </w:p>
    <w:p w14:paraId="2D741C9B" w14:textId="5BDC7CD9" w:rsidR="00A52134" w:rsidRPr="0022516A" w:rsidRDefault="00806CCF" w:rsidP="0022516A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="007A18EE" w:rsidRPr="0022516A">
        <w:rPr>
          <w:rFonts w:eastAsia="SimSun"/>
        </w:rPr>
        <w:t xml:space="preserve">Supplement </w:t>
      </w:r>
      <w:r w:rsidR="000C295D">
        <w:rPr>
          <w:szCs w:val="24"/>
        </w:rPr>
        <w:t>10</w:t>
      </w:r>
      <w:r w:rsidR="007A18EE" w:rsidRPr="004306AA">
        <w:rPr>
          <w:szCs w:val="24"/>
        </w:rPr>
        <w:t xml:space="preserve"> </w:t>
      </w:r>
      <w:r w:rsidR="007A18EE" w:rsidRPr="0022516A">
        <w:rPr>
          <w:rFonts w:eastAsia="SimSun"/>
        </w:rPr>
        <w:t>to the 0</w:t>
      </w:r>
      <w:r w:rsidR="007A18EE">
        <w:rPr>
          <w:rFonts w:eastAsia="SimSun"/>
        </w:rPr>
        <w:t>1</w:t>
      </w:r>
      <w:r w:rsidR="007A18EE" w:rsidRPr="0022516A">
        <w:rPr>
          <w:rFonts w:eastAsia="SimSun"/>
        </w:rPr>
        <w:t xml:space="preserve"> series of amendments to UN Regulation No. </w:t>
      </w:r>
      <w:r w:rsidR="007A18EE">
        <w:rPr>
          <w:rFonts w:eastAsia="SimSun"/>
        </w:rPr>
        <w:t>123</w:t>
      </w:r>
    </w:p>
    <w:p w14:paraId="42A2E915" w14:textId="439B2EA4" w:rsidR="000C295D" w:rsidRPr="008D4CE3" w:rsidRDefault="000C295D" w:rsidP="000C295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bookmarkStart w:id="1" w:name="_Hlk41470378"/>
      <w:r w:rsidRPr="008D4CE3">
        <w:rPr>
          <w:i/>
        </w:rPr>
        <w:t xml:space="preserve">Annex </w:t>
      </w:r>
      <w:r w:rsidRPr="008D4CE3">
        <w:rPr>
          <w:rFonts w:hint="eastAsia"/>
          <w:i/>
          <w:lang w:eastAsia="ja-JP"/>
        </w:rPr>
        <w:t>2</w:t>
      </w:r>
      <w:r w:rsidRPr="008D4CE3">
        <w:rPr>
          <w:i/>
        </w:rPr>
        <w:t xml:space="preserve">, </w:t>
      </w:r>
      <w:r w:rsidR="00074E30">
        <w:rPr>
          <w:i/>
        </w:rPr>
        <w:t>e</w:t>
      </w:r>
      <w:r w:rsidRPr="008D4CE3">
        <w:rPr>
          <w:i/>
        </w:rPr>
        <w:t>xample 8</w:t>
      </w:r>
      <w:bookmarkEnd w:id="1"/>
      <w:r w:rsidRPr="008D4CE3">
        <w:rPr>
          <w:i/>
        </w:rPr>
        <w:t xml:space="preserve"> (</w:t>
      </w:r>
      <w:r>
        <w:rPr>
          <w:i/>
        </w:rPr>
        <w:t xml:space="preserve">after </w:t>
      </w:r>
      <w:r w:rsidR="00074E30">
        <w:rPr>
          <w:i/>
        </w:rPr>
        <w:t>f</w:t>
      </w:r>
      <w:r w:rsidRPr="008D4CE3">
        <w:rPr>
          <w:i/>
        </w:rPr>
        <w:t xml:space="preserve">igure 13), </w:t>
      </w:r>
      <w:r w:rsidRPr="008D4CE3">
        <w:rPr>
          <w:rFonts w:asciiTheme="majorBidi" w:hAnsiTheme="majorBidi" w:cstheme="majorBidi"/>
        </w:rPr>
        <w:t>amend to read:</w:t>
      </w:r>
    </w:p>
    <w:p w14:paraId="7ED4A48A" w14:textId="77777777" w:rsidR="000C295D" w:rsidRPr="00171C93" w:rsidRDefault="000C295D" w:rsidP="000C295D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 xml:space="preserve">“The system bearing the above approval marks meets the requirements of this Regulation (original version of the Regulation) in respect of both a passing-beam for left-hand traffic and a driving-beam with a maximum intensity comprised between </w:t>
      </w:r>
      <w:r w:rsidRPr="00171C93">
        <w:rPr>
          <w:iCs/>
          <w:strike/>
          <w:lang w:eastAsia="ja-JP"/>
        </w:rPr>
        <w:t>86,250</w:t>
      </w:r>
      <w:r w:rsidRPr="00171C93">
        <w:rPr>
          <w:b/>
          <w:bCs/>
          <w:iCs/>
          <w:lang w:eastAsia="ja-JP"/>
        </w:rPr>
        <w:t>123,625</w:t>
      </w:r>
      <w:r w:rsidRPr="00171C93">
        <w:rPr>
          <w:iCs/>
          <w:lang w:eastAsia="ja-JP"/>
        </w:rPr>
        <w:t xml:space="preserve"> and </w:t>
      </w:r>
      <w:r w:rsidRPr="00171C93">
        <w:rPr>
          <w:iCs/>
          <w:strike/>
          <w:lang w:eastAsia="ja-JP"/>
        </w:rPr>
        <w:t>101,250</w:t>
      </w:r>
      <w:r w:rsidRPr="00171C93">
        <w:rPr>
          <w:b/>
          <w:bCs/>
          <w:iCs/>
          <w:lang w:eastAsia="ja-JP"/>
        </w:rPr>
        <w:t>145,125</w:t>
      </w:r>
      <w:r w:rsidRPr="00171C93">
        <w:rPr>
          <w:iCs/>
          <w:lang w:eastAsia="ja-JP"/>
        </w:rPr>
        <w:t xml:space="preserve"> candelas (as indicated by the number 30) grouped with a front direction indicator lamp of category 1a, approved in accordance with the 01 series of amendments of Regulation No. 6 and a front position lamp approved in accordance with the 02 series of amendments of Regulation No. 7.</w:t>
      </w:r>
    </w:p>
    <w:p w14:paraId="3EB94123" w14:textId="77777777" w:rsidR="000C295D" w:rsidRPr="008D4CE3" w:rsidRDefault="000C295D" w:rsidP="000C295D">
      <w:pPr>
        <w:pStyle w:val="StyleSingleTxtGLeft2cmHanging206cm"/>
        <w:ind w:firstLine="0"/>
        <w:rPr>
          <w:iCs/>
          <w:lang w:eastAsia="ja-JP"/>
        </w:rPr>
      </w:pPr>
      <w:r w:rsidRPr="00171C93">
        <w:rPr>
          <w:iCs/>
          <w:lang w:eastAsia="ja-JP"/>
        </w:rPr>
        <w:t>…”</w:t>
      </w:r>
    </w:p>
    <w:p w14:paraId="49071E99" w14:textId="746CB42A" w:rsidR="0031652D" w:rsidRPr="0031652D" w:rsidRDefault="0031652D" w:rsidP="0031652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1652D">
        <w:rPr>
          <w:i/>
        </w:rPr>
        <w:t>Annex 4, introductory part</w:t>
      </w:r>
      <w:r w:rsidRPr="0031652D">
        <w:rPr>
          <w:rFonts w:asciiTheme="majorBidi" w:hAnsiTheme="majorBidi" w:cstheme="majorBidi"/>
        </w:rPr>
        <w:t>, amend to read:</w:t>
      </w:r>
    </w:p>
    <w:p w14:paraId="312DA614" w14:textId="00759141" w:rsidR="0031652D" w:rsidRPr="0031652D" w:rsidRDefault="00435E70" w:rsidP="0031652D">
      <w:pPr>
        <w:spacing w:after="120"/>
        <w:ind w:left="1701" w:right="1134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31652D" w:rsidRPr="0031652D">
        <w:t>Tests</w:t>
      </w:r>
      <w:r w:rsidR="0031652D" w:rsidRPr="0031652D">
        <w:rPr>
          <w:rFonts w:asciiTheme="majorBidi" w:hAnsiTheme="majorBidi" w:cstheme="majorBidi"/>
        </w:rPr>
        <w:t xml:space="preserve"> on complete systems</w:t>
      </w:r>
      <w:bookmarkStart w:id="2" w:name="_GoBack"/>
      <w:bookmarkEnd w:id="2"/>
    </w:p>
    <w:p w14:paraId="0AC71317" w14:textId="77777777" w:rsidR="0031652D" w:rsidRDefault="0031652D" w:rsidP="0031652D">
      <w:pPr>
        <w:pStyle w:val="StyleSingleTxtGLeft2cmHanging206cm"/>
        <w:ind w:firstLine="0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Once the photometric values have been measured according to the prescriptions of this Regulation, in the point of Imax for driving beam and in points 25L</w:t>
      </w:r>
      <w:r w:rsidRPr="0031652D">
        <w:rPr>
          <w:rFonts w:asciiTheme="majorBidi" w:hAnsiTheme="majorBidi" w:cstheme="majorBidi"/>
          <w:b/>
        </w:rPr>
        <w:t>L</w:t>
      </w:r>
      <w:r w:rsidRPr="0031652D">
        <w:rPr>
          <w:rFonts w:asciiTheme="majorBidi" w:hAnsiTheme="majorBidi" w:cstheme="majorBidi"/>
        </w:rPr>
        <w:t xml:space="preserve">, 50V and B50L (or </w:t>
      </w:r>
      <w:r w:rsidRPr="0031652D">
        <w:rPr>
          <w:rFonts w:asciiTheme="majorBidi" w:hAnsiTheme="majorBidi" w:cstheme="majorBidi"/>
          <w:b/>
        </w:rPr>
        <w:t>25R</w:t>
      </w:r>
      <w:r w:rsidRPr="0031652D">
        <w:rPr>
          <w:rFonts w:asciiTheme="majorBidi" w:hAnsiTheme="majorBidi" w:cstheme="majorBidi"/>
        </w:rPr>
        <w:t>R</w:t>
      </w:r>
      <w:r w:rsidRPr="0031652D">
        <w:rPr>
          <w:rFonts w:asciiTheme="majorBidi" w:hAnsiTheme="majorBidi" w:cstheme="majorBidi"/>
          <w:b/>
        </w:rPr>
        <w:t>, 50V and B50R for headlamps designed for left-hand traffic</w:t>
      </w:r>
      <w:r w:rsidRPr="0031652D">
        <w:rPr>
          <w:rFonts w:asciiTheme="majorBidi" w:hAnsiTheme="majorBidi" w:cstheme="majorBidi"/>
        </w:rPr>
        <w:t>), whichever applies for passing beam, a complete system sample shall be tested for stability of photometric performance in operation.</w:t>
      </w:r>
    </w:p>
    <w:p w14:paraId="3F492695" w14:textId="5DF3C68F" w:rsidR="0031652D" w:rsidRDefault="0031652D" w:rsidP="0031652D">
      <w:pPr>
        <w:pStyle w:val="StyleSingleTxtGLeft2cmHanging206cm"/>
        <w:ind w:firstLine="0"/>
        <w:jc w:val="left"/>
        <w:rPr>
          <w:rFonts w:asciiTheme="majorBidi" w:hAnsiTheme="majorBidi" w:cstheme="majorBidi"/>
        </w:rPr>
      </w:pPr>
      <w:r w:rsidRPr="0031652D">
        <w:rPr>
          <w:rFonts w:asciiTheme="majorBidi" w:hAnsiTheme="majorBidi" w:cstheme="majorBidi"/>
        </w:rPr>
        <w:t>…”</w:t>
      </w:r>
    </w:p>
    <w:p w14:paraId="0A2F4BDE" w14:textId="77777777" w:rsidR="000C295D" w:rsidRPr="000C295D" w:rsidRDefault="000C295D" w:rsidP="000C295D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0C295D">
        <w:rPr>
          <w:i/>
        </w:rPr>
        <w:t>Annex 4, paragraph 1.1.2.2.</w:t>
      </w:r>
      <w:r w:rsidRPr="000C295D">
        <w:rPr>
          <w:rFonts w:asciiTheme="majorBidi" w:hAnsiTheme="majorBidi" w:cstheme="majorBidi"/>
        </w:rPr>
        <w:t>, amend to read:</w:t>
      </w:r>
    </w:p>
    <w:p w14:paraId="537E35C6" w14:textId="77777777" w:rsidR="000C295D" w:rsidRPr="000C295D" w:rsidRDefault="000C295D" w:rsidP="000C295D">
      <w:pPr>
        <w:pStyle w:val="SingleTxtG"/>
        <w:ind w:left="2268" w:hanging="1134"/>
      </w:pPr>
      <w:r w:rsidRPr="000C295D">
        <w:rPr>
          <w:rFonts w:asciiTheme="majorBidi" w:hAnsiTheme="majorBidi" w:cstheme="majorBidi"/>
        </w:rPr>
        <w:t>“</w:t>
      </w:r>
      <w:r w:rsidRPr="000C295D">
        <w:t>1.1.2.2.</w:t>
      </w:r>
      <w:r w:rsidRPr="000C295D">
        <w:tab/>
        <w:t>Photometric test:</w:t>
      </w:r>
    </w:p>
    <w:p w14:paraId="2BE1DAA0" w14:textId="77777777" w:rsidR="000C295D" w:rsidRPr="000C295D" w:rsidRDefault="000C295D" w:rsidP="000C295D">
      <w:pPr>
        <w:pStyle w:val="SingleTxtG"/>
        <w:ind w:left="2268"/>
      </w:pPr>
      <w:r w:rsidRPr="000C295D">
        <w:t>To comply with the requirements of this Regulation, the photometric values shall be verified in the following points:</w:t>
      </w:r>
    </w:p>
    <w:p w14:paraId="128D02F8" w14:textId="77777777" w:rsidR="000C295D" w:rsidRPr="000C295D" w:rsidRDefault="000C295D" w:rsidP="000C295D">
      <w:pPr>
        <w:pStyle w:val="SingleTxtG"/>
        <w:ind w:left="2268"/>
      </w:pPr>
      <w:r w:rsidRPr="000C295D">
        <w:t xml:space="preserve">Class C passing-beam, and each specified other passing-beam class: 50V, B50L, and </w:t>
      </w:r>
      <w:r w:rsidRPr="000C295D">
        <w:rPr>
          <w:lang w:eastAsia="ja-JP"/>
        </w:rPr>
        <w:t>2</w:t>
      </w:r>
      <w:r w:rsidRPr="000C295D">
        <w:t>5</w:t>
      </w:r>
      <w:r w:rsidRPr="000C295D">
        <w:rPr>
          <w:strike/>
        </w:rPr>
        <w:t>RR</w:t>
      </w:r>
      <w:r w:rsidRPr="000C295D">
        <w:rPr>
          <w:b/>
        </w:rPr>
        <w:t>LL</w:t>
      </w:r>
      <w:r w:rsidRPr="000C295D">
        <w:t>, if applicable.</w:t>
      </w:r>
    </w:p>
    <w:p w14:paraId="46B7AB93" w14:textId="77777777" w:rsidR="000C295D" w:rsidRPr="000C295D" w:rsidRDefault="000C295D" w:rsidP="000C295D">
      <w:pPr>
        <w:pStyle w:val="StyleSingleTxtGLeft2cmHanging206cm"/>
        <w:ind w:firstLine="0"/>
        <w:jc w:val="left"/>
      </w:pPr>
      <w:r w:rsidRPr="000C295D">
        <w:t>…”</w:t>
      </w:r>
    </w:p>
    <w:p w14:paraId="026D2BF0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6E9DB0A6" w14:textId="7AB3F3F1" w:rsidR="002C11AB" w:rsidRPr="003C3022" w:rsidRDefault="00EB4F5F" w:rsidP="002C11AB">
      <w:pPr>
        <w:spacing w:after="120"/>
        <w:ind w:left="1134" w:right="1134"/>
        <w:jc w:val="both"/>
        <w:rPr>
          <w:bCs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A18EE" w:rsidRPr="007A18EE">
        <w:rPr>
          <w:lang w:val="en-US"/>
        </w:rPr>
        <w:t xml:space="preserve">The proposal to rename the points of maximum luminous intensity on the right and the left part of the passing beam pattern </w:t>
      </w:r>
      <w:r w:rsidR="005D0FA8">
        <w:rPr>
          <w:lang w:val="en-US"/>
        </w:rPr>
        <w:t xml:space="preserve">corrects a </w:t>
      </w:r>
      <w:r w:rsidR="007A18EE" w:rsidRPr="007A18EE">
        <w:rPr>
          <w:lang w:val="en-US"/>
        </w:rPr>
        <w:t xml:space="preserve">mistake </w:t>
      </w:r>
      <w:r w:rsidR="005D0FA8">
        <w:rPr>
          <w:lang w:val="en-US"/>
        </w:rPr>
        <w:t xml:space="preserve">which was </w:t>
      </w:r>
      <w:r w:rsidR="009A2F28">
        <w:rPr>
          <w:lang w:val="en-US"/>
        </w:rPr>
        <w:t xml:space="preserve">made </w:t>
      </w:r>
      <w:r w:rsidR="005D0FA8">
        <w:rPr>
          <w:lang w:val="en-US"/>
        </w:rPr>
        <w:t xml:space="preserve">by the </w:t>
      </w:r>
      <w:r w:rsidR="005D0FA8" w:rsidRPr="007A18EE">
        <w:rPr>
          <w:lang w:val="en-US"/>
        </w:rPr>
        <w:t>01 series of amendments to UN</w:t>
      </w:r>
      <w:r w:rsidR="005D0FA8">
        <w:rPr>
          <w:lang w:val="en-US"/>
        </w:rPr>
        <w:t xml:space="preserve"> </w:t>
      </w:r>
      <w:r w:rsidR="005D0FA8" w:rsidRPr="007A18EE">
        <w:rPr>
          <w:lang w:val="en-US"/>
        </w:rPr>
        <w:t>R</w:t>
      </w:r>
      <w:r w:rsidR="005D0FA8">
        <w:rPr>
          <w:lang w:val="en-US"/>
        </w:rPr>
        <w:t xml:space="preserve">egulation No. </w:t>
      </w:r>
      <w:r w:rsidR="005D0FA8" w:rsidRPr="007A18EE">
        <w:rPr>
          <w:lang w:val="en-US"/>
        </w:rPr>
        <w:t>98</w:t>
      </w:r>
      <w:r w:rsidR="005D0FA8">
        <w:rPr>
          <w:lang w:val="en-US"/>
        </w:rPr>
        <w:t xml:space="preserve"> when </w:t>
      </w:r>
      <w:r w:rsidR="007A18EE" w:rsidRPr="007A18EE">
        <w:rPr>
          <w:lang w:val="en-US"/>
        </w:rPr>
        <w:t xml:space="preserve">luminous intensity measurements </w:t>
      </w:r>
      <w:r w:rsidR="009A2F28">
        <w:rPr>
          <w:lang w:val="en-US"/>
        </w:rPr>
        <w:t xml:space="preserve">were introduced </w:t>
      </w:r>
      <w:r w:rsidR="007A18EE" w:rsidRPr="007A18EE">
        <w:rPr>
          <w:lang w:val="en-US"/>
        </w:rPr>
        <w:t xml:space="preserve">instead of illuminance measurements: change of </w:t>
      </w:r>
      <w:r w:rsidR="005D0FA8">
        <w:rPr>
          <w:lang w:val="en-US"/>
        </w:rPr>
        <w:t xml:space="preserve">the </w:t>
      </w:r>
      <w:r w:rsidR="007A18EE" w:rsidRPr="007A18EE">
        <w:rPr>
          <w:lang w:val="en-US"/>
        </w:rPr>
        <w:t xml:space="preserve">symbols “E max R” and “E max L” to “I max R” and “I max L” was not </w:t>
      </w:r>
      <w:r w:rsidR="005D0FA8">
        <w:rPr>
          <w:lang w:val="en-US"/>
        </w:rPr>
        <w:t>done</w:t>
      </w:r>
      <w:r w:rsidR="002C11AB" w:rsidRPr="003C3022">
        <w:rPr>
          <w:bCs/>
        </w:rPr>
        <w:t>.</w:t>
      </w:r>
    </w:p>
    <w:p w14:paraId="3BE44924" w14:textId="77777777" w:rsidR="000C295D" w:rsidRDefault="002C11AB" w:rsidP="002C11AB">
      <w:pPr>
        <w:spacing w:after="120"/>
        <w:ind w:left="1134" w:right="1134"/>
        <w:jc w:val="both"/>
        <w:rPr>
          <w:lang w:val="en-US"/>
        </w:rPr>
      </w:pPr>
      <w:r>
        <w:t>2.</w:t>
      </w:r>
      <w:r>
        <w:tab/>
      </w:r>
      <w:r w:rsidR="007A18EE" w:rsidRPr="007A18EE">
        <w:rPr>
          <w:lang w:val="en-US"/>
        </w:rPr>
        <w:t xml:space="preserve">The proposal to </w:t>
      </w:r>
      <w:r w:rsidR="005D0FA8">
        <w:rPr>
          <w:lang w:val="en-US"/>
        </w:rPr>
        <w:t xml:space="preserve">amend </w:t>
      </w:r>
      <w:r w:rsidR="007A18EE" w:rsidRPr="007A18EE">
        <w:rPr>
          <w:lang w:val="en-US"/>
        </w:rPr>
        <w:t>UN</w:t>
      </w:r>
      <w:r w:rsidR="005D0FA8">
        <w:rPr>
          <w:lang w:val="en-US"/>
        </w:rPr>
        <w:t xml:space="preserve"> Regulation No. </w:t>
      </w:r>
      <w:r w:rsidR="007A18EE" w:rsidRPr="007A18EE">
        <w:rPr>
          <w:lang w:val="en-US"/>
        </w:rPr>
        <w:t xml:space="preserve">123 </w:t>
      </w:r>
      <w:r w:rsidR="005D0FA8">
        <w:rPr>
          <w:lang w:val="en-US"/>
        </w:rPr>
        <w:t>corrects a mistake intro</w:t>
      </w:r>
      <w:r w:rsidR="007A18EE" w:rsidRPr="007A18EE">
        <w:rPr>
          <w:lang w:val="en-US"/>
        </w:rPr>
        <w:t xml:space="preserve">duced </w:t>
      </w:r>
      <w:r w:rsidR="005D0FA8">
        <w:rPr>
          <w:lang w:val="en-US"/>
        </w:rPr>
        <w:t>by S</w:t>
      </w:r>
      <w:r w:rsidR="007A18EE" w:rsidRPr="007A18EE">
        <w:rPr>
          <w:lang w:val="en-US"/>
        </w:rPr>
        <w:t xml:space="preserve">upplement 8 to the 01 series of amendments: </w:t>
      </w:r>
    </w:p>
    <w:p w14:paraId="2C9166C5" w14:textId="32103353" w:rsidR="000C295D" w:rsidRPr="00074E30" w:rsidRDefault="000C295D" w:rsidP="00074E30">
      <w:pPr>
        <w:pStyle w:val="ListParagraph"/>
        <w:numPr>
          <w:ilvl w:val="0"/>
          <w:numId w:val="27"/>
        </w:numPr>
        <w:spacing w:after="120"/>
        <w:ind w:left="1701" w:right="1134" w:hanging="567"/>
        <w:contextualSpacing w:val="0"/>
        <w:jc w:val="both"/>
        <w:rPr>
          <w:lang w:val="en-US"/>
        </w:rPr>
      </w:pPr>
      <w:r w:rsidRPr="00074E30">
        <w:rPr>
          <w:lang w:val="en-US"/>
        </w:rPr>
        <w:t xml:space="preserve">For Annex 2, </w:t>
      </w:r>
      <w:r w:rsidR="00074E30">
        <w:rPr>
          <w:lang w:val="en-US"/>
        </w:rPr>
        <w:t xml:space="preserve">the </w:t>
      </w:r>
      <w:r w:rsidRPr="00074E30">
        <w:rPr>
          <w:lang w:val="en-US"/>
        </w:rPr>
        <w:t xml:space="preserve">maximum intensity corresponding to the number 30 should be corrected to “between 123,625 and 145,125”. This correction is needed because the modification from 12V to 13.2V was not implemented in </w:t>
      </w:r>
      <w:r w:rsidR="004522CA">
        <w:rPr>
          <w:lang w:val="en-US"/>
        </w:rPr>
        <w:t>e</w:t>
      </w:r>
      <w:r w:rsidRPr="00074E30">
        <w:rPr>
          <w:lang w:val="en-US"/>
        </w:rPr>
        <w:t>xample 8.</w:t>
      </w:r>
    </w:p>
    <w:p w14:paraId="76165E54" w14:textId="4C7621FE" w:rsidR="00E933B8" w:rsidRPr="00074E30" w:rsidRDefault="000C295D" w:rsidP="00074E30">
      <w:pPr>
        <w:pStyle w:val="ListParagraph"/>
        <w:numPr>
          <w:ilvl w:val="0"/>
          <w:numId w:val="27"/>
        </w:numPr>
        <w:spacing w:after="120"/>
        <w:ind w:left="1701" w:right="1134" w:hanging="567"/>
        <w:jc w:val="both"/>
        <w:rPr>
          <w:b/>
          <w:lang w:eastAsia="it-IT"/>
        </w:rPr>
      </w:pPr>
      <w:r w:rsidRPr="00074E30">
        <w:rPr>
          <w:lang w:val="en-US"/>
        </w:rPr>
        <w:t xml:space="preserve">For Annex 4, the measuring points 25L (for right-hand traffic) and 25R (for left-hand traffic) do not exist in the photometric requirements according to Annex 3 and </w:t>
      </w:r>
      <w:proofErr w:type="gramStart"/>
      <w:r w:rsidRPr="00074E30">
        <w:rPr>
          <w:lang w:val="en-US"/>
        </w:rPr>
        <w:t>have to</w:t>
      </w:r>
      <w:proofErr w:type="gramEnd"/>
      <w:r w:rsidRPr="00074E30">
        <w:rPr>
          <w:lang w:val="en-US"/>
        </w:rPr>
        <w:t xml:space="preserve"> be corrected to 25LL and 25RR</w:t>
      </w:r>
      <w:r w:rsidR="004522CA">
        <w:rPr>
          <w:lang w:val="en-US"/>
        </w:rPr>
        <w:t>,</w:t>
      </w:r>
      <w:r w:rsidRPr="00074E30">
        <w:rPr>
          <w:lang w:val="en-US"/>
        </w:rPr>
        <w:t xml:space="preserve"> respectively. This correction applies to both the introductory part of Annex 4 as well to paragraph 1.1.2.2. of the same Annex where additionally an inconsistency </w:t>
      </w:r>
      <w:r w:rsidR="004522CA" w:rsidRPr="00074E30">
        <w:rPr>
          <w:lang w:val="en-US"/>
        </w:rPr>
        <w:t xml:space="preserve">is corrected </w:t>
      </w:r>
      <w:r w:rsidR="004522CA">
        <w:rPr>
          <w:lang w:val="en-US"/>
        </w:rPr>
        <w:t xml:space="preserve">in </w:t>
      </w:r>
      <w:r w:rsidRPr="00074E30">
        <w:rPr>
          <w:lang w:val="en-US"/>
        </w:rPr>
        <w:t>the introductory part.</w:t>
      </w:r>
    </w:p>
    <w:p w14:paraId="55808AF4" w14:textId="5651E2ED" w:rsidR="00074E30" w:rsidRPr="00074E30" w:rsidRDefault="00074E30" w:rsidP="00074E30">
      <w:pPr>
        <w:pStyle w:val="ListParagraph"/>
        <w:spacing w:after="120"/>
        <w:ind w:left="1701" w:right="1134" w:hanging="567"/>
        <w:jc w:val="center"/>
        <w:rPr>
          <w:b/>
          <w:lang w:eastAsia="it-IT"/>
        </w:rPr>
      </w:pPr>
      <w:r>
        <w:rPr>
          <w:lang w:val="en-US"/>
        </w:rPr>
        <w:t>___________</w:t>
      </w:r>
    </w:p>
    <w:sectPr w:rsidR="00074E30" w:rsidRPr="00074E30" w:rsidSect="00D92536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64C9" w14:textId="77777777" w:rsidR="00746D56" w:rsidRDefault="00746D56"/>
  </w:endnote>
  <w:endnote w:type="continuationSeparator" w:id="0">
    <w:p w14:paraId="15F6A7ED" w14:textId="77777777" w:rsidR="00746D56" w:rsidRDefault="00746D56"/>
  </w:endnote>
  <w:endnote w:type="continuationNotice" w:id="1">
    <w:p w14:paraId="1451F840" w14:textId="77777777" w:rsidR="00746D56" w:rsidRDefault="00746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0FB3" w14:textId="26602117" w:rsidR="00C740F6" w:rsidRDefault="00A5345F">
    <w:pPr>
      <w:pStyle w:val="Footer"/>
    </w:pPr>
    <w:r>
      <w:rPr>
        <w:b/>
        <w:noProof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571" w14:textId="2F5D530E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="00A5345F">
      <w:rPr>
        <w:b/>
        <w:noProof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7524" w14:textId="77777777" w:rsidR="00746D56" w:rsidRPr="000B175B" w:rsidRDefault="00746D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1446CB" w14:textId="77777777" w:rsidR="00746D56" w:rsidRPr="00FC68B7" w:rsidRDefault="00746D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C28D68" w14:textId="77777777" w:rsidR="00746D56" w:rsidRDefault="00746D56"/>
  </w:footnote>
  <w:footnote w:id="2">
    <w:p w14:paraId="31DC474D" w14:textId="2A1D3175" w:rsidR="007A18EE" w:rsidRPr="004876E3" w:rsidRDefault="007A18EE" w:rsidP="0039580F">
      <w:pPr>
        <w:pStyle w:val="FootnoteText"/>
      </w:pPr>
      <w:r w:rsidRPr="00A90EA8">
        <w:tab/>
      </w:r>
      <w:r w:rsidRPr="0039580F">
        <w:rPr>
          <w:rStyle w:val="FootnoteReference"/>
          <w:sz w:val="20"/>
          <w:lang w:val="en-US"/>
        </w:rPr>
        <w:t>*</w:t>
      </w:r>
      <w:r w:rsidRPr="0039580F">
        <w:rPr>
          <w:lang w:val="en-US"/>
        </w:rPr>
        <w:tab/>
      </w:r>
      <w:r w:rsidR="0039580F" w:rsidRPr="0039580F">
        <w:rPr>
          <w:szCs w:val="18"/>
          <w:lang w:val="en-US"/>
        </w:rPr>
        <w:t>In</w:t>
      </w:r>
      <w:r w:rsidR="0039580F" w:rsidRPr="0055555E">
        <w:rPr>
          <w:szCs w:val="18"/>
          <w:lang w:val="en-US"/>
        </w:rPr>
        <w:t xml:space="preserve">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958A" w14:textId="12BAB6BE" w:rsidR="00C740F6" w:rsidRPr="006C395D" w:rsidRDefault="00C740F6" w:rsidP="005726B5">
    <w:pPr>
      <w:pStyle w:val="Header"/>
    </w:pPr>
    <w:r w:rsidRPr="00D92536">
      <w:t>ECE/TRANS/WP.29/GRE/20</w:t>
    </w:r>
    <w:r w:rsidR="00653086" w:rsidRPr="00D92536">
      <w:t>20</w:t>
    </w:r>
    <w:r w:rsidRPr="00D92536">
      <w:t>/</w:t>
    </w:r>
    <w:r w:rsidR="00D92536" w:rsidRPr="00074E30">
      <w:t>11</w:t>
    </w:r>
    <w:r w:rsidR="000C295D" w:rsidRPr="00074E3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3277" w14:textId="6B2D4523" w:rsidR="00C740F6" w:rsidRPr="006C395D" w:rsidRDefault="00C740F6" w:rsidP="005957A4">
    <w:pPr>
      <w:pStyle w:val="Header"/>
      <w:jc w:val="right"/>
    </w:pPr>
    <w:r w:rsidRPr="00074E30">
      <w:t>ECE/TRANS/WP.29/GRE/20</w:t>
    </w:r>
    <w:r w:rsidR="001A13D4" w:rsidRPr="00074E30">
      <w:t>20</w:t>
    </w:r>
    <w:r w:rsidRPr="00074E30">
      <w:t>/</w:t>
    </w:r>
    <w:r w:rsidR="00D92536" w:rsidRPr="00074E30">
      <w:t>11</w:t>
    </w:r>
    <w:r w:rsidR="000C295D" w:rsidRPr="00074E30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640AC3"/>
    <w:multiLevelType w:val="hybridMultilevel"/>
    <w:tmpl w:val="0E344A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4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8"/>
  </w:num>
  <w:num w:numId="9">
    <w:abstractNumId w:val="10"/>
  </w:num>
  <w:num w:numId="10">
    <w:abstractNumId w:val="11"/>
  </w:num>
  <w:num w:numId="11">
    <w:abstractNumId w:val="9"/>
  </w:num>
  <w:num w:numId="12">
    <w:abstractNumId w:val="19"/>
  </w:num>
  <w:num w:numId="13">
    <w:abstractNumId w:val="3"/>
  </w:num>
  <w:num w:numId="14">
    <w:abstractNumId w:val="13"/>
  </w:num>
  <w:num w:numId="15">
    <w:abstractNumId w:val="8"/>
  </w:num>
  <w:num w:numId="16">
    <w:abstractNumId w:val="24"/>
  </w:num>
  <w:num w:numId="17">
    <w:abstractNumId w:val="2"/>
  </w:num>
  <w:num w:numId="18">
    <w:abstractNumId w:val="4"/>
  </w:num>
  <w:num w:numId="19">
    <w:abstractNumId w:val="15"/>
  </w:num>
  <w:num w:numId="20">
    <w:abstractNumId w:val="7"/>
  </w:num>
  <w:num w:numId="21">
    <w:abstractNumId w:val="17"/>
  </w:num>
  <w:num w:numId="22">
    <w:abstractNumId w:val="2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4E30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978C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95D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3F50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BE2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2058"/>
    <w:rsid w:val="001A2084"/>
    <w:rsid w:val="001A2FE5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1FF1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1AB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2D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55C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580F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2FA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5E70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2CA"/>
    <w:rsid w:val="00452B94"/>
    <w:rsid w:val="00454772"/>
    <w:rsid w:val="00455A1A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0FA8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086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6D56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8EE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F28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5F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BFE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945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DB7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536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2526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0EA2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38F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148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05D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87979-9587-4671-BD95-2C85973523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da3587-ba2b-44a8-8c68-e0670579f7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C7343-4C27-445E-B7F6-15092AFB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826</Words>
  <Characters>4713</Characters>
  <Application>Microsoft Office Word</Application>
  <DocSecurity>4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ECE/TRANS/WP.29/GRE/2020/11</vt:lpstr>
      <vt:lpstr>ECE/TRANS/WP.29/GRE/2019/28</vt:lpstr>
      <vt:lpstr>ECE/TRANS/WP.29/GRE/2019/6</vt:lpstr>
      <vt:lpstr>ECE/TRANS/WP.29/GRE/2019/6</vt:lpstr>
    </vt:vector>
  </TitlesOfParts>
  <Company>CSD</Company>
  <LinksUpToDate>false</LinksUpToDate>
  <CharactersWithSpaces>5528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ECE/TRANS/WP.29/GRE/2020/11</dc:title>
  <dc:subject>2001764</dc:subject>
  <dc:creator>AFTER JUNE</dc:creator>
  <cp:keywords/>
  <dc:description/>
  <cp:lastModifiedBy>Benedicte Boudol</cp:lastModifiedBy>
  <cp:revision>2</cp:revision>
  <cp:lastPrinted>2019-07-28T12:29:00Z</cp:lastPrinted>
  <dcterms:created xsi:type="dcterms:W3CDTF">2020-08-04T07:13:00Z</dcterms:created>
  <dcterms:modified xsi:type="dcterms:W3CDTF">2020-08-04T07:13:00Z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