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F34FB23" w14:textId="77777777" w:rsidTr="00C97039">
        <w:trPr>
          <w:trHeight w:hRule="exact" w:val="851"/>
        </w:trPr>
        <w:tc>
          <w:tcPr>
            <w:tcW w:w="1276" w:type="dxa"/>
            <w:tcBorders>
              <w:bottom w:val="single" w:sz="4" w:space="0" w:color="auto"/>
            </w:tcBorders>
          </w:tcPr>
          <w:p w14:paraId="44CF39D7" w14:textId="77777777" w:rsidR="00F35BAF" w:rsidRPr="00DB58B5" w:rsidRDefault="00F35BAF" w:rsidP="00127605"/>
        </w:tc>
        <w:tc>
          <w:tcPr>
            <w:tcW w:w="2268" w:type="dxa"/>
            <w:tcBorders>
              <w:bottom w:val="single" w:sz="4" w:space="0" w:color="auto"/>
            </w:tcBorders>
            <w:vAlign w:val="bottom"/>
          </w:tcPr>
          <w:p w14:paraId="5CEAD1B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7CF0F7" w14:textId="77777777" w:rsidR="00F35BAF" w:rsidRPr="00DB58B5" w:rsidRDefault="00127605" w:rsidP="00127605">
            <w:pPr>
              <w:jc w:val="right"/>
            </w:pPr>
            <w:r w:rsidRPr="00127605">
              <w:rPr>
                <w:sz w:val="40"/>
              </w:rPr>
              <w:t>ECE</w:t>
            </w:r>
            <w:r>
              <w:t>/TRANS/WP.29/GRE/2020/9</w:t>
            </w:r>
          </w:p>
        </w:tc>
      </w:tr>
      <w:tr w:rsidR="00F35BAF" w:rsidRPr="00DB58B5" w14:paraId="426A2D4D" w14:textId="77777777" w:rsidTr="00C97039">
        <w:trPr>
          <w:trHeight w:hRule="exact" w:val="2835"/>
        </w:trPr>
        <w:tc>
          <w:tcPr>
            <w:tcW w:w="1276" w:type="dxa"/>
            <w:tcBorders>
              <w:top w:val="single" w:sz="4" w:space="0" w:color="auto"/>
              <w:bottom w:val="single" w:sz="12" w:space="0" w:color="auto"/>
            </w:tcBorders>
          </w:tcPr>
          <w:p w14:paraId="3E934B87" w14:textId="77777777" w:rsidR="00F35BAF" w:rsidRPr="00DB58B5" w:rsidRDefault="00F35BAF" w:rsidP="00C97039">
            <w:pPr>
              <w:spacing w:before="120"/>
              <w:jc w:val="center"/>
            </w:pPr>
            <w:r>
              <w:rPr>
                <w:noProof/>
                <w:lang w:eastAsia="fr-CH"/>
              </w:rPr>
              <w:drawing>
                <wp:inline distT="0" distB="0" distL="0" distR="0" wp14:anchorId="13960E36" wp14:editId="7EABEB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C53D6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D17D93" w14:textId="77777777" w:rsidR="00F35BAF" w:rsidRDefault="00127605" w:rsidP="00C97039">
            <w:pPr>
              <w:spacing w:before="240"/>
            </w:pPr>
            <w:r>
              <w:t>Distr. générale</w:t>
            </w:r>
          </w:p>
          <w:p w14:paraId="6FCB2C1E" w14:textId="77777777" w:rsidR="00127605" w:rsidRDefault="00127605" w:rsidP="00127605">
            <w:pPr>
              <w:spacing w:line="240" w:lineRule="exact"/>
            </w:pPr>
            <w:r>
              <w:t>6 février 2020</w:t>
            </w:r>
          </w:p>
          <w:p w14:paraId="6068722F" w14:textId="77777777" w:rsidR="00127605" w:rsidRDefault="00127605" w:rsidP="00127605">
            <w:pPr>
              <w:spacing w:line="240" w:lineRule="exact"/>
            </w:pPr>
            <w:r>
              <w:t>Français</w:t>
            </w:r>
          </w:p>
          <w:p w14:paraId="21F15582" w14:textId="77777777" w:rsidR="00127605" w:rsidRPr="00DB58B5" w:rsidRDefault="00127605" w:rsidP="00127605">
            <w:pPr>
              <w:spacing w:line="240" w:lineRule="exact"/>
            </w:pPr>
            <w:r>
              <w:t>Original : anglais</w:t>
            </w:r>
          </w:p>
        </w:tc>
      </w:tr>
    </w:tbl>
    <w:p w14:paraId="7E58AAFA" w14:textId="77777777" w:rsidR="007F20FA" w:rsidRPr="000312C0" w:rsidRDefault="007F20FA" w:rsidP="007F20FA">
      <w:pPr>
        <w:spacing w:before="120"/>
        <w:rPr>
          <w:b/>
          <w:sz w:val="28"/>
          <w:szCs w:val="28"/>
        </w:rPr>
      </w:pPr>
      <w:r w:rsidRPr="000312C0">
        <w:rPr>
          <w:b/>
          <w:sz w:val="28"/>
          <w:szCs w:val="28"/>
        </w:rPr>
        <w:t>Commission économique pour l’Europe</w:t>
      </w:r>
    </w:p>
    <w:p w14:paraId="2AA42804" w14:textId="77777777" w:rsidR="007F20FA" w:rsidRDefault="007F20FA" w:rsidP="007F20FA">
      <w:pPr>
        <w:spacing w:before="120"/>
        <w:rPr>
          <w:sz w:val="28"/>
          <w:szCs w:val="28"/>
        </w:rPr>
      </w:pPr>
      <w:r w:rsidRPr="00685843">
        <w:rPr>
          <w:sz w:val="28"/>
          <w:szCs w:val="28"/>
        </w:rPr>
        <w:t>Comité des transports intérieurs</w:t>
      </w:r>
    </w:p>
    <w:p w14:paraId="769FEA35" w14:textId="77777777" w:rsidR="00127605" w:rsidRPr="008B2D2C" w:rsidRDefault="00127605" w:rsidP="008B2D2C">
      <w:pPr>
        <w:spacing w:before="120"/>
        <w:rPr>
          <w:b/>
          <w:sz w:val="24"/>
          <w:szCs w:val="24"/>
        </w:rPr>
      </w:pPr>
      <w:r w:rsidRPr="008B2D2C">
        <w:rPr>
          <w:b/>
          <w:sz w:val="24"/>
          <w:szCs w:val="24"/>
        </w:rPr>
        <w:t>Forum mondial de l’harmonisation</w:t>
      </w:r>
      <w:r w:rsidRPr="008B2D2C">
        <w:rPr>
          <w:b/>
          <w:sz w:val="24"/>
          <w:szCs w:val="24"/>
        </w:rPr>
        <w:br/>
        <w:t>des Règlements concernant les véhicules</w:t>
      </w:r>
    </w:p>
    <w:p w14:paraId="6FE8DB67" w14:textId="77777777" w:rsidR="00127605" w:rsidRPr="008B2D2C" w:rsidRDefault="00127605" w:rsidP="008B2D2C">
      <w:pPr>
        <w:spacing w:before="120"/>
        <w:rPr>
          <w:b/>
        </w:rPr>
      </w:pPr>
      <w:r w:rsidRPr="008B2D2C">
        <w:rPr>
          <w:b/>
        </w:rPr>
        <w:t>Groupe de travail de l’éclairage et de la signalisation lumineuse</w:t>
      </w:r>
    </w:p>
    <w:p w14:paraId="5335EAD7" w14:textId="77777777" w:rsidR="00127605" w:rsidRPr="008B2D2C" w:rsidRDefault="00127605" w:rsidP="008B2D2C">
      <w:pPr>
        <w:spacing w:before="120"/>
        <w:rPr>
          <w:b/>
        </w:rPr>
      </w:pPr>
      <w:r w:rsidRPr="008B2D2C">
        <w:rPr>
          <w:b/>
          <w:bCs/>
        </w:rPr>
        <w:t xml:space="preserve">Quatre-vingt-troisième </w:t>
      </w:r>
      <w:r w:rsidRPr="008B2D2C">
        <w:rPr>
          <w:b/>
        </w:rPr>
        <w:t>session</w:t>
      </w:r>
    </w:p>
    <w:p w14:paraId="567F0DA6" w14:textId="77777777" w:rsidR="00127605" w:rsidRPr="008B2D2C" w:rsidRDefault="00127605" w:rsidP="00127605">
      <w:r w:rsidRPr="008B2D2C">
        <w:t>Genève,</w:t>
      </w:r>
      <w:r w:rsidRPr="008B2D2C">
        <w:rPr>
          <w:rFonts w:eastAsia="Times New Roman"/>
        </w:rPr>
        <w:t xml:space="preserve"> 21</w:t>
      </w:r>
      <w:r w:rsidR="008B2D2C">
        <w:rPr>
          <w:rFonts w:eastAsia="Times New Roman"/>
        </w:rPr>
        <w:t>-</w:t>
      </w:r>
      <w:r w:rsidRPr="008B2D2C">
        <w:rPr>
          <w:rFonts w:eastAsia="Times New Roman"/>
        </w:rPr>
        <w:t>24</w:t>
      </w:r>
      <w:r w:rsidR="008B2D2C">
        <w:rPr>
          <w:rFonts w:eastAsia="Times New Roman"/>
        </w:rPr>
        <w:t> </w:t>
      </w:r>
      <w:r w:rsidRPr="008B2D2C">
        <w:rPr>
          <w:rFonts w:eastAsia="Times New Roman"/>
        </w:rPr>
        <w:t>avril 2020</w:t>
      </w:r>
    </w:p>
    <w:p w14:paraId="633B8773" w14:textId="77777777" w:rsidR="00127605" w:rsidRPr="008B2D2C" w:rsidRDefault="00127605" w:rsidP="00127605">
      <w:pPr>
        <w:rPr>
          <w:rFonts w:eastAsia="Times New Roman"/>
          <w:b/>
          <w:bCs/>
        </w:rPr>
      </w:pPr>
      <w:r w:rsidRPr="008B2D2C">
        <w:t>Point </w:t>
      </w:r>
      <w:r w:rsidRPr="008B2D2C">
        <w:rPr>
          <w:rFonts w:eastAsia="Times New Roman"/>
          <w:bCs/>
        </w:rPr>
        <w:t>4</w:t>
      </w:r>
      <w:r w:rsidR="008B2D2C">
        <w:rPr>
          <w:rFonts w:eastAsia="Times New Roman"/>
          <w:bCs/>
        </w:rPr>
        <w:t> </w:t>
      </w:r>
      <w:r w:rsidRPr="008B2D2C">
        <w:rPr>
          <w:rFonts w:eastAsia="Times New Roman"/>
          <w:bCs/>
        </w:rPr>
        <w:t>b)</w:t>
      </w:r>
      <w:r w:rsidRPr="008B2D2C">
        <w:t xml:space="preserve"> de l’ordre du jour provisoire</w:t>
      </w:r>
    </w:p>
    <w:p w14:paraId="7DC82110" w14:textId="77777777" w:rsidR="00127605" w:rsidRPr="008B2D2C" w:rsidRDefault="00127605" w:rsidP="00127605">
      <w:pPr>
        <w:rPr>
          <w:rFonts w:eastAsia="Times New Roman"/>
          <w:b/>
          <w:bCs/>
        </w:rPr>
      </w:pPr>
      <w:r w:rsidRPr="008B2D2C">
        <w:rPr>
          <w:rFonts w:eastAsia="Times New Roman"/>
          <w:b/>
          <w:bCs/>
        </w:rPr>
        <w:t xml:space="preserve">Simplification des Règlements ONU relatifs à l’éclairage </w:t>
      </w:r>
      <w:r w:rsidR="008B2D2C">
        <w:rPr>
          <w:rFonts w:eastAsia="Times New Roman"/>
          <w:b/>
          <w:bCs/>
        </w:rPr>
        <w:br/>
      </w:r>
      <w:r w:rsidRPr="008B2D2C">
        <w:rPr>
          <w:rFonts w:eastAsia="Times New Roman"/>
          <w:b/>
          <w:bCs/>
        </w:rPr>
        <w:t>et à la signalisation lumineuse :</w:t>
      </w:r>
    </w:p>
    <w:p w14:paraId="01A95E4C" w14:textId="77777777" w:rsidR="00127605" w:rsidRPr="008B2D2C" w:rsidRDefault="00127605" w:rsidP="00127605">
      <w:pPr>
        <w:rPr>
          <w:rFonts w:eastAsia="Times New Roman"/>
          <w:b/>
          <w:bCs/>
        </w:rPr>
      </w:pPr>
      <w:r w:rsidRPr="008B2D2C">
        <w:rPr>
          <w:rFonts w:eastAsia="Times New Roman"/>
          <w:b/>
          <w:bCs/>
        </w:rPr>
        <w:t>Règlement ONU n</w:t>
      </w:r>
      <w:r w:rsidRPr="008B2D2C">
        <w:rPr>
          <w:rFonts w:eastAsia="Times New Roman"/>
          <w:b/>
          <w:bCs/>
          <w:vertAlign w:val="superscript"/>
        </w:rPr>
        <w:t>o</w:t>
      </w:r>
      <w:r w:rsidRPr="008B2D2C">
        <w:rPr>
          <w:rFonts w:eastAsia="Times New Roman"/>
          <w:b/>
          <w:bCs/>
        </w:rPr>
        <w:t> 148 (Dispositifs de signalisation lumineuse)</w:t>
      </w:r>
    </w:p>
    <w:p w14:paraId="59934A45" w14:textId="77777777" w:rsidR="00127605" w:rsidRPr="00E041C6" w:rsidRDefault="00127605" w:rsidP="0097570E">
      <w:pPr>
        <w:pStyle w:val="HChG"/>
      </w:pPr>
      <w:r w:rsidRPr="00E041C6">
        <w:tab/>
      </w:r>
      <w:r w:rsidRPr="00E041C6">
        <w:tab/>
        <w:t xml:space="preserve">Proposition de </w:t>
      </w:r>
      <w:r>
        <w:t xml:space="preserve">correction </w:t>
      </w:r>
      <w:r w:rsidRPr="00E041C6">
        <w:t xml:space="preserve">du texte du </w:t>
      </w:r>
      <w:bookmarkStart w:id="0" w:name="_Hlk33429766"/>
      <w:r w:rsidRPr="00E041C6">
        <w:rPr>
          <w:bCs/>
        </w:rPr>
        <w:t>Règlement ONU n</w:t>
      </w:r>
      <w:r w:rsidRPr="00E041C6">
        <w:rPr>
          <w:bCs/>
          <w:vertAlign w:val="superscript"/>
        </w:rPr>
        <w:t>o</w:t>
      </w:r>
      <w:r w:rsidRPr="00E041C6">
        <w:rPr>
          <w:bCs/>
        </w:rPr>
        <w:t> </w:t>
      </w:r>
      <w:bookmarkEnd w:id="0"/>
      <w:r w:rsidRPr="00E041C6">
        <w:t xml:space="preserve">148 </w:t>
      </w:r>
    </w:p>
    <w:p w14:paraId="02952FE8" w14:textId="77777777" w:rsidR="00127605" w:rsidRPr="00E041C6" w:rsidRDefault="0097570E" w:rsidP="0097570E">
      <w:pPr>
        <w:pStyle w:val="H1G"/>
        <w:rPr>
          <w:szCs w:val="24"/>
        </w:rPr>
      </w:pPr>
      <w:r>
        <w:tab/>
      </w:r>
      <w:r>
        <w:tab/>
      </w:r>
      <w:r w:rsidR="00127605" w:rsidRPr="00E041C6">
        <w:t xml:space="preserve">Communication du groupe de travail informel de la simplification </w:t>
      </w:r>
      <w:r>
        <w:br/>
      </w:r>
      <w:r w:rsidR="00127605" w:rsidRPr="00E041C6">
        <w:t>des Règlements relatifs à l’éclairage et à la signalisation lumineuse</w:t>
      </w:r>
      <w:r w:rsidRPr="009E0107">
        <w:rPr>
          <w:rStyle w:val="Appelnotedebasdep"/>
          <w:b w:val="0"/>
          <w:sz w:val="20"/>
          <w:vertAlign w:val="baseline"/>
        </w:rPr>
        <w:footnoteReference w:customMarkFollows="1" w:id="2"/>
        <w:t>*</w:t>
      </w:r>
    </w:p>
    <w:p w14:paraId="305B995F" w14:textId="77777777" w:rsidR="00C617A9" w:rsidRDefault="00127605" w:rsidP="00C617A9">
      <w:pPr>
        <w:pStyle w:val="SingleTxtG"/>
        <w:ind w:firstLine="567"/>
      </w:pPr>
      <w:r w:rsidRPr="00E041C6">
        <w:t>Le texte ci-après, établi par le groupe de travail informel de la simplification des Règlements relatifs à l’éclairage et à la signalisation lumineuse, vise à incorporer des</w:t>
      </w:r>
      <w:r>
        <w:t xml:space="preserve"> </w:t>
      </w:r>
      <w:bookmarkStart w:id="1" w:name="_Hlk33431406"/>
      <w:r>
        <w:t>parties de texte manquantes dans le</w:t>
      </w:r>
      <w:r w:rsidRPr="00E041C6">
        <w:t xml:space="preserve"> </w:t>
      </w:r>
      <w:r w:rsidRPr="00E041C6">
        <w:rPr>
          <w:bCs/>
        </w:rPr>
        <w:t>Règlement ONU n</w:t>
      </w:r>
      <w:r w:rsidRPr="00E041C6">
        <w:rPr>
          <w:bCs/>
          <w:vertAlign w:val="superscript"/>
        </w:rPr>
        <w:t>o</w:t>
      </w:r>
      <w:r w:rsidRPr="00E041C6">
        <w:rPr>
          <w:bCs/>
        </w:rPr>
        <w:t> </w:t>
      </w:r>
      <w:bookmarkEnd w:id="1"/>
      <w:r w:rsidRPr="00E041C6">
        <w:t xml:space="preserve">148 et à corriger des erreurs qui ont été introduites par inadvertance dans ledit Règlement. Les modifications qu’il est proposé d’apporter au texte actuel du </w:t>
      </w:r>
      <w:r w:rsidRPr="00E041C6">
        <w:rPr>
          <w:bCs/>
        </w:rPr>
        <w:t>Règlement ONU n</w:t>
      </w:r>
      <w:r w:rsidRPr="00E041C6">
        <w:rPr>
          <w:bCs/>
          <w:vertAlign w:val="superscript"/>
        </w:rPr>
        <w:t>o</w:t>
      </w:r>
      <w:r w:rsidRPr="00E041C6">
        <w:rPr>
          <w:bCs/>
        </w:rPr>
        <w:t> </w:t>
      </w:r>
      <w:r w:rsidRPr="00E041C6">
        <w:t>148 figurent en caractères gras pour les ajouts et biffés pour les suppressions.</w:t>
      </w:r>
    </w:p>
    <w:p w14:paraId="45178CEF" w14:textId="77777777" w:rsidR="00127605" w:rsidRPr="00E041C6" w:rsidRDefault="00C617A9" w:rsidP="00C617A9">
      <w:pPr>
        <w:pStyle w:val="HChG"/>
      </w:pPr>
      <w:r>
        <w:br w:type="page"/>
      </w:r>
      <w:r w:rsidR="00127605" w:rsidRPr="00E041C6">
        <w:lastRenderedPageBreak/>
        <w:tab/>
        <w:t>I.</w:t>
      </w:r>
      <w:r w:rsidR="00127605" w:rsidRPr="00E041C6">
        <w:tab/>
        <w:t>Proposition</w:t>
      </w:r>
    </w:p>
    <w:p w14:paraId="338678E1" w14:textId="77777777" w:rsidR="00127605" w:rsidRPr="00E041C6" w:rsidRDefault="00127605" w:rsidP="00C617A9">
      <w:pPr>
        <w:pStyle w:val="SingleTxtG"/>
        <w:rPr>
          <w:rFonts w:eastAsia="Times New Roman"/>
          <w:b/>
          <w:sz w:val="28"/>
        </w:rPr>
      </w:pPr>
      <w:r w:rsidRPr="00C617A9">
        <w:rPr>
          <w:i/>
        </w:rPr>
        <w:t>Paragraphe 4.6.1.4</w:t>
      </w:r>
      <w:r w:rsidRPr="00E041C6">
        <w:t xml:space="preserve">, </w:t>
      </w:r>
      <w:r w:rsidRPr="00E041C6">
        <w:rPr>
          <w:rFonts w:eastAsia="Times New Roman"/>
        </w:rPr>
        <w:t>lire :</w:t>
      </w:r>
    </w:p>
    <w:p w14:paraId="48D8113A" w14:textId="77777777" w:rsidR="00127605" w:rsidRPr="00E041C6" w:rsidRDefault="00C617A9" w:rsidP="00C617A9">
      <w:pPr>
        <w:pStyle w:val="SingleTxtG"/>
        <w:ind w:left="2268" w:hanging="1134"/>
        <w:rPr>
          <w:rFonts w:eastAsia="Times New Roman"/>
        </w:rPr>
      </w:pPr>
      <w:r>
        <w:rPr>
          <w:rFonts w:eastAsia="Times New Roman"/>
        </w:rPr>
        <w:t>« </w:t>
      </w:r>
      <w:r w:rsidR="00127605" w:rsidRPr="00E041C6">
        <w:rPr>
          <w:rFonts w:eastAsia="Times New Roman"/>
        </w:rPr>
        <w:t>4.6.1.4</w:t>
      </w:r>
      <w:r w:rsidR="00127605" w:rsidRPr="00E041C6">
        <w:rPr>
          <w:rFonts w:eastAsia="Times New Roman"/>
        </w:rPr>
        <w:tab/>
        <w:t>Les prescriptions du paragraphe</w:t>
      </w:r>
      <w:r>
        <w:rPr>
          <w:rFonts w:eastAsia="Times New Roman"/>
        </w:rPr>
        <w:t> </w:t>
      </w:r>
      <w:r w:rsidR="00127605" w:rsidRPr="00E041C6">
        <w:rPr>
          <w:rFonts w:eastAsia="Times New Roman"/>
        </w:rPr>
        <w:t>4.6.1.2 ne s’appliquent pas aux feux indicateurs de direction</w:t>
      </w:r>
      <w:r w:rsidR="00127605" w:rsidRPr="00C617A9">
        <w:rPr>
          <w:rFonts w:eastAsia="Times New Roman"/>
        </w:rPr>
        <w:t xml:space="preserve">. </w:t>
      </w:r>
      <w:r w:rsidR="00127605" w:rsidRPr="00697160">
        <w:rPr>
          <w:rFonts w:eastAsia="Times New Roman"/>
          <w:b/>
        </w:rPr>
        <w:t>Les</w:t>
      </w:r>
      <w:r w:rsidR="00127605" w:rsidRPr="00E041C6">
        <w:rPr>
          <w:rFonts w:eastAsia="Times New Roman"/>
        </w:rPr>
        <w:t xml:space="preserve"> </w:t>
      </w:r>
      <w:r w:rsidR="00127605" w:rsidRPr="00E041C6">
        <w:rPr>
          <w:rFonts w:eastAsia="Times New Roman"/>
          <w:b/>
        </w:rPr>
        <w:t xml:space="preserve">feux indicateurs de direction </w:t>
      </w:r>
      <w:r w:rsidR="00127605" w:rsidRPr="00E041C6">
        <w:rPr>
          <w:rFonts w:eastAsia="Times New Roman"/>
        </w:rPr>
        <w:t>des catégories 1, 1a, 1b, 2a</w:t>
      </w:r>
      <w:r w:rsidR="00127605" w:rsidRPr="00E041C6">
        <w:rPr>
          <w:rFonts w:eastAsia="Times New Roman"/>
          <w:strike/>
        </w:rPr>
        <w:t>,</w:t>
      </w:r>
      <w:r w:rsidR="00127605" w:rsidRPr="00E041C6">
        <w:rPr>
          <w:rFonts w:eastAsia="Times New Roman"/>
        </w:rPr>
        <w:t xml:space="preserve"> </w:t>
      </w:r>
      <w:r w:rsidR="00127605" w:rsidRPr="00E041C6">
        <w:rPr>
          <w:rFonts w:eastAsia="Times New Roman"/>
          <w:b/>
        </w:rPr>
        <w:t>et</w:t>
      </w:r>
      <w:r w:rsidR="00127605" w:rsidRPr="00E041C6">
        <w:rPr>
          <w:rFonts w:eastAsia="Times New Roman"/>
        </w:rPr>
        <w:t xml:space="preserve"> 2b</w:t>
      </w:r>
      <w:r w:rsidR="00127605" w:rsidRPr="00E041C6">
        <w:rPr>
          <w:rFonts w:eastAsia="Times New Roman"/>
          <w:strike/>
        </w:rPr>
        <w:t>, 11, 11a, 11b, 11c et 12, lesquels</w:t>
      </w:r>
      <w:r w:rsidR="00127605" w:rsidRPr="00E041C6">
        <w:rPr>
          <w:rFonts w:eastAsia="Times New Roman"/>
        </w:rPr>
        <w:t xml:space="preserve"> doivent satisfaire aux prescriptions du paragraphe 5.6.3.</w:t>
      </w:r>
      <w:r>
        <w:rPr>
          <w:rFonts w:eastAsia="Times New Roman"/>
        </w:rPr>
        <w:t> »</w:t>
      </w:r>
      <w:r w:rsidR="00127605">
        <w:rPr>
          <w:rFonts w:eastAsia="Times New Roman"/>
        </w:rPr>
        <w:t>.</w:t>
      </w:r>
      <w:r w:rsidR="00127605" w:rsidRPr="00E041C6">
        <w:rPr>
          <w:rFonts w:eastAsia="Times New Roman"/>
        </w:rPr>
        <w:t xml:space="preserve"> </w:t>
      </w:r>
    </w:p>
    <w:p w14:paraId="2419AE78" w14:textId="77777777" w:rsidR="00127605" w:rsidRPr="00E041C6" w:rsidRDefault="00127605" w:rsidP="00C617A9">
      <w:pPr>
        <w:pStyle w:val="SingleTxtG"/>
        <w:rPr>
          <w:rFonts w:eastAsia="MS Mincho"/>
          <w:i/>
        </w:rPr>
      </w:pPr>
      <w:r w:rsidRPr="00E041C6">
        <w:rPr>
          <w:rFonts w:eastAsia="MS Mincho"/>
          <w:i/>
        </w:rPr>
        <w:t>Annexe 3, paragraphe 1.2</w:t>
      </w:r>
      <w:r w:rsidRPr="00C617A9">
        <w:rPr>
          <w:rFonts w:eastAsia="MS Mincho"/>
        </w:rPr>
        <w:t>,</w:t>
      </w:r>
      <w:r w:rsidRPr="00E041C6">
        <w:rPr>
          <w:rFonts w:eastAsia="MS Mincho"/>
          <w:i/>
        </w:rPr>
        <w:t xml:space="preserve"> </w:t>
      </w:r>
      <w:r w:rsidRPr="00E041C6">
        <w:rPr>
          <w:rFonts w:eastAsia="Times New Roman"/>
        </w:rPr>
        <w:t>lire :</w:t>
      </w:r>
    </w:p>
    <w:p w14:paraId="0847079D" w14:textId="77777777" w:rsidR="00127605" w:rsidRPr="00E041C6" w:rsidRDefault="00C617A9" w:rsidP="00C617A9">
      <w:pPr>
        <w:pStyle w:val="SingleTxtG"/>
        <w:ind w:left="2268" w:hanging="1134"/>
        <w:rPr>
          <w:rFonts w:eastAsia="Times New Roman"/>
        </w:rPr>
      </w:pPr>
      <w:r>
        <w:rPr>
          <w:rFonts w:eastAsia="Times New Roman"/>
        </w:rPr>
        <w:t>« </w:t>
      </w:r>
      <w:r w:rsidR="00127605" w:rsidRPr="00E041C6">
        <w:rPr>
          <w:rFonts w:eastAsia="Times New Roman"/>
        </w:rPr>
        <w:t>1.2</w:t>
      </w:r>
      <w:r w:rsidR="00127605" w:rsidRPr="00E041C6">
        <w:rPr>
          <w:rFonts w:eastAsia="Times New Roman"/>
        </w:rPr>
        <w:tab/>
        <w:t xml:space="preserve">À l’intérieur du champ de répartition spatiale de la lumière, schématiquement représenté par une grille, la répartition de la lumière devrait être sensiblement uniforme, l’intensité lumineuse dans chaque direction d’une partie du champ délimitée par les lignes de la grille devant au moins atteindre la plus basse valeur minimale (en pourcentage) indiquée sur les lignes de la grille entourant la direction en question. </w:t>
      </w:r>
    </w:p>
    <w:p w14:paraId="27FBD998" w14:textId="77777777" w:rsidR="00127605" w:rsidRPr="00E041C6" w:rsidRDefault="00127605" w:rsidP="00C617A9">
      <w:pPr>
        <w:pStyle w:val="SingleTxtG"/>
        <w:ind w:left="2268"/>
        <w:rPr>
          <w:rFonts w:eastAsia="Times New Roman"/>
          <w:i/>
        </w:rPr>
      </w:pPr>
      <w:r w:rsidRPr="00E041C6">
        <w:rPr>
          <w:rFonts w:eastAsia="Times New Roman"/>
        </w:rPr>
        <w:tab/>
      </w:r>
      <w:bookmarkStart w:id="2" w:name="_Hlk26350300"/>
      <w:r w:rsidRPr="00E041C6">
        <w:rPr>
          <w:rFonts w:eastAsia="Times New Roman"/>
          <w:b/>
        </w:rPr>
        <w:t>Toutefois,</w:t>
      </w:r>
      <w:r w:rsidRPr="00E041C6">
        <w:rPr>
          <w:rFonts w:eastAsia="Times New Roman"/>
        </w:rPr>
        <w:t xml:space="preserve"> </w:t>
      </w:r>
      <w:bookmarkEnd w:id="2"/>
      <w:r w:rsidRPr="00E041C6">
        <w:rPr>
          <w:rFonts w:eastAsia="Times New Roman"/>
          <w:b/>
        </w:rPr>
        <w:t>lorsqu’à l’examen visuel des feux de marche arrière, un feu semble présenter des variations locales d’intensité importantes, on vérifie qu’aucune intensité mesurée entre deux des directions de mesure citées ci-dessus n’est inférieure à 50 % de l’intensité minimale la plus faible parmi les deux prescrites pour ces directions de mesure.</w:t>
      </w:r>
      <w:r w:rsidR="00C617A9">
        <w:rPr>
          <w:rFonts w:eastAsia="Times New Roman"/>
        </w:rPr>
        <w:t> »</w:t>
      </w:r>
      <w:r w:rsidRPr="00697160">
        <w:rPr>
          <w:rFonts w:eastAsia="Times New Roman"/>
        </w:rPr>
        <w:t>.</w:t>
      </w:r>
    </w:p>
    <w:p w14:paraId="03D7619B" w14:textId="77777777" w:rsidR="00127605" w:rsidRPr="00E041C6" w:rsidRDefault="00127605" w:rsidP="00C617A9">
      <w:pPr>
        <w:pStyle w:val="HChG"/>
      </w:pPr>
      <w:r w:rsidRPr="00E041C6">
        <w:tab/>
        <w:t>II.</w:t>
      </w:r>
      <w:r w:rsidRPr="00E041C6">
        <w:tab/>
        <w:t>Justification</w:t>
      </w:r>
    </w:p>
    <w:p w14:paraId="78C8326D" w14:textId="77777777" w:rsidR="00127605" w:rsidRPr="00E041C6" w:rsidRDefault="00127605" w:rsidP="00C617A9">
      <w:pPr>
        <w:pStyle w:val="SingleTxtG"/>
      </w:pPr>
      <w:r w:rsidRPr="00E041C6">
        <w:t>1.</w:t>
      </w:r>
      <w:r w:rsidRPr="00E041C6">
        <w:tab/>
        <w:t>Le paragraphe</w:t>
      </w:r>
      <w:r w:rsidR="00C617A9">
        <w:t> </w:t>
      </w:r>
      <w:r w:rsidRPr="00E041C6">
        <w:t>4.6.1.4 est mis à jour afin que son libellé corresponde aux dispositions actuelles des Règlements ONU relatifs à la signalisation lumineuse. Selon les dispositions énoncées dans le complément</w:t>
      </w:r>
      <w:r w:rsidR="00C617A9">
        <w:t> </w:t>
      </w:r>
      <w:r w:rsidRPr="00E041C6">
        <w:t xml:space="preserve">17 à la série originale d’amendements au </w:t>
      </w:r>
      <w:bookmarkStart w:id="3" w:name="_Hlk33432163"/>
      <w:r w:rsidRPr="00E041C6">
        <w:t>Règlement ONU n</w:t>
      </w:r>
      <w:r w:rsidRPr="00E041C6">
        <w:rPr>
          <w:vertAlign w:val="superscript"/>
        </w:rPr>
        <w:t>o</w:t>
      </w:r>
      <w:r w:rsidRPr="00E041C6">
        <w:t> 50</w:t>
      </w:r>
      <w:bookmarkEnd w:id="3"/>
      <w:r w:rsidRPr="00E041C6">
        <w:t>, il n’est plus nécessaire que les feux indicateurs de direction des catégories 11 et 12 satisfassent à l’intensité minimale requise (n-1), comme prescrit au paragraphe</w:t>
      </w:r>
      <w:r w:rsidR="00C617A9">
        <w:t> </w:t>
      </w:r>
      <w:r w:rsidRPr="00E041C6">
        <w:t>7.5.1 dudit Règlement.</w:t>
      </w:r>
    </w:p>
    <w:p w14:paraId="33436580" w14:textId="77777777" w:rsidR="00127605" w:rsidRDefault="00127605" w:rsidP="00C617A9">
      <w:pPr>
        <w:pStyle w:val="SingleTxtG"/>
      </w:pPr>
      <w:r w:rsidRPr="00E041C6">
        <w:t>2.</w:t>
      </w:r>
      <w:r w:rsidRPr="00E041C6">
        <w:tab/>
        <w:t>La mise à jour du libellé du paragraphe</w:t>
      </w:r>
      <w:r w:rsidR="00C617A9">
        <w:t> </w:t>
      </w:r>
      <w:r w:rsidRPr="00E041C6">
        <w:t>1.2 de l’annexe</w:t>
      </w:r>
      <w:r w:rsidR="00C617A9">
        <w:t> </w:t>
      </w:r>
      <w:r w:rsidRPr="00E041C6">
        <w:t xml:space="preserve">3 </w:t>
      </w:r>
      <w:r>
        <w:t>vise à introduire</w:t>
      </w:r>
      <w:r w:rsidRPr="00E041C6">
        <w:t xml:space="preserve"> une prescription </w:t>
      </w:r>
      <w:r>
        <w:t xml:space="preserve">relative aux </w:t>
      </w:r>
      <w:r w:rsidRPr="00E041C6">
        <w:t>feux de marche arrière qui a été omise dans le texte original du Règle</w:t>
      </w:r>
      <w:bookmarkStart w:id="4" w:name="_GoBack"/>
      <w:bookmarkEnd w:id="4"/>
      <w:r w:rsidRPr="00E041C6">
        <w:t>ment ONU n</w:t>
      </w:r>
      <w:r w:rsidRPr="00E041C6">
        <w:rPr>
          <w:vertAlign w:val="superscript"/>
        </w:rPr>
        <w:t>o</w:t>
      </w:r>
      <w:r w:rsidRPr="00E041C6">
        <w:t> 148. Le texte correspondant est fondé sur celui du paragraphe</w:t>
      </w:r>
      <w:r w:rsidR="00C617A9">
        <w:t> </w:t>
      </w:r>
      <w:r w:rsidRPr="00E041C6">
        <w:t>2.2 de l’annexe</w:t>
      </w:r>
      <w:r w:rsidR="00C617A9">
        <w:t> </w:t>
      </w:r>
      <w:r w:rsidRPr="00E041C6">
        <w:t xml:space="preserve">3 </w:t>
      </w:r>
      <w:r>
        <w:t xml:space="preserve">du </w:t>
      </w:r>
      <w:r w:rsidRPr="00E041C6">
        <w:t>Règlement ONU n</w:t>
      </w:r>
      <w:r w:rsidRPr="00E041C6">
        <w:rPr>
          <w:vertAlign w:val="superscript"/>
        </w:rPr>
        <w:t>o</w:t>
      </w:r>
      <w:r w:rsidRPr="00E041C6">
        <w:t xml:space="preserve"> 23. </w:t>
      </w:r>
    </w:p>
    <w:p w14:paraId="3B99BA8A" w14:textId="77777777" w:rsidR="00C617A9" w:rsidRPr="00C617A9" w:rsidRDefault="00C617A9" w:rsidP="00C617A9">
      <w:pPr>
        <w:pStyle w:val="SingleTxtG"/>
        <w:spacing w:before="240" w:after="0"/>
        <w:jc w:val="center"/>
        <w:rPr>
          <w:u w:val="single"/>
        </w:rPr>
      </w:pPr>
      <w:r>
        <w:rPr>
          <w:u w:val="single"/>
        </w:rPr>
        <w:tab/>
      </w:r>
      <w:r>
        <w:rPr>
          <w:u w:val="single"/>
        </w:rPr>
        <w:tab/>
      </w:r>
      <w:r>
        <w:rPr>
          <w:u w:val="single"/>
        </w:rPr>
        <w:tab/>
      </w:r>
    </w:p>
    <w:sectPr w:rsidR="00C617A9" w:rsidRPr="00C617A9" w:rsidSect="001276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5F41" w14:textId="77777777" w:rsidR="00A256FA" w:rsidRDefault="00A256FA" w:rsidP="00F95C08">
      <w:pPr>
        <w:spacing w:line="240" w:lineRule="auto"/>
      </w:pPr>
    </w:p>
  </w:endnote>
  <w:endnote w:type="continuationSeparator" w:id="0">
    <w:p w14:paraId="48A767D0" w14:textId="77777777" w:rsidR="00A256FA" w:rsidRPr="00AC3823" w:rsidRDefault="00A256FA" w:rsidP="00AC3823">
      <w:pPr>
        <w:pStyle w:val="Pieddepage"/>
      </w:pPr>
    </w:p>
  </w:endnote>
  <w:endnote w:type="continuationNotice" w:id="1">
    <w:p w14:paraId="7C140AF4" w14:textId="77777777" w:rsidR="00A256FA" w:rsidRDefault="00A25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29C2" w14:textId="77777777" w:rsidR="00127605" w:rsidRPr="00127605" w:rsidRDefault="00127605" w:rsidP="00127605">
    <w:pPr>
      <w:pStyle w:val="Pieddepage"/>
      <w:tabs>
        <w:tab w:val="right" w:pos="9638"/>
      </w:tabs>
    </w:pPr>
    <w:r w:rsidRPr="00127605">
      <w:rPr>
        <w:b/>
        <w:sz w:val="18"/>
      </w:rPr>
      <w:fldChar w:fldCharType="begin"/>
    </w:r>
    <w:r w:rsidRPr="00127605">
      <w:rPr>
        <w:b/>
        <w:sz w:val="18"/>
      </w:rPr>
      <w:instrText xml:space="preserve"> PAGE  \* MERGEFORMAT </w:instrText>
    </w:r>
    <w:r w:rsidRPr="00127605">
      <w:rPr>
        <w:b/>
        <w:sz w:val="18"/>
      </w:rPr>
      <w:fldChar w:fldCharType="separate"/>
    </w:r>
    <w:r w:rsidRPr="00127605">
      <w:rPr>
        <w:b/>
        <w:noProof/>
        <w:sz w:val="18"/>
      </w:rPr>
      <w:t>2</w:t>
    </w:r>
    <w:r w:rsidRPr="00127605">
      <w:rPr>
        <w:b/>
        <w:sz w:val="18"/>
      </w:rPr>
      <w:fldChar w:fldCharType="end"/>
    </w:r>
    <w:r>
      <w:rPr>
        <w:b/>
        <w:sz w:val="18"/>
      </w:rPr>
      <w:tab/>
    </w:r>
    <w:r>
      <w:t>GE.20-01762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C6F9" w14:textId="77777777" w:rsidR="00127605" w:rsidRPr="00127605" w:rsidRDefault="00127605" w:rsidP="00127605">
    <w:pPr>
      <w:pStyle w:val="Pieddepage"/>
      <w:tabs>
        <w:tab w:val="right" w:pos="9638"/>
      </w:tabs>
      <w:rPr>
        <w:b/>
        <w:sz w:val="18"/>
      </w:rPr>
    </w:pPr>
    <w:r>
      <w:t>GE.20-01762</w:t>
    </w:r>
    <w:r>
      <w:tab/>
    </w:r>
    <w:r w:rsidRPr="00127605">
      <w:rPr>
        <w:b/>
        <w:sz w:val="18"/>
      </w:rPr>
      <w:fldChar w:fldCharType="begin"/>
    </w:r>
    <w:r w:rsidRPr="00127605">
      <w:rPr>
        <w:b/>
        <w:sz w:val="18"/>
      </w:rPr>
      <w:instrText xml:space="preserve"> PAGE  \* MERGEFORMAT </w:instrText>
    </w:r>
    <w:r w:rsidRPr="00127605">
      <w:rPr>
        <w:b/>
        <w:sz w:val="18"/>
      </w:rPr>
      <w:fldChar w:fldCharType="separate"/>
    </w:r>
    <w:r w:rsidRPr="00127605">
      <w:rPr>
        <w:b/>
        <w:noProof/>
        <w:sz w:val="18"/>
      </w:rPr>
      <w:t>3</w:t>
    </w:r>
    <w:r w:rsidRPr="001276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E3F9" w14:textId="77777777" w:rsidR="007F20FA" w:rsidRPr="00127605" w:rsidRDefault="00127605" w:rsidP="00127605">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21FE2072" wp14:editId="2D2F6B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20-01762  (F)</w:t>
    </w:r>
    <w:r w:rsidR="008B2D2C">
      <w:rPr>
        <w:sz w:val="20"/>
      </w:rPr>
      <w:t xml:space="preserve">    030320    030320</w:t>
    </w:r>
    <w:r>
      <w:rPr>
        <w:sz w:val="20"/>
      </w:rPr>
      <w:br/>
    </w:r>
    <w:r w:rsidRPr="00127605">
      <w:rPr>
        <w:rFonts w:ascii="C39T30Lfz" w:hAnsi="C39T30Lfz"/>
        <w:sz w:val="56"/>
      </w:rPr>
      <w:t></w:t>
    </w:r>
    <w:r w:rsidRPr="00127605">
      <w:rPr>
        <w:rFonts w:ascii="C39T30Lfz" w:hAnsi="C39T30Lfz"/>
        <w:sz w:val="56"/>
      </w:rPr>
      <w:t></w:t>
    </w:r>
    <w:r w:rsidRPr="00127605">
      <w:rPr>
        <w:rFonts w:ascii="C39T30Lfz" w:hAnsi="C39T30Lfz"/>
        <w:sz w:val="56"/>
      </w:rPr>
      <w:t></w:t>
    </w:r>
    <w:r w:rsidRPr="00127605">
      <w:rPr>
        <w:rFonts w:ascii="C39T30Lfz" w:hAnsi="C39T30Lfz"/>
        <w:sz w:val="56"/>
      </w:rPr>
      <w:t></w:t>
    </w:r>
    <w:r w:rsidRPr="00127605">
      <w:rPr>
        <w:rFonts w:ascii="C39T30Lfz" w:hAnsi="C39T30Lfz"/>
        <w:sz w:val="56"/>
      </w:rPr>
      <w:t></w:t>
    </w:r>
    <w:r w:rsidRPr="00127605">
      <w:rPr>
        <w:rFonts w:ascii="C39T30Lfz" w:hAnsi="C39T30Lfz"/>
        <w:sz w:val="56"/>
      </w:rPr>
      <w:t></w:t>
    </w:r>
    <w:r w:rsidRPr="00127605">
      <w:rPr>
        <w:rFonts w:ascii="C39T30Lfz" w:hAnsi="C39T30Lfz"/>
        <w:sz w:val="56"/>
      </w:rPr>
      <w:t></w:t>
    </w:r>
    <w:r w:rsidRPr="00127605">
      <w:rPr>
        <w:rFonts w:ascii="C39T30Lfz" w:hAnsi="C39T30Lfz"/>
        <w:sz w:val="56"/>
      </w:rPr>
      <w:t></w:t>
    </w:r>
    <w:r w:rsidRPr="00127605">
      <w:rPr>
        <w:rFonts w:ascii="C39T30Lfz" w:hAnsi="C39T30Lfz"/>
        <w:sz w:val="56"/>
      </w:rPr>
      <w:t></w:t>
    </w:r>
    <w:r>
      <w:rPr>
        <w:noProof/>
        <w:sz w:val="20"/>
      </w:rPr>
      <w:drawing>
        <wp:anchor distT="0" distB="0" distL="114300" distR="114300" simplePos="0" relativeHeight="251658240" behindDoc="0" locked="0" layoutInCell="1" allowOverlap="1" wp14:anchorId="65A4E186" wp14:editId="016CC7E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3A7F" w14:textId="77777777" w:rsidR="00A256FA" w:rsidRPr="00AC3823" w:rsidRDefault="00A256FA" w:rsidP="00AC3823">
      <w:pPr>
        <w:pStyle w:val="Pieddepage"/>
        <w:tabs>
          <w:tab w:val="right" w:pos="2155"/>
        </w:tabs>
        <w:spacing w:after="80" w:line="240" w:lineRule="atLeast"/>
        <w:ind w:left="680"/>
        <w:rPr>
          <w:u w:val="single"/>
        </w:rPr>
      </w:pPr>
      <w:r>
        <w:rPr>
          <w:u w:val="single"/>
        </w:rPr>
        <w:tab/>
      </w:r>
    </w:p>
  </w:footnote>
  <w:footnote w:type="continuationSeparator" w:id="0">
    <w:p w14:paraId="19445AAC" w14:textId="77777777" w:rsidR="00A256FA" w:rsidRPr="00AC3823" w:rsidRDefault="00A256FA" w:rsidP="00AC3823">
      <w:pPr>
        <w:pStyle w:val="Pieddepage"/>
        <w:tabs>
          <w:tab w:val="right" w:pos="2155"/>
        </w:tabs>
        <w:spacing w:after="80" w:line="240" w:lineRule="atLeast"/>
        <w:ind w:left="680"/>
        <w:rPr>
          <w:u w:val="single"/>
        </w:rPr>
      </w:pPr>
      <w:r>
        <w:rPr>
          <w:u w:val="single"/>
        </w:rPr>
        <w:tab/>
      </w:r>
    </w:p>
  </w:footnote>
  <w:footnote w:type="continuationNotice" w:id="1">
    <w:p w14:paraId="253AC021" w14:textId="77777777" w:rsidR="00A256FA" w:rsidRPr="00AC3823" w:rsidRDefault="00A256FA">
      <w:pPr>
        <w:spacing w:line="240" w:lineRule="auto"/>
        <w:rPr>
          <w:sz w:val="2"/>
          <w:szCs w:val="2"/>
        </w:rPr>
      </w:pPr>
    </w:p>
  </w:footnote>
  <w:footnote w:id="2">
    <w:p w14:paraId="453E4DF9" w14:textId="77777777" w:rsidR="0097570E" w:rsidRPr="0097570E" w:rsidRDefault="0097570E">
      <w:pPr>
        <w:pStyle w:val="Notedebasdepage"/>
        <w:rPr>
          <w:szCs w:val="18"/>
        </w:rPr>
      </w:pPr>
      <w:r>
        <w:rPr>
          <w:rStyle w:val="Appelnotedebasdep"/>
        </w:rPr>
        <w:tab/>
      </w:r>
      <w:r w:rsidRPr="0097570E">
        <w:rPr>
          <w:rStyle w:val="Appelnotedebasdep"/>
          <w:sz w:val="20"/>
          <w:vertAlign w:val="baseline"/>
        </w:rPr>
        <w:t>*</w:t>
      </w:r>
      <w:r>
        <w:rPr>
          <w:rStyle w:val="Appelnotedebasdep"/>
          <w:sz w:val="20"/>
          <w:vertAlign w:val="baseline"/>
        </w:rPr>
        <w:tab/>
      </w:r>
      <w:r w:rsidRPr="0097570E">
        <w:rPr>
          <w:szCs w:val="18"/>
        </w:rPr>
        <w:t>Conformément au programme de travail du Comité des transports intérieurs pour 2020 tel qu’il figure dans le projet de budget-programme pour 2020 (A/74/6 (titre V, chap.</w:t>
      </w:r>
      <w:r>
        <w:rPr>
          <w:szCs w:val="18"/>
        </w:rPr>
        <w:t> </w:t>
      </w:r>
      <w:r w:rsidRPr="0097570E">
        <w:rPr>
          <w:szCs w:val="18"/>
        </w:rPr>
        <w:t>20), par.</w:t>
      </w:r>
      <w:r>
        <w:rPr>
          <w:szCs w:val="18"/>
        </w:rPr>
        <w:t> </w:t>
      </w:r>
      <w:r w:rsidRPr="0097570E">
        <w:rPr>
          <w:szCs w:val="18"/>
        </w:rPr>
        <w:t>20.37), le Forum mondial a pour mission d’élaborer, d’harmoniser et de mettre à jour les Règlements ONU en vue d’améliorer les caractéristiques fonctionnelles des véhicules. Le présent document est soumis en vertu de ce mandat</w:t>
      </w:r>
      <w:r w:rsidRPr="0097570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3D23" w14:textId="54BB57D5" w:rsidR="00127605" w:rsidRPr="00127605" w:rsidRDefault="00127605">
    <w:pPr>
      <w:pStyle w:val="En-tte"/>
    </w:pPr>
    <w:fldSimple w:instr=" TITLE  \* MERGEFORMAT ">
      <w:r w:rsidR="00885DD6">
        <w:t>ECE/TRANS/WP.29/GRE/2020/9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CCF7" w14:textId="623ECF9B" w:rsidR="00127605" w:rsidRPr="00127605" w:rsidRDefault="00127605" w:rsidP="00127605">
    <w:pPr>
      <w:pStyle w:val="En-tte"/>
      <w:jc w:val="right"/>
    </w:pPr>
    <w:fldSimple w:instr=" TITLE  \* MERGEFORMAT ">
      <w:r w:rsidR="00885DD6">
        <w:t>ECE/TRANS/WP.29/GRE/2020/9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56FA"/>
    <w:rsid w:val="00017F94"/>
    <w:rsid w:val="00023842"/>
    <w:rsid w:val="000334F9"/>
    <w:rsid w:val="00045FEB"/>
    <w:rsid w:val="0007796D"/>
    <w:rsid w:val="000B7790"/>
    <w:rsid w:val="00111F2F"/>
    <w:rsid w:val="00127605"/>
    <w:rsid w:val="0014365E"/>
    <w:rsid w:val="00143C66"/>
    <w:rsid w:val="00176178"/>
    <w:rsid w:val="001F525A"/>
    <w:rsid w:val="00223272"/>
    <w:rsid w:val="0024779E"/>
    <w:rsid w:val="00257168"/>
    <w:rsid w:val="002744B8"/>
    <w:rsid w:val="002832AC"/>
    <w:rsid w:val="002D7C93"/>
    <w:rsid w:val="00305801"/>
    <w:rsid w:val="00374275"/>
    <w:rsid w:val="003916DE"/>
    <w:rsid w:val="00421996"/>
    <w:rsid w:val="00441C3B"/>
    <w:rsid w:val="00446FE5"/>
    <w:rsid w:val="00452396"/>
    <w:rsid w:val="004837D8"/>
    <w:rsid w:val="004E2EED"/>
    <w:rsid w:val="004E468C"/>
    <w:rsid w:val="005505B7"/>
    <w:rsid w:val="00573BE5"/>
    <w:rsid w:val="00586ED3"/>
    <w:rsid w:val="00596AA9"/>
    <w:rsid w:val="0063791C"/>
    <w:rsid w:val="0071601D"/>
    <w:rsid w:val="007A62E6"/>
    <w:rsid w:val="007F20FA"/>
    <w:rsid w:val="007F68AE"/>
    <w:rsid w:val="0080684C"/>
    <w:rsid w:val="00871C75"/>
    <w:rsid w:val="008776DC"/>
    <w:rsid w:val="00885DD6"/>
    <w:rsid w:val="008B2D2C"/>
    <w:rsid w:val="008E3587"/>
    <w:rsid w:val="009446C0"/>
    <w:rsid w:val="009705C8"/>
    <w:rsid w:val="0097570E"/>
    <w:rsid w:val="009C1CF4"/>
    <w:rsid w:val="009E0107"/>
    <w:rsid w:val="009F6B74"/>
    <w:rsid w:val="00A256FA"/>
    <w:rsid w:val="00A3029F"/>
    <w:rsid w:val="00A30353"/>
    <w:rsid w:val="00AC3823"/>
    <w:rsid w:val="00AE323C"/>
    <w:rsid w:val="00AF0CB5"/>
    <w:rsid w:val="00B00181"/>
    <w:rsid w:val="00B00B0D"/>
    <w:rsid w:val="00B45F2E"/>
    <w:rsid w:val="00B765F7"/>
    <w:rsid w:val="00BA0CA9"/>
    <w:rsid w:val="00C02897"/>
    <w:rsid w:val="00C617A9"/>
    <w:rsid w:val="00C97039"/>
    <w:rsid w:val="00D3439C"/>
    <w:rsid w:val="00DB1831"/>
    <w:rsid w:val="00DD3BFD"/>
    <w:rsid w:val="00DF6678"/>
    <w:rsid w:val="00E0299A"/>
    <w:rsid w:val="00E85C74"/>
    <w:rsid w:val="00EA13E6"/>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F6A0F1"/>
  <w15:docId w15:val="{B56229CD-55B6-47A1-8F10-53C5739A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487</Words>
  <Characters>2699</Characters>
  <Application>Microsoft Office Word</Application>
  <DocSecurity>0</DocSecurity>
  <Lines>61</Lines>
  <Paragraphs>33</Paragraphs>
  <ScaleCrop>false</ScaleCrop>
  <HeadingPairs>
    <vt:vector size="2" baseType="variant">
      <vt:variant>
        <vt:lpstr>Titre</vt:lpstr>
      </vt:variant>
      <vt:variant>
        <vt:i4>1</vt:i4>
      </vt:variant>
    </vt:vector>
  </HeadingPairs>
  <TitlesOfParts>
    <vt:vector size="1" baseType="lpstr">
      <vt:lpstr>ECE/TRANS/WP.29/GRE/2020/9</vt:lpstr>
    </vt:vector>
  </TitlesOfParts>
  <Company>DCM</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ECE/TRANS/WP.29/GRE/2020/9</dc:title>
  <dc:subject/>
  <dc:creator>Christine CHAUTAGNAT</dc:creator>
  <cp:keywords/>
  <cp:lastModifiedBy>Christine Chautagnat</cp:lastModifiedBy>
  <cp:revision>3</cp:revision>
  <cp:lastPrinted>2020-03-03T09:12:00Z</cp:lastPrinted>
  <dcterms:created xsi:type="dcterms:W3CDTF">2020-03-03T09:12:00Z</dcterms:created>
  <dcterms:modified xsi:type="dcterms:W3CDTF">2020-03-03T09:12:00Z</dcterms:modified>
</cp:coreProperties>
</file>