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B76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B76A4" w:rsidP="00AB76A4">
            <w:pPr>
              <w:jc w:val="right"/>
            </w:pPr>
            <w:r w:rsidRPr="00AB76A4">
              <w:rPr>
                <w:sz w:val="40"/>
              </w:rPr>
              <w:t>ECE</w:t>
            </w:r>
            <w:r>
              <w:t>/TRANS/WP.29/GRE/2020/8</w:t>
            </w:r>
          </w:p>
        </w:tc>
      </w:tr>
      <w:tr w:rsidR="002D5AAC" w:rsidRPr="00AB76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B76A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B76A4" w:rsidRDefault="00AB76A4" w:rsidP="00AB7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2020</w:t>
            </w:r>
          </w:p>
          <w:p w:rsidR="00AB76A4" w:rsidRDefault="00AB76A4" w:rsidP="00AB7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B76A4" w:rsidRPr="008D53B6" w:rsidRDefault="00AB76A4" w:rsidP="00AB76A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B76A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76A4" w:rsidRPr="00AB76A4" w:rsidRDefault="00AB76A4" w:rsidP="00AB76A4">
      <w:pPr>
        <w:spacing w:before="120"/>
        <w:rPr>
          <w:sz w:val="28"/>
          <w:szCs w:val="28"/>
        </w:rPr>
      </w:pPr>
      <w:r w:rsidRPr="00AB76A4">
        <w:rPr>
          <w:sz w:val="28"/>
          <w:szCs w:val="28"/>
        </w:rPr>
        <w:t>Комитет по внутреннему транспорту</w:t>
      </w:r>
    </w:p>
    <w:p w:rsidR="00AB76A4" w:rsidRPr="00AB76A4" w:rsidRDefault="00AB76A4" w:rsidP="00AB76A4">
      <w:pPr>
        <w:spacing w:before="120"/>
        <w:rPr>
          <w:b/>
          <w:sz w:val="24"/>
          <w:szCs w:val="24"/>
        </w:rPr>
      </w:pPr>
      <w:r w:rsidRPr="00AB76A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B76A4">
        <w:rPr>
          <w:b/>
          <w:bCs/>
          <w:sz w:val="24"/>
          <w:szCs w:val="24"/>
        </w:rPr>
        <w:t>в области транспортных средств</w:t>
      </w:r>
    </w:p>
    <w:p w:rsidR="00AB76A4" w:rsidRPr="00882979" w:rsidRDefault="00AB76A4" w:rsidP="00AB76A4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:rsidR="00AB76A4" w:rsidRPr="00882979" w:rsidRDefault="00AB76A4" w:rsidP="00AB76A4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:rsidR="00AB76A4" w:rsidRPr="00882979" w:rsidRDefault="00AB76A4" w:rsidP="00AB76A4">
      <w:pPr>
        <w:ind w:right="1134"/>
      </w:pPr>
      <w:r>
        <w:t>Женева, 21</w:t>
      </w:r>
      <w:r w:rsidRPr="00A6430C">
        <w:t>–</w:t>
      </w:r>
      <w:r>
        <w:t>24 апреля 2020 года</w:t>
      </w:r>
    </w:p>
    <w:p w:rsidR="00AB76A4" w:rsidRPr="00882979" w:rsidRDefault="00AB76A4" w:rsidP="00AB76A4">
      <w:pPr>
        <w:ind w:right="1134"/>
        <w:rPr>
          <w:bCs/>
        </w:rPr>
      </w:pPr>
      <w:r>
        <w:t>Пункт 6 b) предварительной повестки дня</w:t>
      </w:r>
    </w:p>
    <w:p w:rsidR="00AB76A4" w:rsidRPr="00882979" w:rsidRDefault="00AB76A4" w:rsidP="00AB76A4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сигнализации):</w:t>
      </w:r>
    </w:p>
    <w:p w:rsidR="00E12C5F" w:rsidRDefault="00AB76A4" w:rsidP="00AB76A4">
      <w:r>
        <w:rPr>
          <w:b/>
          <w:bCs/>
        </w:rPr>
        <w:t xml:space="preserve">Предложения по поправкам новой серии </w:t>
      </w:r>
      <w:r>
        <w:rPr>
          <w:b/>
          <w:bCs/>
        </w:rPr>
        <w:br/>
      </w:r>
      <w:r>
        <w:rPr>
          <w:b/>
          <w:bCs/>
        </w:rPr>
        <w:t>к Правилам № 48 ООН</w:t>
      </w:r>
    </w:p>
    <w:p w:rsidR="00AB76A4" w:rsidRPr="00882979" w:rsidRDefault="00AB76A4" w:rsidP="00AB76A4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Предложение по поправ</w:t>
      </w:r>
      <w:r>
        <w:rPr>
          <w:bCs/>
        </w:rPr>
        <w:t>кам новой серии [0x] к Правилам </w:t>
      </w:r>
      <w:r>
        <w:rPr>
          <w:bCs/>
        </w:rPr>
        <w:t>№ 48 ООН</w:t>
      </w:r>
      <w:r>
        <w:t xml:space="preserve"> </w:t>
      </w:r>
    </w:p>
    <w:p w:rsidR="00AB76A4" w:rsidRPr="00882979" w:rsidRDefault="00AB76A4" w:rsidP="00AB76A4">
      <w:pPr>
        <w:pStyle w:val="H1G"/>
        <w:rPr>
          <w:szCs w:val="24"/>
        </w:rPr>
      </w:pPr>
      <w:r>
        <w:tab/>
      </w:r>
      <w:r>
        <w:tab/>
      </w:r>
      <w:r>
        <w:t>Представлено неофициальной рабочей группой по упрощению правил, касающихся освещения и световой сигнализации</w:t>
      </w:r>
      <w:r w:rsidRPr="00AB76A4">
        <w:rPr>
          <w:b w:val="0"/>
          <w:sz w:val="20"/>
        </w:rPr>
        <w:footnoteReference w:customMarkFollows="1" w:id="1"/>
        <w:t>*</w:t>
      </w:r>
    </w:p>
    <w:p w:rsidR="00AB76A4" w:rsidRDefault="00AB76A4" w:rsidP="00AB76A4">
      <w:pPr>
        <w:pStyle w:val="SingleTxtG"/>
      </w:pPr>
      <w:r>
        <w:tab/>
      </w:r>
      <w:r>
        <w:tab/>
      </w: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 по УПОС), в соответствии с просьбой, высказанной Рабочей группой по вопросам освещения и световой сигнализации (GRE) на ее восемьдесят второй сессии (ECE/TRANS/WP.29/GRE/82, пункт 31). Настоящее предложение основано на неофициальном документе GRE-82-25 и нацелено на введение новых требований по регулировке фар, в частности в отношении вертикального наклона с учетом высоты установки фары ближнего света. Изменения к существующему тексту Правил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48</w:t>
      </w:r>
      <w:r>
        <w:rPr>
          <w:lang w:val="en-US"/>
        </w:rPr>
        <w:t> </w:t>
      </w:r>
      <w:r>
        <w:t>ООН выделены жирным шрифтом в случае новых положений или зачеркиванием </w:t>
      </w:r>
      <w:r w:rsidRPr="00FD617E">
        <w:t>–</w:t>
      </w:r>
      <w:r>
        <w:t xml:space="preserve"> в случае исключенных элементов.</w:t>
      </w:r>
    </w:p>
    <w:p w:rsidR="00AB76A4" w:rsidRDefault="00AB76A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B76A4" w:rsidRPr="00882979" w:rsidRDefault="00610BE2" w:rsidP="00AB76A4">
      <w:pPr>
        <w:pStyle w:val="HChG"/>
      </w:pPr>
      <w:r>
        <w:lastRenderedPageBreak/>
        <w:tab/>
      </w:r>
      <w:r w:rsidR="00AB76A4">
        <w:t>I.</w:t>
      </w:r>
      <w:r w:rsidR="00AB76A4">
        <w:tab/>
      </w:r>
      <w:r w:rsidR="00AB76A4">
        <w:rPr>
          <w:bCs/>
        </w:rPr>
        <w:t>Предложение</w:t>
      </w:r>
    </w:p>
    <w:p w:rsidR="00AB76A4" w:rsidRPr="00882979" w:rsidRDefault="00AB76A4" w:rsidP="00610BE2">
      <w:pPr>
        <w:pStyle w:val="SingleTxtG"/>
      </w:pPr>
      <w:r>
        <w:rPr>
          <w:i/>
          <w:iCs/>
        </w:rPr>
        <w:t>Пункт 6.2.4.2</w:t>
      </w:r>
      <w:r>
        <w:t xml:space="preserve"> изменить следующим образом:</w:t>
      </w:r>
    </w:p>
    <w:p w:rsidR="00AB76A4" w:rsidRPr="00FD617E" w:rsidRDefault="00610BE2" w:rsidP="00610BE2">
      <w:pPr>
        <w:pStyle w:val="SingleTxtG"/>
        <w:ind w:left="2268" w:hanging="1134"/>
        <w:rPr>
          <w:i/>
        </w:rPr>
      </w:pPr>
      <w:r>
        <w:t>«</w:t>
      </w:r>
      <w:r w:rsidR="00AB76A4">
        <w:t xml:space="preserve">6.2.4.2 </w:t>
      </w:r>
      <w:r w:rsidR="00AB76A4">
        <w:tab/>
        <w:t>По высоте: не менее 500 мм и не более 1 200 мм над уровнем грунта.</w:t>
      </w:r>
      <w:r>
        <w:t xml:space="preserve"> Для </w:t>
      </w:r>
      <w:r w:rsidR="00AB76A4">
        <w:t>транспортных средств категори</w:t>
      </w:r>
      <w:r w:rsidR="00AB76A4">
        <w:rPr>
          <w:strike/>
        </w:rPr>
        <w:t>и</w:t>
      </w:r>
      <w:r w:rsidR="00AB76A4">
        <w:rPr>
          <w:b/>
          <w:bCs/>
        </w:rPr>
        <w:t>й</w:t>
      </w:r>
      <w:r w:rsidR="00AB76A4">
        <w:t xml:space="preserve"> </w:t>
      </w:r>
      <w:r w:rsidR="00AB76A4">
        <w:rPr>
          <w:b/>
          <w:bCs/>
        </w:rPr>
        <w:t>N</w:t>
      </w:r>
      <w:r w:rsidR="00AB76A4">
        <w:rPr>
          <w:b/>
          <w:bCs/>
          <w:vertAlign w:val="subscript"/>
        </w:rPr>
        <w:t>2</w:t>
      </w:r>
      <w:r w:rsidR="00AB76A4">
        <w:rPr>
          <w:b/>
          <w:bCs/>
        </w:rPr>
        <w:t>G (повышенной проходимости) и</w:t>
      </w:r>
      <w:r w:rsidR="00AB76A4">
        <w:t xml:space="preserve"> N</w:t>
      </w:r>
      <w:r w:rsidR="00AB76A4">
        <w:rPr>
          <w:vertAlign w:val="subscript"/>
        </w:rPr>
        <w:t>3</w:t>
      </w:r>
      <w:r w:rsidR="00AB76A4">
        <w:t>G (повышенной проходимости)</w:t>
      </w:r>
      <w:r w:rsidR="00AB76A4">
        <w:rPr>
          <w:rStyle w:val="aa"/>
        </w:rPr>
        <w:footnoteReference w:id="2"/>
      </w:r>
      <w:r w:rsidR="00AB76A4">
        <w:t xml:space="preserve"> максимальная высота может быть увеличена до 1 500 мм</w:t>
      </w:r>
      <w:r w:rsidR="00845F76">
        <w:t>.</w:t>
      </w:r>
      <w:r>
        <w:t>»</w:t>
      </w:r>
      <w:r w:rsidR="00AB76A4">
        <w:t>.</w:t>
      </w:r>
    </w:p>
    <w:p w:rsidR="00AB76A4" w:rsidRPr="00882979" w:rsidRDefault="00AB76A4" w:rsidP="00610BE2">
      <w:pPr>
        <w:pStyle w:val="SingleTxtG"/>
      </w:pPr>
      <w:r>
        <w:rPr>
          <w:i/>
          <w:iCs/>
        </w:rPr>
        <w:t>Пункт 6.2.6.1 и относящиеся к нему подпункты</w:t>
      </w:r>
      <w:r>
        <w:t xml:space="preserve"> изменить следующим образом:</w:t>
      </w:r>
    </w:p>
    <w:p w:rsidR="00AB76A4" w:rsidRPr="00882979" w:rsidRDefault="00610BE2" w:rsidP="00610BE2">
      <w:pPr>
        <w:pStyle w:val="SingleTxtG"/>
        <w:ind w:left="2268" w:hanging="1134"/>
      </w:pPr>
      <w:r>
        <w:t>«</w:t>
      </w:r>
      <w:r w:rsidR="00AB76A4">
        <w:t>6.2.6.1</w:t>
      </w:r>
      <w:r w:rsidR="00AB76A4">
        <w:tab/>
        <w:t>Направление по вертикали</w:t>
      </w:r>
    </w:p>
    <w:p w:rsidR="00AB76A4" w:rsidRPr="00882979" w:rsidRDefault="00AB76A4" w:rsidP="00610BE2">
      <w:pPr>
        <w:pStyle w:val="SingleTxtG"/>
        <w:ind w:left="2268" w:hanging="1134"/>
        <w:rPr>
          <w:strike/>
        </w:rPr>
      </w:pPr>
      <w:r>
        <w:t>6.2.6.1.1</w:t>
      </w:r>
      <w:r>
        <w:tab/>
      </w:r>
      <w:r>
        <w:rPr>
          <w:strike/>
        </w:rPr>
        <w:t>Первоначальный наклон светотеневой границы фары ближнего света вниз в случае порожнего транспортного средства с одним человеком на сиденье водителя должен устанавливаться изготовителем с точностью до 0,1% и указываться на каждом транспортном средстве рядом с фарами или табличкой изготовителя в виде четкого нестираемого условного обозначения, приведенного в приложении 7.</w:t>
      </w:r>
    </w:p>
    <w:p w:rsidR="00AB76A4" w:rsidRDefault="00AB76A4" w:rsidP="00610BE2">
      <w:pPr>
        <w:pStyle w:val="SingleTxtG"/>
        <w:ind w:left="2268" w:hanging="1134"/>
      </w:pPr>
      <w:r>
        <w:tab/>
      </w:r>
      <w:r>
        <w:rPr>
          <w:b/>
          <w:bCs/>
        </w:rPr>
        <w:t>Первоначальный наклон вниз</w:t>
      </w:r>
    </w:p>
    <w:p w:rsidR="00AB76A4" w:rsidRPr="00882979" w:rsidRDefault="00610BE2" w:rsidP="00610BE2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AB76A4">
        <w:rPr>
          <w:b/>
          <w:bCs/>
        </w:rPr>
        <w:t>Первоначальный наклон вниз светотеневой границы фары ближнего света должен:</w:t>
      </w:r>
    </w:p>
    <w:p w:rsidR="00AB76A4" w:rsidRDefault="00610BE2" w:rsidP="00610BE2">
      <w:pPr>
        <w:pStyle w:val="SingleTxtG"/>
        <w:tabs>
          <w:tab w:val="left" w:pos="2552"/>
        </w:tabs>
        <w:ind w:left="2552" w:hanging="284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AB76A4">
        <w:rPr>
          <w:b/>
          <w:bCs/>
        </w:rPr>
        <w:t>устанавливаться на порожнем транспортном средстве с одним человеком на месте водителя,</w:t>
      </w:r>
    </w:p>
    <w:p w:rsidR="00AB76A4" w:rsidRDefault="00610BE2" w:rsidP="00610BE2">
      <w:pPr>
        <w:pStyle w:val="SingleTxtG"/>
        <w:tabs>
          <w:tab w:val="left" w:pos="2552"/>
        </w:tabs>
        <w:ind w:left="2552" w:hanging="284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AB76A4">
        <w:rPr>
          <w:b/>
          <w:bCs/>
        </w:rPr>
        <w:t>указываться изготовителем с точностью до 0,1%,</w:t>
      </w:r>
    </w:p>
    <w:p w:rsidR="00AB76A4" w:rsidRPr="00882979" w:rsidRDefault="00610BE2" w:rsidP="00610BE2">
      <w:pPr>
        <w:pStyle w:val="SingleTxtG"/>
        <w:tabs>
          <w:tab w:val="left" w:pos="2552"/>
        </w:tabs>
        <w:ind w:left="2552" w:hanging="284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AB76A4">
        <w:rPr>
          <w:b/>
          <w:bCs/>
        </w:rPr>
        <w:t xml:space="preserve">быть равным </w:t>
      </w:r>
      <w:r w:rsidR="00845F76">
        <w:rPr>
          <w:b/>
          <w:bCs/>
        </w:rPr>
        <w:t>–</w:t>
      </w:r>
      <w:r w:rsidR="00AB76A4">
        <w:rPr>
          <w:b/>
          <w:bCs/>
        </w:rPr>
        <w:t>0,5% либо ниже, как это указано на диаграмме, содержащейся в пункте 6.2.6.1.2, и</w:t>
      </w:r>
    </w:p>
    <w:p w:rsidR="00AB76A4" w:rsidRPr="00882979" w:rsidRDefault="00610BE2" w:rsidP="00610BE2">
      <w:pPr>
        <w:pStyle w:val="SingleTxtG"/>
        <w:tabs>
          <w:tab w:val="left" w:pos="2552"/>
        </w:tabs>
        <w:ind w:left="2552" w:hanging="284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AB76A4">
        <w:rPr>
          <w:b/>
          <w:bCs/>
        </w:rPr>
        <w:t>указываться на каждом транспортном средстве рядом с фарами или табличкой изготовителя в виде четкого нестираемого условного обозначения, приведенного в приложении 7.</w:t>
      </w:r>
    </w:p>
    <w:p w:rsidR="00AB76A4" w:rsidRPr="00882979" w:rsidRDefault="0070235D" w:rsidP="0070235D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ab/>
      </w:r>
      <w:r w:rsidR="00AB76A4">
        <w:rPr>
          <w:b/>
          <w:bCs/>
        </w:rPr>
        <w:t>Указанный первоначальный наклон вниз определяется изготовителем транспортного средства в диапазоне, предписанном в пункте 6.2.6.1.2, с учетом высоты установки фары ближнего света.</w:t>
      </w:r>
    </w:p>
    <w:p w:rsidR="00AB76A4" w:rsidRPr="00882979" w:rsidRDefault="0070235D" w:rsidP="0070235D">
      <w:pPr>
        <w:pStyle w:val="SingleTxtG"/>
        <w:ind w:left="2268" w:hanging="1134"/>
      </w:pPr>
      <w:r>
        <w:rPr>
          <w:b/>
          <w:bCs/>
        </w:rPr>
        <w:tab/>
      </w:r>
      <w:r w:rsidR="00AB76A4">
        <w:rPr>
          <w:b/>
          <w:bCs/>
        </w:rPr>
        <w:t>Могут быть определены различные значения первоначального наклона вниз для различных вариантов/версий одного и того же типа транспортного средства при условии, что на каждом варианте/каждой версии указывается только соответствующее значение.</w:t>
      </w:r>
    </w:p>
    <w:p w:rsidR="00AB76A4" w:rsidRPr="00882979" w:rsidRDefault="00AB76A4" w:rsidP="00610BE2">
      <w:pPr>
        <w:pStyle w:val="SingleTxtG"/>
        <w:rPr>
          <w:b/>
          <w:bCs/>
        </w:rPr>
      </w:pPr>
      <w:r>
        <w:t>6.2.6.1.2</w:t>
      </w:r>
      <w:r>
        <w:tab/>
      </w:r>
      <w:r>
        <w:rPr>
          <w:b/>
          <w:bCs/>
        </w:rPr>
        <w:t>Пределы вертикального наклон светотеневой границы</w:t>
      </w:r>
    </w:p>
    <w:p w:rsidR="00AB76A4" w:rsidRPr="00882979" w:rsidRDefault="0070235D" w:rsidP="0070235D">
      <w:pPr>
        <w:pStyle w:val="SingleTxtG"/>
        <w:ind w:left="2268" w:hanging="1134"/>
        <w:rPr>
          <w:b/>
        </w:rPr>
      </w:pPr>
      <w:r>
        <w:tab/>
      </w:r>
      <w:r w:rsidR="00AB76A4">
        <w:t>В зависимости от высоты в метрах (h), на которой расположен нижний край поверхности, видимой в направлении исходной оси фары ближнего света, и которая измеряется на порожних транспортных средствах, вертикальный наклон светотеневой границы фары ближнего света</w:t>
      </w:r>
      <w:r w:rsidR="00AB76A4">
        <w:rPr>
          <w:b/>
          <w:bCs/>
        </w:rPr>
        <w:t>,</w:t>
      </w:r>
      <w:r w:rsidR="00AB76A4">
        <w:t xml:space="preserve"> </w:t>
      </w:r>
      <w:r w:rsidR="00AB76A4">
        <w:rPr>
          <w:b/>
          <w:bCs/>
        </w:rPr>
        <w:t>начиная со значения первоначального наклона, установленного изготовителем транспортного средства в соответствии с предписанием пункта 6.2.6.1.1,</w:t>
      </w:r>
      <w:r w:rsidR="00AB76A4">
        <w:t xml:space="preserve"> </w:t>
      </w:r>
      <w:r w:rsidR="00AB76A4">
        <w:rPr>
          <w:strike/>
        </w:rPr>
        <w:t>при всех статических условиях, предусмотренных в приложении 5,</w:t>
      </w:r>
      <w:r w:rsidR="00AB76A4">
        <w:t xml:space="preserve"> должен оставаться в следующих пределах</w:t>
      </w:r>
      <w:r w:rsidR="00AB76A4">
        <w:rPr>
          <w:strike/>
        </w:rPr>
        <w:t>, а первоначальная направленность должна иметь следующие значения</w:t>
      </w:r>
      <w:r w:rsidR="00AB76A4">
        <w:t xml:space="preserve"> </w:t>
      </w:r>
      <w:r w:rsidR="00AB76A4">
        <w:rPr>
          <w:b/>
          <w:bCs/>
        </w:rPr>
        <w:t>при всех статических условиях нагрузки, указанных в приложении 5</w:t>
      </w:r>
      <w:r w:rsidR="00AB76A4">
        <w:t>:</w:t>
      </w:r>
    </w:p>
    <w:p w:rsidR="00AB76A4" w:rsidRPr="00882979" w:rsidRDefault="00AB76A4" w:rsidP="00AB76A4">
      <w:pPr>
        <w:pStyle w:val="para"/>
        <w:ind w:left="2835" w:hanging="567"/>
        <w:rPr>
          <w:strike/>
          <w:u w:val="single"/>
          <w:lang w:val="ru-RU"/>
        </w:rPr>
      </w:pPr>
      <w:r>
        <w:rPr>
          <w:strike/>
          <w:u w:val="single"/>
          <w:lang w:val="ru-RU"/>
        </w:rPr>
        <w:t>h &lt; 0,8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lastRenderedPageBreak/>
        <w:t>пределы: от –0,5% до –2,5%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–1,0% до –1,5%</w:t>
      </w:r>
    </w:p>
    <w:p w:rsidR="00AB76A4" w:rsidRPr="00830D5A" w:rsidRDefault="00AB76A4" w:rsidP="00AB76A4">
      <w:pPr>
        <w:pStyle w:val="para"/>
        <w:ind w:left="2835" w:hanging="567"/>
        <w:rPr>
          <w:strike/>
          <w:u w:val="single"/>
          <w:lang w:val="ru-RU"/>
        </w:rPr>
      </w:pPr>
      <w:r w:rsidRPr="00830D5A">
        <w:rPr>
          <w:strike/>
          <w:u w:val="single"/>
          <w:lang w:val="ru-RU"/>
        </w:rPr>
        <w:t>0,8 &lt; h &lt; 1,0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–0,5% до –2,5%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–1,0% до –1,5%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или же, по усмотрению изготовителя,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–1,0% до –3,0%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первоначальная направленность: от –1,5% до –2,0%</w:t>
      </w:r>
    </w:p>
    <w:p w:rsidR="00AB76A4" w:rsidRPr="00882979" w:rsidRDefault="0070235D" w:rsidP="0070235D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В этом случае в заявке на официальное утверждение типа транспортного средства следует указывать, какой из приведенных двух альтернативных вариантов необходимо использовать.</w:t>
      </w:r>
    </w:p>
    <w:p w:rsidR="00AB76A4" w:rsidRPr="00830D5A" w:rsidRDefault="00AB76A4" w:rsidP="00AB76A4">
      <w:pPr>
        <w:pStyle w:val="para"/>
        <w:ind w:left="2835" w:hanging="567"/>
        <w:rPr>
          <w:strike/>
          <w:u w:val="single"/>
          <w:lang w:val="ru-RU"/>
        </w:rPr>
      </w:pPr>
      <w:r w:rsidRPr="00830D5A">
        <w:rPr>
          <w:strike/>
          <w:u w:val="single"/>
          <w:lang w:val="ru-RU"/>
        </w:rPr>
        <w:t>h &gt; 1,0</w:t>
      </w:r>
    </w:p>
    <w:p w:rsidR="00AB76A4" w:rsidRPr="00882979" w:rsidRDefault="00AB76A4" w:rsidP="00AB76A4">
      <w:pPr>
        <w:pStyle w:val="para"/>
        <w:ind w:left="2835" w:hanging="567"/>
        <w:rPr>
          <w:strike/>
          <w:lang w:val="ru-RU"/>
        </w:rPr>
      </w:pPr>
      <w:r>
        <w:rPr>
          <w:strike/>
          <w:lang w:val="ru-RU"/>
        </w:rPr>
        <w:t>пределы: от –1,0% до –3,0%</w:t>
      </w:r>
    </w:p>
    <w:p w:rsidR="00AB76A4" w:rsidRPr="00882979" w:rsidRDefault="00AB76A4" w:rsidP="00AB76A4">
      <w:pPr>
        <w:pStyle w:val="para"/>
        <w:ind w:left="2835" w:hanging="567"/>
        <w:rPr>
          <w:b/>
          <w:lang w:val="ru-RU"/>
        </w:rPr>
      </w:pPr>
      <w:r>
        <w:rPr>
          <w:strike/>
          <w:lang w:val="ru-RU"/>
        </w:rPr>
        <w:t>первоначальная направленность: от –1,5% до –2,0%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AB76A4" w:rsidRPr="0070235D" w:rsidTr="00113AE8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after="0"/>
              <w:ind w:left="0" w:right="12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Высота установки h </w:t>
            </w:r>
            <w:r w:rsidR="006C7876"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[м]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after="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Верхний предел наклона</w:t>
            </w:r>
            <w:r w:rsidRPr="0070235D">
              <w:rPr>
                <w:sz w:val="16"/>
                <w:szCs w:val="16"/>
                <w:lang w:val="ru-RU"/>
              </w:rPr>
              <w:t xml:space="preserve"> </w:t>
            </w:r>
          </w:p>
          <w:p w:rsidR="00AB76A4" w:rsidRPr="006C7876" w:rsidRDefault="00AB76A4" w:rsidP="00113AE8">
            <w:pPr>
              <w:pStyle w:val="para"/>
              <w:spacing w:after="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Нижний предел наклона</w:t>
            </w:r>
            <w:r w:rsidRPr="0070235D">
              <w:rPr>
                <w:sz w:val="16"/>
                <w:szCs w:val="16"/>
                <w:lang w:val="ru-RU"/>
              </w:rPr>
              <w:t xml:space="preserve"> </w:t>
            </w:r>
          </w:p>
          <w:p w:rsidR="00AB76A4" w:rsidRPr="006C7876" w:rsidRDefault="00AB76A4" w:rsidP="00113AE8">
            <w:pPr>
              <w:pStyle w:val="para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0235D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</w:tr>
      <w:tr w:rsidR="00AB76A4" w:rsidRPr="0070235D" w:rsidTr="00113AE8"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0,5 ≤ h ≤ 0,9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-0,20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  <w:hideMark/>
          </w:tcPr>
          <w:p w:rsidR="00AB76A4" w:rsidRPr="006C7876" w:rsidRDefault="00AB76A4" w:rsidP="006C7876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1,40 до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1,80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AB76A4" w:rsidRPr="0070235D" w:rsidTr="00113AE8"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AB76A4" w:rsidRPr="006C7876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0,9 &lt; h ≤ 1,2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AB76A4" w:rsidRPr="0070235D" w:rsidRDefault="00AB76A4" w:rsidP="006C7876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0,20 до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0,85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AB76A4" w:rsidRPr="0070235D" w:rsidRDefault="00AB76A4" w:rsidP="006C7876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1,80 до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2,45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AB76A4" w:rsidRPr="0070235D" w:rsidTr="00113AE8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70235D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>1,2 &lt; h ≤ 1,5</w:t>
            </w:r>
            <w:r w:rsidRPr="006C7876">
              <w:rPr>
                <w:bCs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70235D" w:rsidRDefault="00AB76A4" w:rsidP="006C7876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0,85 до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1,50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70235D" w:rsidRDefault="00AB76A4" w:rsidP="006C7876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0235D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6C7876">
              <w:rPr>
                <w:b/>
                <w:bCs/>
                <w:sz w:val="18"/>
                <w:szCs w:val="18"/>
                <w:lang w:val="ru-RU"/>
              </w:rPr>
              <w:t>–2,45 до –</w:t>
            </w:r>
            <w:r w:rsidRPr="0070235D">
              <w:rPr>
                <w:b/>
                <w:bCs/>
                <w:sz w:val="18"/>
                <w:szCs w:val="18"/>
                <w:lang w:val="ru-RU"/>
              </w:rPr>
              <w:t>3,10</w:t>
            </w:r>
            <w:r w:rsidRPr="006C7876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</w:tbl>
    <w:p w:rsidR="00AB76A4" w:rsidRPr="006C7876" w:rsidRDefault="006C7876" w:rsidP="002441AE">
      <w:pPr>
        <w:pStyle w:val="SingleTxtG"/>
        <w:spacing w:before="120" w:after="0" w:line="220" w:lineRule="exact"/>
        <w:ind w:left="2268"/>
        <w:jc w:val="left"/>
        <w:rPr>
          <w:b/>
          <w:sz w:val="18"/>
          <w:szCs w:val="18"/>
        </w:rPr>
      </w:pPr>
      <w:r w:rsidRPr="006C7876">
        <w:rPr>
          <w:sz w:val="18"/>
          <w:szCs w:val="18"/>
        </w:rPr>
        <w:t>*</w:t>
      </w:r>
      <w:r w:rsidRPr="006C7876">
        <w:rPr>
          <w:b/>
          <w:sz w:val="18"/>
          <w:szCs w:val="18"/>
        </w:rPr>
        <w:t xml:space="preserve">  </w:t>
      </w:r>
      <w:r w:rsidR="002441AE" w:rsidRPr="006C7876">
        <w:rPr>
          <w:b/>
          <w:sz w:val="18"/>
          <w:szCs w:val="18"/>
        </w:rPr>
        <w:t xml:space="preserve">увеличивается </w:t>
      </w:r>
      <w:r w:rsidR="00AB76A4" w:rsidRPr="006C7876">
        <w:rPr>
          <w:b/>
          <w:sz w:val="18"/>
          <w:szCs w:val="18"/>
        </w:rPr>
        <w:t>линейно по отношению к высоте установк</w:t>
      </w:r>
      <w:r w:rsidR="00845F76">
        <w:rPr>
          <w:b/>
          <w:sz w:val="18"/>
          <w:szCs w:val="18"/>
        </w:rPr>
        <w:t>и</w:t>
      </w:r>
      <w:r w:rsidR="00AB76A4" w:rsidRPr="006C7876">
        <w:rPr>
          <w:b/>
          <w:sz w:val="18"/>
          <w:szCs w:val="18"/>
        </w:rPr>
        <w:t xml:space="preserve"> фары ближнего света.</w:t>
      </w:r>
    </w:p>
    <w:p w:rsidR="00AB76A4" w:rsidRPr="00882979" w:rsidRDefault="00AB76A4" w:rsidP="002441AE">
      <w:pPr>
        <w:pStyle w:val="SingleTxtG"/>
        <w:spacing w:line="220" w:lineRule="exact"/>
        <w:ind w:left="2268"/>
        <w:jc w:val="left"/>
      </w:pPr>
      <w:r w:rsidRPr="006C7876">
        <w:rPr>
          <w:bCs/>
          <w:sz w:val="18"/>
          <w:szCs w:val="18"/>
        </w:rPr>
        <w:t>**</w:t>
      </w:r>
      <w:r w:rsidR="006C7876" w:rsidRPr="006C7876">
        <w:rPr>
          <w:b/>
          <w:bCs/>
          <w:sz w:val="18"/>
          <w:szCs w:val="18"/>
        </w:rPr>
        <w:t xml:space="preserve">  </w:t>
      </w:r>
      <w:r w:rsidR="002441AE" w:rsidRPr="006C7876">
        <w:rPr>
          <w:b/>
          <w:bCs/>
          <w:sz w:val="18"/>
          <w:szCs w:val="18"/>
        </w:rPr>
        <w:t xml:space="preserve">только </w:t>
      </w:r>
      <w:r w:rsidRPr="006C7876">
        <w:rPr>
          <w:b/>
          <w:bCs/>
          <w:sz w:val="18"/>
          <w:szCs w:val="18"/>
        </w:rPr>
        <w:t>для транспортных средств категорий N</w:t>
      </w:r>
      <w:r w:rsidRPr="006C7876">
        <w:rPr>
          <w:b/>
          <w:bCs/>
          <w:sz w:val="18"/>
          <w:szCs w:val="18"/>
          <w:vertAlign w:val="subscript"/>
        </w:rPr>
        <w:t>2</w:t>
      </w:r>
      <w:r w:rsidRPr="006C7876">
        <w:rPr>
          <w:b/>
          <w:bCs/>
          <w:sz w:val="18"/>
          <w:szCs w:val="18"/>
        </w:rPr>
        <w:t>G и N</w:t>
      </w:r>
      <w:r w:rsidRPr="006C7876">
        <w:rPr>
          <w:b/>
          <w:bCs/>
          <w:sz w:val="18"/>
          <w:szCs w:val="18"/>
          <w:vertAlign w:val="subscript"/>
        </w:rPr>
        <w:t>3</w:t>
      </w:r>
      <w:r w:rsidRPr="006C7876">
        <w:rPr>
          <w:b/>
          <w:bCs/>
          <w:sz w:val="18"/>
          <w:szCs w:val="18"/>
        </w:rPr>
        <w:t>G (повышенной проходимости).</w:t>
      </w:r>
    </w:p>
    <w:p w:rsidR="00AB76A4" w:rsidRPr="00882979" w:rsidRDefault="006C7876" w:rsidP="006C7876">
      <w:pPr>
        <w:pStyle w:val="SingleTxtG"/>
        <w:ind w:left="2268" w:hanging="1134"/>
      </w:pPr>
      <w:r>
        <w:tab/>
      </w:r>
      <w:r w:rsidR="00AB76A4">
        <w:t xml:space="preserve">Вышеуказанные пределы </w:t>
      </w:r>
      <w:r w:rsidR="00AB76A4">
        <w:rPr>
          <w:strike/>
        </w:rPr>
        <w:t>и значения первоначальной направленности</w:t>
      </w:r>
      <w:r w:rsidR="00AB76A4">
        <w:t xml:space="preserve"> показаны на диаграмме, приведенной ниже.</w:t>
      </w:r>
    </w:p>
    <w:p w:rsidR="00AB76A4" w:rsidRPr="00882979" w:rsidRDefault="006C7876" w:rsidP="006C7876">
      <w:pPr>
        <w:pStyle w:val="SingleTxtG"/>
        <w:ind w:left="2268" w:hanging="1134"/>
        <w:rPr>
          <w:b/>
          <w:strike/>
        </w:rPr>
      </w:pPr>
      <w:r>
        <w:tab/>
      </w:r>
      <w:r w:rsidR="00AB76A4">
        <w:rPr>
          <w:strike/>
        </w:rPr>
        <w:t>Для транспортных средств категории N</w:t>
      </w:r>
      <w:r w:rsidR="00AB76A4">
        <w:rPr>
          <w:strike/>
          <w:vertAlign w:val="subscript"/>
        </w:rPr>
        <w:t>3</w:t>
      </w:r>
      <w:r w:rsidR="00AB76A4">
        <w:rPr>
          <w:strike/>
        </w:rPr>
        <w:t>G (повышенной проходимости), когда высота установки фар составляет более 1 200 мм, пределы вертикального наклона светотеневой границы должны составлять от −1,5% до −3,5%.</w:t>
      </w:r>
    </w:p>
    <w:p w:rsidR="00AB76A4" w:rsidRPr="00882979" w:rsidRDefault="006C7876" w:rsidP="006C7876">
      <w:pPr>
        <w:pStyle w:val="SingleTxtG"/>
        <w:ind w:left="2268" w:hanging="1134"/>
        <w:rPr>
          <w:bCs/>
          <w:strike/>
        </w:rPr>
      </w:pPr>
      <w:r>
        <w:tab/>
      </w:r>
      <w:r w:rsidR="00AB76A4">
        <w:rPr>
          <w:strike/>
        </w:rPr>
        <w:t>Первоначальная направленность должна устанавливаться следующим образом: от –2% до –2,5%.</w:t>
      </w:r>
    </w:p>
    <w:p w:rsidR="00AB76A4" w:rsidRDefault="00AB76A4" w:rsidP="00AB76A4">
      <w:pPr>
        <w:ind w:left="2268" w:right="1134" w:hanging="1134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4B493B" wp14:editId="004532C1">
                <wp:simplePos x="0" y="0"/>
                <wp:positionH relativeFrom="column">
                  <wp:posOffset>1530985</wp:posOffset>
                </wp:positionH>
                <wp:positionV relativeFrom="paragraph">
                  <wp:posOffset>-22860</wp:posOffset>
                </wp:positionV>
                <wp:extent cx="3068320" cy="2809240"/>
                <wp:effectExtent l="22225" t="15240" r="14605" b="2349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2809240"/>
                          <a:chOff x="4591" y="3215"/>
                          <a:chExt cx="4832" cy="4424"/>
                        </a:xfrm>
                      </wpg:grpSpPr>
                      <wps:wsp>
                        <wps:cNvPr id="6" name="Straight Connector 5"/>
                        <wps:cNvCnPr>
                          <a:cxnSpLocks/>
                        </wps:cNvCnPr>
                        <wps:spPr bwMode="auto">
                          <a:xfrm>
                            <a:off x="4591" y="3215"/>
                            <a:ext cx="4760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9"/>
                        <wps:cNvCnPr>
                          <a:cxnSpLocks/>
                        </wps:cNvCnPr>
                        <wps:spPr bwMode="auto">
                          <a:xfrm flipV="1">
                            <a:off x="4655" y="3215"/>
                            <a:ext cx="4768" cy="4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8B655" id="Group 13" o:spid="_x0000_s1026" style="position:absolute;margin-left:120.55pt;margin-top:-1.8pt;width:241.6pt;height:221.2pt;z-index:251659264" coordorigin="4591,3215" coordsize="4832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">
                <v:line id="Straight Connector 5" o:spid="_x0000_s1027" style="position:absolute;visibility:visible;mso-wrap-style:square" from="4591,3215" to="9351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" strokecolor="black [3040]" strokeweight="2.25pt">
                  <o:lock v:ext="edit" shapetype="f"/>
                </v:line>
                <v:line id="Straight Connector 9" o:spid="_x0000_s1028" style="position:absolute;flip:y;visibility:visible;mso-wrap-style:square" from="4655,3215" to="9423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" strokeweight="2.25pt">
                  <o:lock v:ext="edit" shapetype="f"/>
                </v:line>
              </v:group>
            </w:pict>
          </mc:Fallback>
        </mc:AlternateContent>
      </w:r>
      <w:r w:rsidRPr="00805CB3">
        <w:object w:dxaOrig="8087" w:dyaOrig="7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85pt;height:221.85pt" o:ole="">
            <v:imagedata r:id="rId8" o:title=""/>
          </v:shape>
          <o:OLEObject Type="Embed" ProgID="PBrush" ShapeID="_x0000_i1025" DrawAspect="Content" ObjectID="_1644147168" r:id="rId9"/>
        </w:object>
      </w:r>
    </w:p>
    <w:p w:rsidR="00AB76A4" w:rsidRDefault="00AB76A4" w:rsidP="00AB76A4">
      <w:pPr>
        <w:ind w:left="2268" w:right="1134" w:hanging="1134"/>
        <w:jc w:val="center"/>
        <w:rPr>
          <w:noProof/>
          <w:lang w:val="en-US"/>
        </w:rPr>
      </w:pPr>
    </w:p>
    <w:p w:rsidR="00AB76A4" w:rsidRDefault="00564284" w:rsidP="00AE39C9">
      <w:pPr>
        <w:pStyle w:val="SingleTxtG"/>
        <w:ind w:left="2268" w:hanging="113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D1D24" wp14:editId="3E33F6F9">
                <wp:simplePos x="0" y="0"/>
                <wp:positionH relativeFrom="column">
                  <wp:posOffset>1289378</wp:posOffset>
                </wp:positionH>
                <wp:positionV relativeFrom="paragraph">
                  <wp:posOffset>3505835</wp:posOffset>
                </wp:positionV>
                <wp:extent cx="4046220" cy="148590"/>
                <wp:effectExtent l="0" t="0" r="0" b="381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83D" w:rsidRPr="002A483D" w:rsidRDefault="002A483D" w:rsidP="002A483D">
                            <w:pPr>
                              <w:spacing w:line="200" w:lineRule="atLeas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–0,5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–1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–1,5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–2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–2,5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–3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–3,5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1D2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01.55pt;margin-top:276.05pt;width:318.6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" fillcolor="white [3201]" stroked="f" strokeweight=".5pt">
                <v:textbox inset="0,0,0,0">
                  <w:txbxContent>
                    <w:p w:rsidR="002A483D" w:rsidRPr="002A483D" w:rsidRDefault="002A483D" w:rsidP="002A483D">
                      <w:pPr>
                        <w:spacing w:line="200" w:lineRule="atLeas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0,5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0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–0,5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–1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–1,5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–2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>–2,5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–3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–3,5</w:t>
                      </w:r>
                    </w:p>
                  </w:txbxContent>
                </v:textbox>
              </v:shape>
            </w:pict>
          </mc:Fallback>
        </mc:AlternateContent>
      </w:r>
      <w:r w:rsidR="002A4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A04A" wp14:editId="1C931DD6">
                <wp:simplePos x="0" y="0"/>
                <wp:positionH relativeFrom="column">
                  <wp:posOffset>1138883</wp:posOffset>
                </wp:positionH>
                <wp:positionV relativeFrom="paragraph">
                  <wp:posOffset>215265</wp:posOffset>
                </wp:positionV>
                <wp:extent cx="144815" cy="3142876"/>
                <wp:effectExtent l="0" t="0" r="7620" b="63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15" cy="3142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83D" w:rsidRDefault="002A483D" w:rsidP="002A48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1,6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1,5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1,4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1,3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1,2</w:t>
                            </w:r>
                          </w:p>
                          <w:p w:rsidR="002A483D" w:rsidRDefault="002A483D" w:rsidP="002A483D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1,1</w:t>
                            </w:r>
                          </w:p>
                          <w:p w:rsidR="002A483D" w:rsidRDefault="002A483D" w:rsidP="002A483D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</w:t>
                            </w:r>
                          </w:p>
                          <w:p w:rsidR="002A483D" w:rsidRDefault="002A483D" w:rsidP="002A483D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0,9</w:t>
                            </w:r>
                          </w:p>
                          <w:p w:rsidR="002A483D" w:rsidRDefault="002A483D" w:rsidP="002A483D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0,8</w:t>
                            </w:r>
                          </w:p>
                          <w:p w:rsidR="002A483D" w:rsidRDefault="002A483D" w:rsidP="002A483D">
                            <w:pPr>
                              <w:spacing w:before="60" w:after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0,7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0,6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0,5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0,4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0,3</w:t>
                            </w:r>
                          </w:p>
                          <w:p w:rsidR="002A483D" w:rsidRDefault="002A483D" w:rsidP="002A483D">
                            <w:pPr>
                              <w:spacing w:before="60" w:after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0,2</w:t>
                            </w:r>
                          </w:p>
                          <w:p w:rsidR="002A483D" w:rsidRPr="002A483D" w:rsidRDefault="002A483D" w:rsidP="002A483D">
                            <w:pPr>
                              <w:spacing w:before="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A04A" id="Надпись 12" o:spid="_x0000_s1027" type="#_x0000_t202" style="position:absolute;left:0;text-align:left;margin-left:89.7pt;margin-top:16.95pt;width:11.4pt;height:2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" fillcolor="white [3201]" stroked="f" strokeweight=".5pt">
                <v:textbox inset="0,0,0,0">
                  <w:txbxContent>
                    <w:p w:rsidR="002A483D" w:rsidRDefault="002A483D" w:rsidP="002A483D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1,6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1,5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1,4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1,3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1,2</w:t>
                      </w:r>
                    </w:p>
                    <w:p w:rsidR="002A483D" w:rsidRDefault="002A483D" w:rsidP="002A483D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1,1</w:t>
                      </w:r>
                    </w:p>
                    <w:p w:rsidR="002A483D" w:rsidRDefault="002A483D" w:rsidP="002A483D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1,0</w:t>
                      </w:r>
                    </w:p>
                    <w:p w:rsidR="002A483D" w:rsidRDefault="002A483D" w:rsidP="002A483D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0,9</w:t>
                      </w:r>
                    </w:p>
                    <w:p w:rsidR="002A483D" w:rsidRDefault="002A483D" w:rsidP="002A483D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0,8</w:t>
                      </w:r>
                    </w:p>
                    <w:p w:rsidR="002A483D" w:rsidRDefault="002A483D" w:rsidP="002A483D">
                      <w:pPr>
                        <w:spacing w:before="60" w:after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0,7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0,6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0,5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0,4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0,3</w:t>
                      </w:r>
                    </w:p>
                    <w:p w:rsidR="002A483D" w:rsidRDefault="002A483D" w:rsidP="002A483D">
                      <w:pPr>
                        <w:spacing w:before="60" w:after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0,2</w:t>
                      </w:r>
                    </w:p>
                    <w:p w:rsidR="002A483D" w:rsidRPr="002A483D" w:rsidRDefault="002A483D" w:rsidP="002A483D">
                      <w:pPr>
                        <w:spacing w:before="6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  <w:r w:rsidR="002A48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C643F" wp14:editId="51CEA5FE">
                <wp:simplePos x="0" y="0"/>
                <wp:positionH relativeFrom="column">
                  <wp:posOffset>2774643</wp:posOffset>
                </wp:positionH>
                <wp:positionV relativeFrom="paragraph">
                  <wp:posOffset>3667125</wp:posOffset>
                </wp:positionV>
                <wp:extent cx="980440" cy="202565"/>
                <wp:effectExtent l="0" t="0" r="0" b="698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0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7876" w:rsidRPr="002A483D" w:rsidRDefault="006C78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483D">
                              <w:rPr>
                                <w:sz w:val="14"/>
                                <w:szCs w:val="14"/>
                              </w:rPr>
                              <w:t>Направленность (%)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C643F" id="Надпись 10" o:spid="_x0000_s1028" type="#_x0000_t202" style="position:absolute;left:0;text-align:left;margin-left:218.5pt;margin-top:288.75pt;width:77.2pt;height:15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" fillcolor="white [3201]" stroked="f" strokeweight=".5pt">
                <v:textbox inset="0,0,0,0">
                  <w:txbxContent>
                    <w:p w:rsidR="006C7876" w:rsidRPr="002A483D" w:rsidRDefault="006C7876">
                      <w:pPr>
                        <w:rPr>
                          <w:sz w:val="14"/>
                          <w:szCs w:val="14"/>
                        </w:rPr>
                      </w:pPr>
                      <w:r w:rsidRPr="002A483D">
                        <w:rPr>
                          <w:sz w:val="14"/>
                          <w:szCs w:val="14"/>
                        </w:rPr>
                        <w:t>Направленность (%)</w:t>
                      </w:r>
                    </w:p>
                  </w:txbxContent>
                </v:textbox>
              </v:shape>
            </w:pict>
          </mc:Fallback>
        </mc:AlternateContent>
      </w:r>
      <w:r w:rsidR="006C78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92113" wp14:editId="6F96C039">
                <wp:simplePos x="0" y="0"/>
                <wp:positionH relativeFrom="column">
                  <wp:posOffset>760715</wp:posOffset>
                </wp:positionH>
                <wp:positionV relativeFrom="paragraph">
                  <wp:posOffset>17610</wp:posOffset>
                </wp:positionV>
                <wp:extent cx="1220579" cy="202740"/>
                <wp:effectExtent l="0" t="0" r="0" b="69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579" cy="2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7876" w:rsidRPr="00845F76" w:rsidRDefault="006C78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45F76">
                              <w:rPr>
                                <w:sz w:val="14"/>
                                <w:szCs w:val="14"/>
                              </w:rPr>
                              <w:t>Высота установки фары (м)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92113" id="Надпись 9" o:spid="_x0000_s1029" type="#_x0000_t202" style="position:absolute;left:0;text-align:left;margin-left:59.9pt;margin-top:1.4pt;width:96.1pt;height:1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" fillcolor="white [3201]" stroked="f" strokeweight=".5pt">
                <v:textbox inset="0,0,0,0">
                  <w:txbxContent>
                    <w:p w:rsidR="006C7876" w:rsidRPr="00845F76" w:rsidRDefault="006C7876">
                      <w:pPr>
                        <w:rPr>
                          <w:sz w:val="14"/>
                          <w:szCs w:val="14"/>
                        </w:rPr>
                      </w:pPr>
                      <w:r w:rsidRPr="00845F76">
                        <w:rPr>
                          <w:sz w:val="14"/>
                          <w:szCs w:val="14"/>
                        </w:rPr>
                        <w:t>Высота установки фары (м)</w:t>
                      </w:r>
                    </w:p>
                  </w:txbxContent>
                </v:textbox>
              </v:shape>
            </w:pict>
          </mc:Fallback>
        </mc:AlternateContent>
      </w:r>
      <w:r w:rsidR="00AB76A4">
        <w:rPr>
          <w:noProof/>
          <w:lang w:eastAsia="ru-RU"/>
        </w:rPr>
        <w:drawing>
          <wp:inline distT="0" distB="0" distL="0" distR="0" wp14:anchorId="45252F2C" wp14:editId="3E8F94EF">
            <wp:extent cx="4606506" cy="3926267"/>
            <wp:effectExtent l="0" t="0" r="0" b="0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031" r="5879"/>
                    <a:stretch/>
                  </pic:blipFill>
                  <pic:spPr bwMode="auto">
                    <a:xfrm>
                      <a:off x="0" y="0"/>
                      <a:ext cx="4732046" cy="403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76A4" w:rsidRPr="006C7876">
        <w:t>…</w:t>
      </w:r>
      <w:r w:rsidR="006C7876">
        <w:t>»</w:t>
      </w:r>
      <w:r w:rsidR="00AE39C9">
        <w:t>.</w:t>
      </w:r>
    </w:p>
    <w:p w:rsidR="00AB76A4" w:rsidRPr="00882979" w:rsidRDefault="00AB76A4" w:rsidP="003206B2">
      <w:pPr>
        <w:spacing w:after="120"/>
        <w:ind w:left="1134" w:right="1134"/>
        <w:jc w:val="both"/>
      </w:pPr>
      <w:r>
        <w:rPr>
          <w:i/>
          <w:iCs/>
        </w:rPr>
        <w:t>Пункт 6.2.6.2 и относящиеся к нему подпункты</w:t>
      </w:r>
      <w:r>
        <w:t xml:space="preserve"> изменить следующим образом:</w:t>
      </w:r>
    </w:p>
    <w:p w:rsidR="00AB76A4" w:rsidRPr="00882979" w:rsidRDefault="003206B2" w:rsidP="006C7876">
      <w:pPr>
        <w:pStyle w:val="SingleTxtG"/>
        <w:ind w:left="2268" w:hanging="1134"/>
      </w:pPr>
      <w:r>
        <w:t>«</w:t>
      </w:r>
      <w:r w:rsidR="00AB76A4">
        <w:t>6.2.6.2</w:t>
      </w:r>
      <w:r w:rsidR="00AB76A4">
        <w:tab/>
        <w:t>Устройство, регулирующее положение фары</w:t>
      </w:r>
    </w:p>
    <w:p w:rsidR="00AB76A4" w:rsidRPr="00882979" w:rsidRDefault="00AB76A4" w:rsidP="006C7876">
      <w:pPr>
        <w:pStyle w:val="SingleTxtG"/>
        <w:ind w:left="2268" w:hanging="1134"/>
      </w:pPr>
      <w:r>
        <w:t>6.2.6.2.1</w:t>
      </w:r>
      <w:r>
        <w:tab/>
        <w:t>В случае, когда для выполнения требований пунктов 6.2.6.1.1 и 6.2.6.1.2 необходимо устройство, регулирующее положение фары, это устройство должно б</w:t>
      </w:r>
      <w:bookmarkStart w:id="0" w:name="_GoBack"/>
      <w:bookmarkEnd w:id="0"/>
      <w:r>
        <w:t>ыть автоматическим.</w:t>
      </w:r>
    </w:p>
    <w:p w:rsidR="00AB76A4" w:rsidRPr="00882979" w:rsidRDefault="00AB76A4" w:rsidP="006C7876">
      <w:pPr>
        <w:pStyle w:val="SingleTxtG"/>
        <w:ind w:left="2268" w:hanging="1134"/>
        <w:rPr>
          <w:strike/>
        </w:rPr>
      </w:pPr>
      <w:r>
        <w:t>[</w:t>
      </w:r>
      <w:r>
        <w:rPr>
          <w:strike/>
        </w:rPr>
        <w:t>6.2.6.2.2</w:t>
      </w:r>
      <w:r w:rsidRPr="00845F76">
        <w:rPr>
          <w:strike/>
        </w:rPr>
        <w:tab/>
      </w:r>
      <w:r>
        <w:rPr>
          <w:strike/>
        </w:rPr>
        <w:t>Однако ручные регулирующие устройства непрерывного или ступенчатого типа допускаются к установке, если в них предусмотрено фиксированное положение, из которого огни могут быть возвращены в положение первоначального наклона, указанное в пункте 6.2.6.1.1, с помощью обычных регулировочных винтов или аналогичных средств.</w:t>
      </w:r>
    </w:p>
    <w:p w:rsidR="00AB76A4" w:rsidRPr="00882979" w:rsidRDefault="003206B2" w:rsidP="006C7876">
      <w:pPr>
        <w:pStyle w:val="SingleTxtG"/>
        <w:ind w:left="2268" w:hanging="1134"/>
        <w:rPr>
          <w:strike/>
        </w:rPr>
      </w:pPr>
      <w:r>
        <w:lastRenderedPageBreak/>
        <w:tab/>
      </w:r>
      <w:r w:rsidR="00AB76A4">
        <w:rPr>
          <w:strike/>
        </w:rPr>
        <w:t>Эти ручные регулировочные устройства должны приводиться в действие с сиденья водителя.</w:t>
      </w:r>
    </w:p>
    <w:p w:rsidR="00AB76A4" w:rsidRPr="00882979" w:rsidRDefault="003206B2" w:rsidP="006C7876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На регулировочных устройствах непрерывного типа должны быть нанесены контрольные метки, указывающие условия нагрузки, необходимые для регулирования ближнего света.</w:t>
      </w:r>
    </w:p>
    <w:p w:rsidR="00AB76A4" w:rsidRPr="00882979" w:rsidRDefault="003206B2" w:rsidP="006C7876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Необходимо, чтобы число позиций на регулирующих устройствах ступенчатого типа обеспечивало значения во всем диапазоне, предусмотренном в пункте 6.2.6.1.2, при всех условиях нагрузки, определенных в приложении 5.</w:t>
      </w:r>
    </w:p>
    <w:p w:rsidR="00AB76A4" w:rsidRPr="00882979" w:rsidRDefault="003206B2" w:rsidP="006C7876">
      <w:pPr>
        <w:pStyle w:val="SingleTxtG"/>
        <w:ind w:left="2268" w:hanging="1134"/>
      </w:pPr>
      <w:r>
        <w:tab/>
      </w:r>
      <w:r w:rsidR="00AB76A4">
        <w:rPr>
          <w:strike/>
        </w:rPr>
        <w:t>На этих устройствах рядом с органом управления также должны четко указываться условия нагрузки, определенные в приложении 5, необходимые для регулирования фар ближнего света (приложение 8).</w:t>
      </w:r>
      <w:r w:rsidR="00AB76A4">
        <w:t>]</w:t>
      </w:r>
    </w:p>
    <w:p w:rsidR="00AB76A4" w:rsidRPr="00882979" w:rsidRDefault="00AB76A4" w:rsidP="006C7876">
      <w:pPr>
        <w:pStyle w:val="SingleTxtG"/>
        <w:ind w:left="2268" w:hanging="1134"/>
      </w:pPr>
      <w:r>
        <w:t>6.2.6.2.[</w:t>
      </w:r>
      <w:r>
        <w:rPr>
          <w:strike/>
        </w:rPr>
        <w:t>3</w:t>
      </w:r>
      <w:r>
        <w:rPr>
          <w:b/>
          <w:bCs/>
        </w:rPr>
        <w:t>2</w:t>
      </w:r>
      <w:r>
        <w:t>]</w:t>
      </w:r>
      <w:r>
        <w:tab/>
        <w:t xml:space="preserve">В случае поломки устройств, </w:t>
      </w:r>
      <w:r>
        <w:rPr>
          <w:strike/>
        </w:rPr>
        <w:t>описание которых приведено</w:t>
      </w:r>
      <w:r>
        <w:t xml:space="preserve"> </w:t>
      </w:r>
      <w:r>
        <w:rPr>
          <w:b/>
          <w:bCs/>
        </w:rPr>
        <w:t xml:space="preserve">предусмотренных </w:t>
      </w:r>
      <w:r>
        <w:t>в пункт[</w:t>
      </w:r>
      <w:r>
        <w:rPr>
          <w:strike/>
        </w:rPr>
        <w:t>ах</w:t>
      </w:r>
      <w:r>
        <w:rPr>
          <w:b/>
          <w:bCs/>
        </w:rPr>
        <w:t>е</w:t>
      </w:r>
      <w:r>
        <w:t>] 6.2.6.2.1 [</w:t>
      </w:r>
      <w:r>
        <w:rPr>
          <w:strike/>
        </w:rPr>
        <w:t>и 6.2.6.2.2</w:t>
      </w:r>
      <w:r>
        <w:t xml:space="preserve">], фара ближнего света не должна возвращаться в </w:t>
      </w:r>
      <w:r>
        <w:rPr>
          <w:strike/>
        </w:rPr>
        <w:t>более низкое</w:t>
      </w:r>
      <w:r>
        <w:t xml:space="preserve"> положение, </w:t>
      </w:r>
      <w:r>
        <w:rPr>
          <w:b/>
          <w:bCs/>
        </w:rPr>
        <w:t xml:space="preserve">при </w:t>
      </w:r>
      <w:r>
        <w:rPr>
          <w:strike/>
        </w:rPr>
        <w:t>чем то, в</w:t>
      </w:r>
      <w:r>
        <w:t xml:space="preserve"> котором </w:t>
      </w:r>
      <w:r>
        <w:rPr>
          <w:b/>
          <w:bCs/>
        </w:rPr>
        <w:t>вертикальное направление вниз будет меньше, чем оно было</w:t>
      </w:r>
      <w:r>
        <w:t xml:space="preserve"> </w:t>
      </w:r>
      <w:r>
        <w:rPr>
          <w:strike/>
        </w:rPr>
        <w:t>она находилась</w:t>
      </w:r>
      <w:r>
        <w:t xml:space="preserve"> до поломки устройства</w:t>
      </w:r>
      <w:r w:rsidR="00845F76">
        <w:t>.</w:t>
      </w:r>
      <w:r w:rsidR="003206B2">
        <w:t>»</w:t>
      </w:r>
      <w:r>
        <w:t xml:space="preserve">. </w:t>
      </w:r>
    </w:p>
    <w:p w:rsidR="00AB76A4" w:rsidRPr="00882979" w:rsidRDefault="00AB76A4" w:rsidP="00AB76A4">
      <w:pPr>
        <w:spacing w:after="120"/>
        <w:ind w:left="1134" w:right="1134"/>
        <w:jc w:val="both"/>
      </w:pPr>
      <w:r>
        <w:rPr>
          <w:i/>
          <w:iCs/>
        </w:rPr>
        <w:t>Пункт 6.2.6.3 и относящиеся к нему подпункты</w:t>
      </w:r>
      <w:r>
        <w:t xml:space="preserve"> изменить следующим образом:</w:t>
      </w:r>
    </w:p>
    <w:p w:rsidR="00AB76A4" w:rsidRPr="00882979" w:rsidRDefault="003206B2" w:rsidP="006C7876">
      <w:pPr>
        <w:pStyle w:val="SingleTxtG"/>
        <w:ind w:left="2268" w:hanging="1134"/>
      </w:pPr>
      <w:r>
        <w:t>«</w:t>
      </w:r>
      <w:r w:rsidR="00AB76A4">
        <w:t>6.2.6.3</w:t>
      </w:r>
      <w:r w:rsidR="00AB76A4">
        <w:tab/>
        <w:t>Процедура измерения</w:t>
      </w:r>
    </w:p>
    <w:p w:rsidR="00AB76A4" w:rsidRPr="00882979" w:rsidRDefault="00AB76A4" w:rsidP="006C7876">
      <w:pPr>
        <w:pStyle w:val="SingleTxtG"/>
        <w:ind w:left="2268" w:hanging="1134"/>
      </w:pPr>
      <w:r>
        <w:t>6.2.6.3.1</w:t>
      </w:r>
      <w:r>
        <w:tab/>
        <w:t xml:space="preserve">После первоначальной установки наклон фары ближнего света </w:t>
      </w:r>
      <w:r>
        <w:rPr>
          <w:strike/>
        </w:rPr>
        <w:t>по вертикали</w:t>
      </w:r>
      <w:r>
        <w:t xml:space="preserve"> </w:t>
      </w:r>
      <w:r>
        <w:rPr>
          <w:b/>
          <w:bCs/>
        </w:rPr>
        <w:t>вниз</w:t>
      </w:r>
      <w:r>
        <w:t>, выраженный в процентах, измеряют в статических условиях при всех нагрузках в соответствии с приложением 5.</w:t>
      </w:r>
    </w:p>
    <w:p w:rsidR="00AB76A4" w:rsidRPr="00882979" w:rsidRDefault="00AB76A4" w:rsidP="006C7876">
      <w:pPr>
        <w:pStyle w:val="SingleTxtG"/>
        <w:ind w:left="2268" w:hanging="1134"/>
      </w:pPr>
      <w:r>
        <w:t>6.2.6.3.2</w:t>
      </w:r>
      <w:r>
        <w:tab/>
        <w:t xml:space="preserve">Определение изменения </w:t>
      </w:r>
      <w:r>
        <w:rPr>
          <w:b/>
          <w:bCs/>
        </w:rPr>
        <w:t>вертикального</w:t>
      </w:r>
      <w:r>
        <w:t xml:space="preserve"> наклона </w:t>
      </w:r>
      <w:r>
        <w:rPr>
          <w:b/>
          <w:bCs/>
        </w:rPr>
        <w:t xml:space="preserve">вниз </w:t>
      </w:r>
      <w:r>
        <w:t>фары ближнего света в зависимости от нагрузки должно проводиться в соответствии с процедурой испытаний, предусмотренной в приложении 6</w:t>
      </w:r>
      <w:r w:rsidR="00845F76">
        <w:t>.</w:t>
      </w:r>
      <w:r w:rsidR="003206B2">
        <w:t>»</w:t>
      </w:r>
      <w:r>
        <w:t>.</w:t>
      </w:r>
    </w:p>
    <w:p w:rsidR="00AB76A4" w:rsidRPr="00882979" w:rsidRDefault="00AB76A4" w:rsidP="003206B2">
      <w:pPr>
        <w:spacing w:after="120"/>
        <w:ind w:left="1134" w:right="1134"/>
        <w:jc w:val="both"/>
      </w:pPr>
      <w:r>
        <w:rPr>
          <w:i/>
          <w:iCs/>
        </w:rPr>
        <w:t>Пункт 6.2.9.3</w:t>
      </w:r>
      <w:r>
        <w:t xml:space="preserve"> изменить следующим образом:</w:t>
      </w:r>
    </w:p>
    <w:p w:rsidR="00AB76A4" w:rsidRPr="00882979" w:rsidRDefault="003206B2" w:rsidP="006C7876">
      <w:pPr>
        <w:pStyle w:val="SingleTxtG"/>
        <w:ind w:left="2268" w:hanging="1134"/>
        <w:rPr>
          <w:strike/>
        </w:rPr>
      </w:pPr>
      <w:r>
        <w:t>«</w:t>
      </w:r>
      <w:r w:rsidR="00AB76A4">
        <w:t>6.2.9.3</w:t>
      </w:r>
      <w:r w:rsidR="00AB76A4">
        <w:tab/>
      </w:r>
      <w:r w:rsidR="00AB76A4">
        <w:rPr>
          <w:strike/>
        </w:rPr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более 2 000 люмен.</w:t>
      </w:r>
    </w:p>
    <w:p w:rsidR="00AB76A4" w:rsidRPr="00882979" w:rsidRDefault="003206B2" w:rsidP="006C7876">
      <w:pPr>
        <w:pStyle w:val="SingleTxtG"/>
        <w:ind w:left="2268" w:hanging="1134"/>
        <w:rPr>
          <w:color w:val="FF0000"/>
        </w:rPr>
      </w:pPr>
      <w:r>
        <w:tab/>
      </w:r>
      <w:r w:rsidR="00AB76A4">
        <w:t xml:space="preserve">В случае ламп накаливания, в отношении которых указано более одного испытательного напряжения, применяют значение номинального светового потока, создающего основной луч ближнего света, как указано в бланке сообщения для официального утверждения типа устройства. </w:t>
      </w:r>
    </w:p>
    <w:p w:rsidR="00AB76A4" w:rsidRPr="00882979" w:rsidRDefault="003206B2" w:rsidP="006C7876">
      <w:pPr>
        <w:pStyle w:val="SingleTxtG"/>
        <w:ind w:left="2268" w:hanging="1134"/>
        <w:rPr>
          <w:bCs/>
        </w:rPr>
      </w:pPr>
      <w:r>
        <w:tab/>
      </w:r>
      <w:r w:rsidR="00AB76A4">
        <w:t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правил, на основании которых был утвержден применяемый источник света, без учета допусков по номинальному световому потоку, указанных в этих технических спецификациях</w:t>
      </w:r>
      <w:r w:rsidR="00845F76">
        <w:t>.</w:t>
      </w:r>
      <w:r>
        <w:t>»</w:t>
      </w:r>
      <w:r w:rsidR="00AB76A4">
        <w:t>.</w:t>
      </w:r>
    </w:p>
    <w:p w:rsidR="00AB76A4" w:rsidRPr="00882979" w:rsidRDefault="00AB76A4" w:rsidP="003206B2">
      <w:pPr>
        <w:spacing w:after="120"/>
        <w:ind w:left="1134" w:right="1134"/>
        <w:jc w:val="both"/>
      </w:pPr>
      <w:r>
        <w:rPr>
          <w:i/>
          <w:iCs/>
        </w:rPr>
        <w:t>Пункт 6.22.6.1 и относящиеся к нему подпункты</w:t>
      </w:r>
      <w:r>
        <w:t xml:space="preserve"> изменить следующим образом:</w:t>
      </w:r>
    </w:p>
    <w:p w:rsidR="00AB76A4" w:rsidRPr="00882979" w:rsidRDefault="003206B2" w:rsidP="003206B2">
      <w:pPr>
        <w:pStyle w:val="SingleTxtG"/>
        <w:ind w:left="2268" w:hanging="1134"/>
      </w:pPr>
      <w:r>
        <w:t>«</w:t>
      </w:r>
      <w:r w:rsidR="00AB76A4">
        <w:t>6.22.6.1</w:t>
      </w:r>
      <w:r w:rsidR="00AB76A4">
        <w:tab/>
        <w:t>Вертикальное направление:</w:t>
      </w:r>
    </w:p>
    <w:p w:rsidR="00AB76A4" w:rsidRPr="00882979" w:rsidRDefault="00AB76A4" w:rsidP="003206B2">
      <w:pPr>
        <w:pStyle w:val="SingleTxtG"/>
        <w:ind w:left="2268" w:hanging="1134"/>
      </w:pPr>
      <w:r>
        <w:t>6.22.6.1.1</w:t>
      </w:r>
      <w:r>
        <w:tab/>
        <w:t>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устанавливаться изготовителем с точностью до 0,1% и указываться на каждом транспортном средстве рядом с системой переднего освещения или табличкой изготовителя в виде четкого нестираемого условного обозначения, описание которого приведено в приложении 7.</w:t>
      </w:r>
    </w:p>
    <w:p w:rsidR="00AB76A4" w:rsidRPr="00882979" w:rsidRDefault="00AB76A4" w:rsidP="003206B2">
      <w:pPr>
        <w:pStyle w:val="SingleTxtG"/>
        <w:ind w:left="2268" w:hanging="1134"/>
        <w:rPr>
          <w:b/>
        </w:rPr>
      </w:pPr>
      <w:r>
        <w:lastRenderedPageBreak/>
        <w:tab/>
        <w:t>В тех случаях, когда изготовителем указываются иные первоначальные углы наклона для разных световых модулей, которые полностью или частично создают светотеневую границу основного луча ближнего света, эти углы наклона указываются изготовителем с точностью до 0,1% на каждом транспортном средстве рядом с соответствующими световыми модулями или с табличкой изготовителя в виде четкого нестираемого условного обозначения</w:t>
      </w:r>
      <w:r>
        <w:rPr>
          <w:b/>
          <w:bCs/>
        </w:rPr>
        <w:t xml:space="preserve">, описание </w:t>
      </w:r>
      <w:r w:rsidR="0058661F">
        <w:rPr>
          <w:b/>
          <w:bCs/>
        </w:rPr>
        <w:t>которого приведено в приложении </w:t>
      </w:r>
      <w:r>
        <w:rPr>
          <w:b/>
          <w:bCs/>
        </w:rPr>
        <w:t>7,</w:t>
      </w:r>
      <w:r>
        <w:t xml:space="preserve"> таким образом, чтобы все соответствующие световые модули можно было точно идентифицировать. </w:t>
      </w:r>
    </w:p>
    <w:p w:rsidR="00AB76A4" w:rsidRPr="00882979" w:rsidRDefault="00AB76A4" w:rsidP="003206B2">
      <w:pPr>
        <w:pStyle w:val="SingleTxtG"/>
        <w:ind w:left="2268" w:hanging="1134"/>
        <w:rPr>
          <w:b/>
        </w:rPr>
      </w:pPr>
      <w:r>
        <w:tab/>
      </w:r>
      <w:r>
        <w:rPr>
          <w:b/>
          <w:bCs/>
        </w:rPr>
        <w:t>Значение(я) этого(их) указанного(ых) вертикального(ых) направления(ий) должно(ы) быть определено(ы) изготовителем транспортного средства в д</w:t>
      </w:r>
      <w:r w:rsidR="003206B2">
        <w:rPr>
          <w:b/>
          <w:bCs/>
        </w:rPr>
        <w:t>иапазоне, предписанном в пункте </w:t>
      </w:r>
      <w:r>
        <w:rPr>
          <w:b/>
          <w:bCs/>
        </w:rPr>
        <w:t>6.2.6.1.2, с учетом высоты установки световых модулей, которые полностью или частично создают светотеневую границу основного луча ближнего света.</w:t>
      </w:r>
    </w:p>
    <w:p w:rsidR="00AB76A4" w:rsidRPr="00882979" w:rsidRDefault="00AB76A4" w:rsidP="003206B2">
      <w:pPr>
        <w:pStyle w:val="SingleTxtG"/>
        <w:ind w:left="2268" w:hanging="1134"/>
        <w:rPr>
          <w:b/>
        </w:rPr>
      </w:pPr>
      <w:r>
        <w:tab/>
      </w:r>
      <w:r>
        <w:rPr>
          <w:b/>
          <w:bCs/>
        </w:rPr>
        <w:t>Могут быть определены различные значения первоначального вертикального направления вниз для различных вариантов/версий одного и того же типа транспортного средства при условии, что на каждом варианте/каждой версии указывается только соответствующее значение.</w:t>
      </w:r>
    </w:p>
    <w:p w:rsidR="00AB76A4" w:rsidRPr="00882979" w:rsidRDefault="00AB76A4" w:rsidP="003206B2">
      <w:pPr>
        <w:pStyle w:val="SingleTxtG"/>
        <w:ind w:left="2268" w:hanging="1134"/>
      </w:pPr>
      <w:r>
        <w:t>6.22.6.1.2</w:t>
      </w:r>
      <w:r>
        <w:tab/>
        <w:t>Наклон горизонтальной части светотеневой границы основного луча ближнего света должен оставаться</w:t>
      </w:r>
      <w:r w:rsidR="0058661F">
        <w:t xml:space="preserve"> в пределах, указанных в пункте </w:t>
      </w:r>
      <w:r>
        <w:t xml:space="preserve">6.2.6.1.2 </w:t>
      </w:r>
      <w:r>
        <w:rPr>
          <w:strike/>
        </w:rPr>
        <w:t>настоящих Правил</w:t>
      </w:r>
      <w:r>
        <w:t xml:space="preserve">, при всех условиях статической нагрузки транспортного средства в соответствии с приложением 5 </w:t>
      </w:r>
      <w:r w:rsidR="0058661F">
        <w:rPr>
          <w:strike/>
        </w:rPr>
        <w:t>к </w:t>
      </w:r>
      <w:r>
        <w:rPr>
          <w:strike/>
        </w:rPr>
        <w:t>настоящим Правилам</w:t>
      </w:r>
      <w:r w:rsidRPr="00EB3A12">
        <w:rPr>
          <w:strike/>
        </w:rPr>
        <w:t>; первоначальная регулировка должна быть в пределах указанных значений</w:t>
      </w:r>
      <w:r>
        <w:t xml:space="preserve">. </w:t>
      </w:r>
    </w:p>
    <w:p w:rsidR="00AB76A4" w:rsidRPr="00882979" w:rsidRDefault="00AB76A4" w:rsidP="003206B2">
      <w:pPr>
        <w:pStyle w:val="SingleTxtG"/>
        <w:ind w:left="2268" w:hanging="1134"/>
      </w:pPr>
      <w:r>
        <w:t>6.22.6.1.2.1</w:t>
      </w:r>
      <w:r>
        <w:tab/>
        <w:t xml:space="preserve">Если луч ближнего света образуется за счет нескольких лучей от различных световых модулей, то </w:t>
      </w:r>
      <w:r>
        <w:rPr>
          <w:strike/>
        </w:rPr>
        <w:t>положения пункта 6.22.6.1.2</w:t>
      </w:r>
      <w:r>
        <w:t xml:space="preserve"> </w:t>
      </w:r>
      <w:r>
        <w:rPr>
          <w:b/>
          <w:bCs/>
        </w:rPr>
        <w:t xml:space="preserve">соответствующие требования, указанные </w:t>
      </w:r>
      <w:r>
        <w:t>выше, применяют к светотеневой границе (если таковая существует) каждого указанного луча, который должен проецироваться в угловую зону, как это определено в пункте 9.3 карточки сообщения согласно образцу, приведенному в приложении 1 к Пр</w:t>
      </w:r>
      <w:r w:rsidR="0058661F">
        <w:t>авилам № 123 ООН, либо в пункте </w:t>
      </w:r>
      <w:r>
        <w:t xml:space="preserve">9.3.3 приложения 1 к Правилам № 149 ООН. </w:t>
      </w:r>
    </w:p>
    <w:p w:rsidR="00AB76A4" w:rsidRPr="00882979" w:rsidRDefault="00AB76A4" w:rsidP="003206B2">
      <w:pPr>
        <w:pStyle w:val="SingleTxtG"/>
        <w:ind w:left="2268" w:hanging="1134"/>
      </w:pPr>
      <w:r>
        <w:t>6.22.6.2</w:t>
      </w:r>
      <w:r>
        <w:tab/>
        <w:t>Устройство, регулирующее положение фары</w:t>
      </w:r>
    </w:p>
    <w:p w:rsidR="00AB76A4" w:rsidRPr="00882979" w:rsidRDefault="00AB76A4" w:rsidP="003206B2">
      <w:pPr>
        <w:pStyle w:val="SingleTxtG"/>
        <w:ind w:left="2268" w:hanging="1134"/>
        <w:rPr>
          <w:b/>
        </w:rPr>
      </w:pPr>
      <w:bookmarkStart w:id="1" w:name="_Hlk534815639"/>
      <w:r>
        <w:t>6.22.6.2.1</w:t>
      </w:r>
      <w:r>
        <w:tab/>
        <w:t>Если для выполнения предписаний пункта 6.22.6.1.2 необходимо устройство, регулирующее положение фары, это устройство должно быть автоматическим.</w:t>
      </w:r>
    </w:p>
    <w:p w:rsidR="00AB76A4" w:rsidRPr="00882979" w:rsidRDefault="00AB76A4" w:rsidP="003206B2">
      <w:pPr>
        <w:pStyle w:val="SingleTxtG"/>
        <w:ind w:left="2268" w:hanging="1134"/>
      </w:pPr>
      <w:r>
        <w:t>6.22.6.2.2</w:t>
      </w:r>
      <w:r>
        <w:tab/>
        <w:t xml:space="preserve">В случае выхода </w:t>
      </w:r>
      <w:r>
        <w:rPr>
          <w:strike/>
        </w:rPr>
        <w:t xml:space="preserve">этого </w:t>
      </w:r>
      <w:r>
        <w:t>устройства</w:t>
      </w:r>
      <w:r>
        <w:rPr>
          <w:b/>
          <w:bCs/>
        </w:rPr>
        <w:t>, предписанного в пункте 6.22.6.2.1,</w:t>
      </w:r>
      <w:r>
        <w:t xml:space="preserve"> из строя </w:t>
      </w:r>
      <w:r>
        <w:rPr>
          <w:b/>
          <w:bCs/>
        </w:rPr>
        <w:t xml:space="preserve">основной </w:t>
      </w:r>
      <w:r>
        <w:t xml:space="preserve">луч ближнего света не должен находиться в положении, при котором </w:t>
      </w:r>
      <w:r>
        <w:rPr>
          <w:strike/>
        </w:rPr>
        <w:t>угол наклона</w:t>
      </w:r>
      <w:r>
        <w:t xml:space="preserve"> </w:t>
      </w:r>
      <w:r>
        <w:rPr>
          <w:b/>
          <w:bCs/>
        </w:rPr>
        <w:t xml:space="preserve">вертикальное направление вниз </w:t>
      </w:r>
      <w:r>
        <w:t xml:space="preserve">меньше, чем </w:t>
      </w:r>
      <w:r>
        <w:rPr>
          <w:strike/>
        </w:rPr>
        <w:t>он был</w:t>
      </w:r>
      <w:r>
        <w:t xml:space="preserve"> </w:t>
      </w:r>
      <w:r>
        <w:rPr>
          <w:b/>
          <w:bCs/>
        </w:rPr>
        <w:t>оно было</w:t>
      </w:r>
      <w:r>
        <w:t xml:space="preserve"> в момент выхода устройства из строя</w:t>
      </w:r>
      <w:r w:rsidR="00845F76">
        <w:t>.</w:t>
      </w:r>
      <w:r w:rsidR="003206B2">
        <w:t>»</w:t>
      </w:r>
      <w:r>
        <w:t>.</w:t>
      </w:r>
    </w:p>
    <w:bookmarkEnd w:id="1"/>
    <w:p w:rsidR="00AB76A4" w:rsidRPr="00882979" w:rsidRDefault="00AB76A4" w:rsidP="003206B2">
      <w:pPr>
        <w:pStyle w:val="SingleTxtG"/>
        <w:rPr>
          <w:rFonts w:eastAsia="MS Mincho"/>
        </w:rPr>
      </w:pPr>
      <w:r>
        <w:rPr>
          <w:i/>
          <w:iCs/>
        </w:rPr>
        <w:t>В конце пункта 12</w:t>
      </w:r>
      <w:r>
        <w:t xml:space="preserve"> включить новый пункт 12.8 с подпунктами следующего содержания:</w:t>
      </w:r>
    </w:p>
    <w:p w:rsidR="00AB76A4" w:rsidRPr="00882979" w:rsidRDefault="003206B2" w:rsidP="003206B2">
      <w:pPr>
        <w:pStyle w:val="SingleTxtG"/>
        <w:ind w:left="2268" w:hanging="1134"/>
        <w:rPr>
          <w:rFonts w:eastAsia="MS Mincho"/>
          <w:b/>
        </w:rPr>
      </w:pPr>
      <w:r w:rsidRPr="003206B2">
        <w:rPr>
          <w:bCs/>
        </w:rPr>
        <w:t>«</w:t>
      </w:r>
      <w:r w:rsidR="00AB76A4">
        <w:rPr>
          <w:b/>
          <w:bCs/>
        </w:rPr>
        <w:t>12.8</w:t>
      </w:r>
      <w:r w:rsidR="00AB76A4">
        <w:tab/>
      </w:r>
      <w:r w:rsidR="00AB76A4">
        <w:rPr>
          <w:b/>
          <w:bCs/>
        </w:rPr>
        <w:t>Переходные положения, применимые к поправкам серии [0x]</w:t>
      </w:r>
    </w:p>
    <w:p w:rsidR="00AB76A4" w:rsidRPr="00882979" w:rsidRDefault="00AB76A4" w:rsidP="003206B2">
      <w:pPr>
        <w:pStyle w:val="SingleTxtG"/>
        <w:ind w:left="2268" w:hanging="1134"/>
        <w:rPr>
          <w:rFonts w:eastAsia="MS Mincho"/>
          <w:b/>
        </w:rPr>
      </w:pPr>
      <w:r w:rsidRPr="003206B2">
        <w:rPr>
          <w:b/>
        </w:rPr>
        <w:t>12</w:t>
      </w:r>
      <w:r w:rsidRPr="00303999">
        <w:rPr>
          <w:b/>
          <w:bCs/>
        </w:rPr>
        <w:t>.8.1</w:t>
      </w:r>
      <w:r>
        <w:tab/>
      </w:r>
      <w:r>
        <w:rPr>
          <w:b/>
          <w:bCs/>
        </w:rPr>
        <w:t>Начиная с официальной даты вступления в силу поправок серии [0x] ни одна из Договаривающихся сторон, применяющих настоящие Правила ООН, не отказывает в предоставлении или признании официальных утверждений типа ООН на основании настоящих Правил ООН с поправками серии [0x].</w:t>
      </w:r>
    </w:p>
    <w:p w:rsidR="00AB76A4" w:rsidRPr="00882979" w:rsidRDefault="00AB76A4" w:rsidP="003206B2">
      <w:pPr>
        <w:pStyle w:val="SingleTxtG"/>
        <w:ind w:left="2268" w:hanging="1134"/>
        <w:rPr>
          <w:rFonts w:eastAsia="MS Mincho"/>
          <w:b/>
        </w:rPr>
      </w:pPr>
      <w:r w:rsidRPr="00303999">
        <w:rPr>
          <w:b/>
          <w:bCs/>
        </w:rPr>
        <w:t>12.8.2</w:t>
      </w:r>
      <w:r w:rsidRPr="00303999">
        <w:rPr>
          <w:b/>
          <w:bCs/>
        </w:rPr>
        <w:tab/>
      </w:r>
      <w:r>
        <w:rPr>
          <w:b/>
          <w:bCs/>
        </w:rPr>
        <w:t xml:space="preserve">Начиная с 1 сентября [2024] года Договаривающиеся стороны, применяющие настоящие Правила ООН, не обязаны признавать официальные утверждения типа ООН на основании поправок </w:t>
      </w:r>
      <w:r>
        <w:rPr>
          <w:b/>
          <w:bCs/>
        </w:rPr>
        <w:lastRenderedPageBreak/>
        <w:t>предшествующих серий, которые были первоначально предоставлены после 1 сентября [2024] года.</w:t>
      </w:r>
    </w:p>
    <w:p w:rsidR="00AB76A4" w:rsidRPr="00303999" w:rsidRDefault="00AB76A4" w:rsidP="003206B2">
      <w:pPr>
        <w:pStyle w:val="SingleTxtG"/>
        <w:ind w:left="2268" w:hanging="1134"/>
        <w:rPr>
          <w:b/>
          <w:bCs/>
        </w:rPr>
      </w:pPr>
      <w:r w:rsidRPr="00303999">
        <w:rPr>
          <w:b/>
          <w:bCs/>
        </w:rPr>
        <w:t>12.8.3</w:t>
      </w:r>
      <w:r w:rsidRPr="00303999">
        <w:rPr>
          <w:b/>
          <w:bCs/>
        </w:rPr>
        <w:tab/>
        <w:t>До 1 сентября [2027] года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предоставлены до 1 сентября [2024] года.</w:t>
      </w:r>
    </w:p>
    <w:p w:rsidR="00AB76A4" w:rsidRPr="00303999" w:rsidRDefault="00AB76A4" w:rsidP="003206B2">
      <w:pPr>
        <w:pStyle w:val="SingleTxtG"/>
        <w:ind w:left="2268" w:hanging="1134"/>
        <w:rPr>
          <w:b/>
          <w:bCs/>
        </w:rPr>
      </w:pPr>
      <w:r w:rsidRPr="00303999">
        <w:rPr>
          <w:b/>
          <w:bCs/>
        </w:rPr>
        <w:t>12.8.4</w:t>
      </w:r>
      <w:r w:rsidRPr="00303999">
        <w:rPr>
          <w:b/>
          <w:bCs/>
        </w:rPr>
        <w:tab/>
        <w:t>Начиная с 1 сентября [2027] года Договаривающиеся стороны, применяющие настоящие Правила ООН, не обязаны признавать официальные утверждения типа, предоставленные на основании поправок предшествующих серий к настоящим Правилам ООН.</w:t>
      </w:r>
    </w:p>
    <w:p w:rsidR="00AB76A4" w:rsidRPr="00303999" w:rsidRDefault="00AB76A4" w:rsidP="003206B2">
      <w:pPr>
        <w:pStyle w:val="SingleTxtG"/>
        <w:ind w:left="2268" w:hanging="1134"/>
        <w:rPr>
          <w:b/>
          <w:bCs/>
        </w:rPr>
      </w:pPr>
      <w:r w:rsidRPr="00303999">
        <w:rPr>
          <w:b/>
          <w:bCs/>
        </w:rPr>
        <w:t>12.8.5</w:t>
      </w:r>
      <w:r w:rsidRPr="00303999">
        <w:rPr>
          <w:b/>
          <w:bCs/>
        </w:rP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поправок предшествующих серий к настоящим Правилам ООН.</w:t>
      </w:r>
    </w:p>
    <w:p w:rsidR="00AB76A4" w:rsidRPr="00882979" w:rsidRDefault="00AB76A4" w:rsidP="003206B2">
      <w:pPr>
        <w:pStyle w:val="SingleTxtG"/>
        <w:ind w:left="2268" w:hanging="1134"/>
        <w:rPr>
          <w:rFonts w:eastAsia="MS Mincho"/>
          <w:b/>
        </w:rPr>
      </w:pPr>
      <w:r w:rsidRPr="00303999">
        <w:rPr>
          <w:b/>
          <w:bCs/>
        </w:rPr>
        <w:t>12.8.6</w:t>
      </w:r>
      <w:r>
        <w:tab/>
      </w:r>
      <w:r>
        <w:rPr>
          <w:b/>
          <w:bCs/>
        </w:rPr>
        <w:t>Независимо от предписаний пункта 12.8.4 Договаривающиеся стороны, применяющие настоящие Правила ООН, продолжают признавать официальные утверждения типа, предоставленные на основании поправок предшествующих серий к настоящим Правилам ООН в отношении типов транспортных средств, которые не затронуты изменениями, внесенными на основании поправок серии [0x].</w:t>
      </w:r>
      <w:r>
        <w:t xml:space="preserve"> </w:t>
      </w:r>
    </w:p>
    <w:p w:rsidR="00AB76A4" w:rsidRPr="00882979" w:rsidRDefault="00AB76A4" w:rsidP="003206B2">
      <w:pPr>
        <w:pStyle w:val="SingleTxtG"/>
        <w:ind w:left="2268" w:hanging="1134"/>
      </w:pPr>
      <w:r w:rsidRPr="00303999">
        <w:rPr>
          <w:b/>
          <w:bCs/>
        </w:rPr>
        <w:t>12.8.7</w:t>
      </w:r>
      <w:r>
        <w:tab/>
      </w:r>
      <w:r>
        <w:rPr>
          <w:b/>
          <w:bCs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</w:t>
      </w:r>
      <w:r w:rsidR="00845F76">
        <w:rPr>
          <w:b/>
          <w:bCs/>
        </w:rPr>
        <w:t>.</w:t>
      </w:r>
      <w:r w:rsidR="003206B2">
        <w:rPr>
          <w:bCs/>
        </w:rPr>
        <w:t>».</w:t>
      </w:r>
    </w:p>
    <w:p w:rsidR="00AB76A4" w:rsidRPr="00882979" w:rsidRDefault="00AB76A4" w:rsidP="003206B2">
      <w:pPr>
        <w:pStyle w:val="SingleTxtG"/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:rsidR="00AB76A4" w:rsidRPr="00882979" w:rsidRDefault="003206B2" w:rsidP="003206B2">
      <w:pPr>
        <w:pStyle w:val="SingleTxtG"/>
        <w:rPr>
          <w:rFonts w:eastAsia="MS Mincho"/>
          <w:b/>
        </w:rPr>
      </w:pPr>
      <w:r w:rsidRPr="003206B2">
        <w:rPr>
          <w:bCs/>
        </w:rPr>
        <w:t>«</w:t>
      </w:r>
      <w:r w:rsidR="00AB76A4">
        <w:rPr>
          <w:b/>
          <w:bCs/>
        </w:rPr>
        <w:t>Схемы знаков официального утверждения</w:t>
      </w:r>
    </w:p>
    <w:p w:rsidR="00AB76A4" w:rsidRPr="00882979" w:rsidRDefault="00AB76A4" w:rsidP="003206B2">
      <w:pPr>
        <w:spacing w:after="240"/>
        <w:ind w:left="1134" w:right="1134"/>
      </w:pPr>
      <w:bookmarkStart w:id="2" w:name="_Toc338161450"/>
      <w:r>
        <w:t>Образец A</w:t>
      </w:r>
      <w:bookmarkEnd w:id="2"/>
      <w:r w:rsidR="003206B2">
        <w:br/>
      </w:r>
      <w:bookmarkStart w:id="3" w:name="_Toc338161451"/>
      <w:r>
        <w:t xml:space="preserve">(См. пункт 4.4 настоящих Правил </w:t>
      </w:r>
      <w:r>
        <w:rPr>
          <w:b/>
          <w:bCs/>
        </w:rPr>
        <w:t>ООН</w:t>
      </w:r>
      <w:r>
        <w:t>)</w:t>
      </w:r>
      <w:bookmarkEnd w:id="3"/>
    </w:p>
    <w:p w:rsidR="00AB76A4" w:rsidRPr="0077692E" w:rsidRDefault="00AB76A4" w:rsidP="00AB76A4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D4FD3" wp14:editId="780C24AB">
                <wp:simplePos x="0" y="0"/>
                <wp:positionH relativeFrom="column">
                  <wp:posOffset>4082415</wp:posOffset>
                </wp:positionH>
                <wp:positionV relativeFrom="paragraph">
                  <wp:posOffset>389255</wp:posOffset>
                </wp:positionV>
                <wp:extent cx="552450" cy="378460"/>
                <wp:effectExtent l="0" t="0" r="0" b="0"/>
                <wp:wrapNone/>
                <wp:docPr id="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76A4" w:rsidRPr="00303999" w:rsidRDefault="00AB76A4" w:rsidP="00AB76A4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303999">
                              <w:rPr>
                                <w:sz w:val="44"/>
                                <w:szCs w:val="44"/>
                              </w:rPr>
                              <w:t>[0x]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4FD3" id="Casella di testo 145" o:spid="_x0000_s1030" type="#_x0000_t202" style="position:absolute;left:0;text-align:left;margin-left:321.45pt;margin-top:30.65pt;width:43.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" stroked="f">
                <v:textbox inset="0,0,0,0">
                  <w:txbxContent>
                    <w:p w:rsidR="00AB76A4" w:rsidRPr="00303999" w:rsidRDefault="00AB76A4" w:rsidP="00AB76A4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303999">
                        <w:rPr>
                          <w:sz w:val="44"/>
                          <w:szCs w:val="44"/>
                        </w:rPr>
                        <w:t>[0x]</w:t>
                      </w:r>
                    </w:p>
                  </w:txbxContent>
                </v:textbox>
              </v:shape>
            </w:pict>
          </mc:Fallback>
        </mc:AlternateContent>
      </w:r>
      <w:r w:rsidRPr="0077692E">
        <w:rPr>
          <w:noProof/>
          <w:lang w:eastAsia="ru-RU"/>
        </w:rPr>
        <w:drawing>
          <wp:inline distT="0" distB="0" distL="0" distR="0" wp14:anchorId="04E7BE38" wp14:editId="497914D4">
            <wp:extent cx="5303520" cy="1010920"/>
            <wp:effectExtent l="0" t="0" r="0" b="0"/>
            <wp:docPr id="221" name="Immagin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A4" w:rsidRPr="00882979" w:rsidRDefault="00AB76A4" w:rsidP="00AB76A4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  <w:t>a = 8 мм мин.</w:t>
      </w:r>
    </w:p>
    <w:p w:rsidR="00AB76A4" w:rsidRPr="00882979" w:rsidRDefault="003206B2" w:rsidP="003206B2">
      <w:pPr>
        <w:pStyle w:val="SingleTxtG"/>
      </w:pPr>
      <w:r>
        <w:tab/>
      </w:r>
      <w:r w:rsidR="00AB76A4">
        <w:tab/>
        <w:t xml:space="preserve"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в отношении установки устройств освещения и световой сигнализации на основании Правил № 48 </w:t>
      </w:r>
      <w:r w:rsidR="00AB76A4">
        <w:rPr>
          <w:b/>
          <w:bCs/>
        </w:rPr>
        <w:t xml:space="preserve">ООН </w:t>
      </w:r>
      <w:r w:rsidR="00AB76A4">
        <w:t xml:space="preserve">с внесенными в них поправками серии </w:t>
      </w:r>
      <w:r w:rsidR="00AB76A4">
        <w:rPr>
          <w:b/>
          <w:bCs/>
        </w:rPr>
        <w:t>[0x]</w:t>
      </w:r>
      <w:r w:rsidR="00AB76A4">
        <w:t xml:space="preserve">. Номер официального утверждения указывает, что официальное утверждение было выдано в соответствии с положениями настоящих Правил № 48 </w:t>
      </w:r>
      <w:r w:rsidR="00AB76A4">
        <w:rPr>
          <w:b/>
          <w:bCs/>
        </w:rPr>
        <w:t xml:space="preserve">ООН </w:t>
      </w:r>
      <w:r w:rsidR="00AB76A4">
        <w:t xml:space="preserve">с внесенными в них поправками серии </w:t>
      </w:r>
      <w:r w:rsidR="00AB76A4">
        <w:rPr>
          <w:b/>
          <w:bCs/>
        </w:rPr>
        <w:t>[0x]</w:t>
      </w:r>
      <w:r w:rsidR="00AB76A4">
        <w:t xml:space="preserve">. </w:t>
      </w:r>
    </w:p>
    <w:p w:rsidR="003206B2" w:rsidRDefault="003206B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AB76A4" w:rsidRPr="00882979" w:rsidRDefault="00AB76A4" w:rsidP="003206B2">
      <w:pPr>
        <w:pStyle w:val="SingleTxtG"/>
        <w:spacing w:after="240"/>
        <w:jc w:val="left"/>
      </w:pPr>
      <w:r>
        <w:lastRenderedPageBreak/>
        <w:t>Образец B</w:t>
      </w:r>
      <w:r w:rsidR="003206B2">
        <w:br/>
      </w:r>
      <w:bookmarkStart w:id="4" w:name="_Toc338161452"/>
      <w:r>
        <w:t xml:space="preserve">(См. пункт 4.5 настоящих Правил </w:t>
      </w:r>
      <w:r>
        <w:rPr>
          <w:b/>
          <w:bCs/>
        </w:rPr>
        <w:t>ООН</w:t>
      </w:r>
      <w:r>
        <w:t>)</w:t>
      </w:r>
      <w:bookmarkEnd w:id="4"/>
    </w:p>
    <w:p w:rsidR="00AB76A4" w:rsidRPr="00F06CE1" w:rsidRDefault="00AB76A4" w:rsidP="00AB76A4">
      <w:pPr>
        <w:ind w:left="851" w:right="1134"/>
      </w:pPr>
      <w:bookmarkStart w:id="5" w:name="_Toc33816145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0E27B" wp14:editId="199D5DE1">
                <wp:simplePos x="0" y="0"/>
                <wp:positionH relativeFrom="column">
                  <wp:posOffset>3775710</wp:posOffset>
                </wp:positionH>
                <wp:positionV relativeFrom="paragraph">
                  <wp:posOffset>127635</wp:posOffset>
                </wp:positionV>
                <wp:extent cx="499110" cy="318135"/>
                <wp:effectExtent l="0" t="0" r="0" b="0"/>
                <wp:wrapNone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76A4" w:rsidRPr="00303999" w:rsidRDefault="00AB76A4" w:rsidP="00AB76A4">
                            <w:pP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303999">
                              <w:rPr>
                                <w:sz w:val="44"/>
                                <w:szCs w:val="44"/>
                              </w:rPr>
                              <w:t>[0x]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E27B" id="_x0000_s1031" type="#_x0000_t202" style="position:absolute;left:0;text-align:left;margin-left:297.3pt;margin-top:10.05pt;width:39.3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" stroked="f">
                <v:textbox inset="0,0,0,0">
                  <w:txbxContent>
                    <w:p w:rsidR="00AB76A4" w:rsidRPr="00303999" w:rsidRDefault="00AB76A4" w:rsidP="00AB76A4">
                      <w:pPr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303999">
                        <w:rPr>
                          <w:sz w:val="44"/>
                          <w:szCs w:val="44"/>
                        </w:rPr>
                        <w:t>[0x]</w:t>
                      </w:r>
                    </w:p>
                  </w:txbxContent>
                </v:textbox>
              </v:shape>
            </w:pict>
          </mc:Fallback>
        </mc:AlternateContent>
      </w:r>
      <w:r w:rsidRPr="00F06CE1">
        <w:rPr>
          <w:noProof/>
          <w:lang w:eastAsia="ru-RU"/>
        </w:rPr>
        <w:drawing>
          <wp:inline distT="0" distB="0" distL="0" distR="0" wp14:anchorId="4527485F" wp14:editId="0F1030DE">
            <wp:extent cx="5501640" cy="990600"/>
            <wp:effectExtent l="0" t="0" r="3810" b="0"/>
            <wp:docPr id="2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AB76A4" w:rsidRPr="00882979" w:rsidRDefault="00AB76A4" w:rsidP="00AB76A4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  <w:t>a = 8 мм мин.</w:t>
      </w:r>
    </w:p>
    <w:p w:rsidR="00AB76A4" w:rsidRPr="00882979" w:rsidRDefault="00AB76A4" w:rsidP="003206B2">
      <w:pPr>
        <w:pStyle w:val="SingleTxtG"/>
        <w:rPr>
          <w:bCs/>
        </w:rPr>
      </w:pPr>
      <w:r>
        <w:tab/>
      </w:r>
      <w:r w:rsidR="003206B2">
        <w:tab/>
      </w:r>
      <w:r>
        <w:t xml:space="preserve"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(E4) на основании Правил № 48 </w:t>
      </w:r>
      <w:r>
        <w:rPr>
          <w:b/>
          <w:bCs/>
        </w:rPr>
        <w:t xml:space="preserve">ООН </w:t>
      </w:r>
      <w:r>
        <w:t xml:space="preserve">c внесенными в них поправками серии </w:t>
      </w:r>
      <w:r>
        <w:rPr>
          <w:b/>
          <w:bCs/>
        </w:rPr>
        <w:t>[0x]</w:t>
      </w:r>
      <w:r>
        <w:t xml:space="preserve"> и Правил № 33 </w:t>
      </w:r>
      <w:r>
        <w:rPr>
          <w:b/>
          <w:bCs/>
        </w:rPr>
        <w:t>ООН</w:t>
      </w:r>
      <w:r>
        <w:rPr>
          <w:rStyle w:val="aa"/>
        </w:rPr>
        <w:footnoteReference w:customMarkFollows="1" w:id="3"/>
        <w:t>1</w:t>
      </w:r>
      <w:r>
        <w:t xml:space="preserve">. Номера официального утверждения указывают, что к моменту выдачи соответствующих официальных утверждений в первоначальный вариант Правил № 48 </w:t>
      </w:r>
      <w:r>
        <w:rPr>
          <w:b/>
          <w:bCs/>
        </w:rPr>
        <w:t xml:space="preserve">ООН </w:t>
      </w:r>
      <w:r>
        <w:t xml:space="preserve">были внесены поправки серии </w:t>
      </w:r>
      <w:r>
        <w:rPr>
          <w:b/>
          <w:bCs/>
        </w:rPr>
        <w:t>0x</w:t>
      </w:r>
      <w:r w:rsidR="003206B2">
        <w:t>, а </w:t>
      </w:r>
      <w:r>
        <w:t xml:space="preserve">Правила № 33 </w:t>
      </w:r>
      <w:r>
        <w:rPr>
          <w:b/>
          <w:bCs/>
        </w:rPr>
        <w:t xml:space="preserve">ООН </w:t>
      </w:r>
      <w:r>
        <w:t>были в их первоначальном варианте</w:t>
      </w:r>
      <w:r w:rsidR="00845F76">
        <w:t>.</w:t>
      </w:r>
      <w:r w:rsidR="003206B2">
        <w:t>»</w:t>
      </w:r>
      <w:r>
        <w:t>.</w:t>
      </w:r>
    </w:p>
    <w:p w:rsidR="00AB76A4" w:rsidRPr="00882979" w:rsidRDefault="00AB76A4" w:rsidP="003206B2">
      <w:pPr>
        <w:pStyle w:val="SingleTxtG"/>
      </w:pPr>
      <w:r>
        <w:rPr>
          <w:i/>
          <w:iCs/>
        </w:rPr>
        <w:t>Приложение 9, пункт 1.3.2</w:t>
      </w:r>
      <w:r>
        <w:t xml:space="preserve"> изменить следующим образом:</w:t>
      </w:r>
    </w:p>
    <w:p w:rsidR="00AB76A4" w:rsidRPr="00882979" w:rsidRDefault="003206B2" w:rsidP="003206B2">
      <w:pPr>
        <w:pStyle w:val="SingleTxtG"/>
        <w:ind w:left="2268" w:hanging="1134"/>
      </w:pPr>
      <w:r>
        <w:t>«</w:t>
      </w:r>
      <w:r w:rsidR="00AB76A4">
        <w:t>1.3.2</w:t>
      </w:r>
      <w:r w:rsidR="00AB76A4">
        <w:tab/>
        <w:t>Изменение наклона в зависимости от нагрузки</w:t>
      </w:r>
    </w:p>
    <w:p w:rsidR="00AB76A4" w:rsidRPr="00882979" w:rsidRDefault="003206B2" w:rsidP="003206B2">
      <w:pPr>
        <w:pStyle w:val="SingleTxtG"/>
        <w:ind w:left="2268" w:hanging="1134"/>
      </w:pPr>
      <w:r>
        <w:tab/>
      </w:r>
      <w:r w:rsidR="00AB76A4">
        <w:t>Отклонение угла наклона луча ближнего света вниз в зависимости от условий нагрузки, предусмотренных в настоящем пункте, должно оставаться в следующих пределах: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0,2−2,8% при высоте установки фары h &lt; 0,8;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0,2−2,8% при высоте установки фары 0,8 ≤ h ≤ 1,0; или</w:t>
      </w:r>
      <w:r w:rsidR="00AB76A4">
        <w:t xml:space="preserve"> 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 w:rsidRPr="003206B2">
        <w:tab/>
      </w:r>
      <w:r w:rsidR="00AB76A4">
        <w:rPr>
          <w:strike/>
        </w:rPr>
        <w:t>0,7−3,3% (в соответствии с наклоном, выбранным изготовителем во время официального утверждения);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0,7−3,3% при высоте установки фары 1,0 &lt; h ≤ 1,2 m;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1,2−3,8% при высоте установки фары h &gt; 1,2 m.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AB76A4" w:rsidRPr="003206B2" w:rsidTr="00113AE8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AB76A4" w:rsidP="00113AE8">
            <w:pPr>
              <w:pStyle w:val="para"/>
              <w:spacing w:after="0"/>
              <w:ind w:left="0" w:right="12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Высота установки h </w:t>
            </w:r>
            <w:r w:rsid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[м]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AB76A4" w:rsidP="003206B2">
            <w:pPr>
              <w:pStyle w:val="para"/>
              <w:spacing w:after="0"/>
              <w:ind w:left="0" w:right="77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Верхний предел наклона</w:t>
            </w:r>
            <w:r w:rsidRPr="003206B2">
              <w:rPr>
                <w:sz w:val="16"/>
                <w:szCs w:val="16"/>
                <w:lang w:val="ru-RU"/>
              </w:rPr>
              <w:t xml:space="preserve"> </w:t>
            </w:r>
            <w:r w:rsidR="003206B2">
              <w:rPr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AB76A4" w:rsidP="003206B2">
            <w:pPr>
              <w:pStyle w:val="para"/>
              <w:spacing w:after="0"/>
              <w:ind w:left="0" w:right="0" w:firstLine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Нижний предел наклона</w:t>
            </w:r>
            <w:r w:rsidRPr="003206B2">
              <w:rPr>
                <w:sz w:val="16"/>
                <w:szCs w:val="16"/>
                <w:lang w:val="ru-RU"/>
              </w:rPr>
              <w:t xml:space="preserve"> </w:t>
            </w:r>
            <w:r w:rsidR="003206B2">
              <w:rPr>
                <w:sz w:val="16"/>
                <w:szCs w:val="16"/>
                <w:lang w:val="ru-RU"/>
              </w:rPr>
              <w:br/>
            </w:r>
            <w:r w:rsidRPr="003206B2">
              <w:rPr>
                <w:b/>
                <w:bCs/>
                <w:i/>
                <w:iCs/>
                <w:sz w:val="16"/>
                <w:szCs w:val="16"/>
                <w:lang w:val="ru-RU"/>
              </w:rPr>
              <w:t>[%]</w:t>
            </w:r>
          </w:p>
        </w:tc>
      </w:tr>
      <w:tr w:rsidR="00AB76A4" w:rsidTr="00113AE8">
        <w:tc>
          <w:tcPr>
            <w:tcW w:w="1985" w:type="dxa"/>
            <w:tcBorders>
              <w:top w:val="single" w:sz="12" w:space="0" w:color="auto"/>
            </w:tcBorders>
            <w:vAlign w:val="center"/>
            <w:hideMark/>
          </w:tcPr>
          <w:p w:rsidR="00AB76A4" w:rsidRPr="003206B2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0,5 ≤ h ≤ 0,9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  <w:hideMark/>
          </w:tcPr>
          <w:p w:rsidR="00AB76A4" w:rsidRPr="003206B2" w:rsidRDefault="00845F76" w:rsidP="00113AE8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–</w:t>
            </w:r>
            <w:r w:rsidR="00AB76A4" w:rsidRPr="003206B2">
              <w:rPr>
                <w:b/>
                <w:bCs/>
                <w:sz w:val="18"/>
                <w:szCs w:val="18"/>
                <w:lang w:val="ru-RU"/>
              </w:rPr>
              <w:t>0,20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  <w:hideMark/>
          </w:tcPr>
          <w:p w:rsidR="00AB76A4" w:rsidRPr="003206B2" w:rsidRDefault="003206B2" w:rsidP="00113AE8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 –1,40 до –</w:t>
            </w:r>
            <w:r w:rsidR="00AB76A4" w:rsidRPr="003206B2">
              <w:rPr>
                <w:b/>
                <w:bCs/>
                <w:sz w:val="18"/>
                <w:szCs w:val="18"/>
                <w:lang w:val="ru-RU"/>
              </w:rPr>
              <w:t>1,80</w:t>
            </w:r>
            <w:r w:rsidR="00AB76A4"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AB76A4" w:rsidTr="00113AE8"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AB76A4" w:rsidRPr="003206B2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0,9 &lt; h ≤ 1,2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AB76A4" w:rsidRPr="003206B2" w:rsidRDefault="00AB76A4" w:rsidP="003206B2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3206B2">
              <w:rPr>
                <w:b/>
                <w:bCs/>
                <w:sz w:val="18"/>
                <w:szCs w:val="18"/>
                <w:lang w:val="ru-RU"/>
              </w:rPr>
              <w:t>–0,20 до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0,85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AB76A4" w:rsidRPr="003206B2" w:rsidRDefault="00AB76A4" w:rsidP="00113AE8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о</w:t>
            </w:r>
            <w:r w:rsidR="003206B2">
              <w:rPr>
                <w:b/>
                <w:bCs/>
                <w:sz w:val="18"/>
                <w:szCs w:val="18"/>
                <w:lang w:val="ru-RU"/>
              </w:rPr>
              <w:t>т 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1,80 до </w:t>
            </w:r>
            <w:r w:rsidR="003206B2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2,45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  <w:tr w:rsidR="00AB76A4" w:rsidTr="00113AE8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AB76A4" w:rsidP="00113AE8">
            <w:pPr>
              <w:pStyle w:val="para"/>
              <w:spacing w:before="120" w:line="240" w:lineRule="auto"/>
              <w:ind w:left="0" w:right="12" w:firstLine="0"/>
              <w:jc w:val="center"/>
              <w:rPr>
                <w:b/>
                <w:bCs/>
                <w:sz w:val="18"/>
                <w:szCs w:val="18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>1,2 &lt; h ≤ 1,5</w:t>
            </w:r>
            <w:r w:rsidRPr="003206B2">
              <w:rPr>
                <w:bCs/>
                <w:sz w:val="18"/>
                <w:szCs w:val="18"/>
                <w:lang w:val="ru-RU"/>
              </w:rPr>
              <w:t>**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3206B2" w:rsidP="00113AE8">
            <w:pPr>
              <w:pStyle w:val="para"/>
              <w:spacing w:before="120" w:line="240" w:lineRule="auto"/>
              <w:ind w:left="0" w:right="77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 –0,85 до –</w:t>
            </w:r>
            <w:r w:rsidR="00AB76A4" w:rsidRPr="003206B2">
              <w:rPr>
                <w:b/>
                <w:bCs/>
                <w:sz w:val="18"/>
                <w:szCs w:val="18"/>
                <w:lang w:val="ru-RU"/>
              </w:rPr>
              <w:t>1,50</w:t>
            </w:r>
            <w:r w:rsidR="00AB76A4"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  <w:hideMark/>
          </w:tcPr>
          <w:p w:rsidR="00AB76A4" w:rsidRPr="003206B2" w:rsidRDefault="00AB76A4" w:rsidP="003206B2">
            <w:pPr>
              <w:pStyle w:val="para"/>
              <w:spacing w:before="12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от </w:t>
            </w:r>
            <w:r w:rsidR="003206B2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 xml:space="preserve">2,45 до </w:t>
            </w:r>
            <w:r w:rsidR="003206B2">
              <w:rPr>
                <w:b/>
                <w:bCs/>
                <w:sz w:val="18"/>
                <w:szCs w:val="18"/>
                <w:lang w:val="ru-RU"/>
              </w:rPr>
              <w:t>–</w:t>
            </w:r>
            <w:r w:rsidRPr="003206B2">
              <w:rPr>
                <w:b/>
                <w:bCs/>
                <w:sz w:val="18"/>
                <w:szCs w:val="18"/>
                <w:lang w:val="ru-RU"/>
              </w:rPr>
              <w:t>3,10</w:t>
            </w:r>
            <w:r w:rsidRPr="003206B2">
              <w:rPr>
                <w:bCs/>
                <w:sz w:val="18"/>
                <w:szCs w:val="18"/>
                <w:lang w:val="ru-RU"/>
              </w:rPr>
              <w:t>*</w:t>
            </w:r>
          </w:p>
        </w:tc>
      </w:tr>
    </w:tbl>
    <w:p w:rsidR="00AB76A4" w:rsidRPr="003F69EE" w:rsidRDefault="003F69EE" w:rsidP="002441AE">
      <w:pPr>
        <w:pStyle w:val="SingleTxtG"/>
        <w:spacing w:before="120" w:after="0" w:line="220" w:lineRule="exact"/>
        <w:ind w:left="2268"/>
        <w:jc w:val="left"/>
        <w:rPr>
          <w:b/>
          <w:sz w:val="18"/>
          <w:szCs w:val="18"/>
        </w:rPr>
      </w:pPr>
      <w:r w:rsidRPr="003F69EE">
        <w:rPr>
          <w:bCs/>
          <w:sz w:val="18"/>
          <w:szCs w:val="18"/>
        </w:rPr>
        <w:t>*</w:t>
      </w:r>
      <w:r w:rsidRPr="003F69EE">
        <w:rPr>
          <w:b/>
          <w:bCs/>
          <w:sz w:val="18"/>
          <w:szCs w:val="18"/>
        </w:rPr>
        <w:t xml:space="preserve">  </w:t>
      </w:r>
      <w:r w:rsidR="002441AE" w:rsidRPr="003F69EE">
        <w:rPr>
          <w:b/>
          <w:bCs/>
          <w:sz w:val="18"/>
          <w:szCs w:val="18"/>
        </w:rPr>
        <w:t xml:space="preserve">увеличивается </w:t>
      </w:r>
      <w:r w:rsidR="00AB76A4" w:rsidRPr="003F69EE">
        <w:rPr>
          <w:b/>
          <w:bCs/>
          <w:sz w:val="18"/>
          <w:szCs w:val="18"/>
        </w:rPr>
        <w:t>линейно по отношению к высоте установк</w:t>
      </w:r>
      <w:r w:rsidR="00845F76">
        <w:rPr>
          <w:b/>
          <w:bCs/>
          <w:sz w:val="18"/>
          <w:szCs w:val="18"/>
        </w:rPr>
        <w:t>и</w:t>
      </w:r>
      <w:r w:rsidR="00AB76A4" w:rsidRPr="003F69EE">
        <w:rPr>
          <w:b/>
          <w:bCs/>
          <w:sz w:val="18"/>
          <w:szCs w:val="18"/>
        </w:rPr>
        <w:t xml:space="preserve"> фары ближнего света.</w:t>
      </w:r>
    </w:p>
    <w:p w:rsidR="00AB76A4" w:rsidRPr="003F69EE" w:rsidRDefault="00AB76A4" w:rsidP="002441AE">
      <w:pPr>
        <w:pStyle w:val="SingleTxtG"/>
        <w:spacing w:line="220" w:lineRule="exact"/>
        <w:ind w:left="2268"/>
        <w:jc w:val="left"/>
        <w:rPr>
          <w:b/>
          <w:sz w:val="18"/>
          <w:szCs w:val="18"/>
        </w:rPr>
      </w:pPr>
      <w:r w:rsidRPr="003F69EE">
        <w:rPr>
          <w:bCs/>
          <w:sz w:val="18"/>
          <w:szCs w:val="18"/>
        </w:rPr>
        <w:t>**</w:t>
      </w:r>
      <w:r w:rsidRPr="003F69EE">
        <w:rPr>
          <w:b/>
          <w:bCs/>
          <w:sz w:val="18"/>
          <w:szCs w:val="18"/>
        </w:rPr>
        <w:t xml:space="preserve"> </w:t>
      </w:r>
      <w:r w:rsidR="003F69EE" w:rsidRPr="003F69EE">
        <w:rPr>
          <w:b/>
          <w:bCs/>
          <w:sz w:val="18"/>
          <w:szCs w:val="18"/>
        </w:rPr>
        <w:t xml:space="preserve"> </w:t>
      </w:r>
      <w:r w:rsidR="002441AE" w:rsidRPr="003F69EE">
        <w:rPr>
          <w:b/>
          <w:bCs/>
          <w:sz w:val="18"/>
          <w:szCs w:val="18"/>
        </w:rPr>
        <w:t xml:space="preserve">только </w:t>
      </w:r>
      <w:r w:rsidRPr="003F69EE">
        <w:rPr>
          <w:b/>
          <w:bCs/>
          <w:sz w:val="18"/>
          <w:szCs w:val="18"/>
        </w:rPr>
        <w:t>для транспортных средств категорий N</w:t>
      </w:r>
      <w:r w:rsidRPr="003F69EE">
        <w:rPr>
          <w:b/>
          <w:bCs/>
          <w:sz w:val="18"/>
          <w:szCs w:val="18"/>
          <w:vertAlign w:val="subscript"/>
        </w:rPr>
        <w:t>2</w:t>
      </w:r>
      <w:r w:rsidRPr="003F69EE">
        <w:rPr>
          <w:b/>
          <w:bCs/>
          <w:sz w:val="18"/>
          <w:szCs w:val="18"/>
        </w:rPr>
        <w:t>G и N</w:t>
      </w:r>
      <w:r w:rsidRPr="003F69EE">
        <w:rPr>
          <w:b/>
          <w:bCs/>
          <w:sz w:val="18"/>
          <w:szCs w:val="18"/>
          <w:vertAlign w:val="subscript"/>
        </w:rPr>
        <w:t>3</w:t>
      </w:r>
      <w:r w:rsidRPr="003F69EE">
        <w:rPr>
          <w:b/>
          <w:bCs/>
          <w:sz w:val="18"/>
          <w:szCs w:val="18"/>
        </w:rPr>
        <w:t>G (повышенной проходимости).</w:t>
      </w:r>
    </w:p>
    <w:p w:rsidR="00AB76A4" w:rsidRPr="00882979" w:rsidRDefault="003206B2" w:rsidP="003206B2">
      <w:pPr>
        <w:pStyle w:val="SingleTxtG"/>
        <w:ind w:left="2268" w:hanging="1134"/>
        <w:rPr>
          <w:strike/>
        </w:rPr>
      </w:pPr>
      <w:r>
        <w:tab/>
      </w:r>
      <w:r w:rsidR="00AB76A4">
        <w:t>В случае передней противотуманной фары класса "F3" с источником(ами) света, имеющим(и) общий номинальный световой поток более 2 000 люмен, отклонение угла наклона луча вниз в зависимости от условий нагрузки, предусмотренных в настоящем пункте, должно оставаться в следующих пределах:</w:t>
      </w:r>
    </w:p>
    <w:p w:rsidR="00AB76A4" w:rsidRPr="00882979" w:rsidRDefault="003F69EE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0,7−3,3% при высоте установки передней противотуманной фары h ≤ 0,8;</w:t>
      </w:r>
    </w:p>
    <w:p w:rsidR="00AB76A4" w:rsidRPr="00882979" w:rsidRDefault="003F69EE" w:rsidP="003206B2">
      <w:pPr>
        <w:pStyle w:val="SingleTxtG"/>
        <w:ind w:left="2268" w:hanging="1134"/>
        <w:rPr>
          <w:strike/>
        </w:rPr>
      </w:pPr>
      <w:r>
        <w:tab/>
      </w:r>
      <w:r w:rsidR="00AB76A4">
        <w:rPr>
          <w:strike/>
        </w:rPr>
        <w:t>1,2−3,8% при высоте установки передней противотуманной фары h &gt; 0,8 m.</w:t>
      </w:r>
    </w:p>
    <w:p w:rsidR="00AB76A4" w:rsidRPr="00882979" w:rsidRDefault="003F69EE" w:rsidP="003206B2">
      <w:pPr>
        <w:pStyle w:val="SingleTxtG"/>
        <w:ind w:left="2268" w:hanging="1134"/>
        <w:rPr>
          <w:b/>
        </w:rPr>
      </w:pPr>
      <w:r>
        <w:rPr>
          <w:b/>
          <w:bCs/>
        </w:rPr>
        <w:lastRenderedPageBreak/>
        <w:tab/>
      </w:r>
      <w:r w:rsidR="00AB76A4">
        <w:rPr>
          <w:b/>
          <w:bCs/>
        </w:rPr>
        <w:t>h &lt; 0,8: минимальный вертикальный наклон 0,7% и максимальный вертикальный наклон 3,3%;</w:t>
      </w:r>
    </w:p>
    <w:p w:rsidR="00AB76A4" w:rsidRPr="00882979" w:rsidRDefault="003F69EE" w:rsidP="003206B2">
      <w:pPr>
        <w:pStyle w:val="SingleTxtG"/>
        <w:ind w:left="2268" w:hanging="1134"/>
        <w:rPr>
          <w:b/>
        </w:rPr>
      </w:pPr>
      <w:r>
        <w:rPr>
          <w:b/>
          <w:bCs/>
        </w:rPr>
        <w:tab/>
      </w:r>
      <w:r w:rsidR="00AB76A4">
        <w:rPr>
          <w:b/>
          <w:bCs/>
        </w:rPr>
        <w:t>h &gt; 0,8: минимальный вертикальный наклон 1,2% и максимальный вертикальный наклон 3,8%.</w:t>
      </w:r>
    </w:p>
    <w:p w:rsidR="00AB76A4" w:rsidRPr="00882979" w:rsidRDefault="003F69EE" w:rsidP="003206B2">
      <w:pPr>
        <w:pStyle w:val="SingleTxtG"/>
        <w:ind w:left="2268" w:hanging="1134"/>
        <w:rPr>
          <w:rFonts w:eastAsia="MS Mincho"/>
          <w:b/>
          <w:i/>
        </w:rPr>
      </w:pPr>
      <w:r>
        <w:tab/>
      </w:r>
      <w:r w:rsidR="00AB76A4">
        <w:t xml:space="preserve">Как указано в приложении 5 к настоящим Правилам </w:t>
      </w:r>
      <w:r w:rsidR="00AB76A4">
        <w:rPr>
          <w:b/>
          <w:bCs/>
        </w:rPr>
        <w:t>ООН</w:t>
      </w:r>
      <w:r w:rsidR="00AB76A4">
        <w:t>, для каждой системы, отрегулированной надлежащим образом, используемые нагрузки должны быть нижеследующими</w:t>
      </w:r>
      <w:r w:rsidR="00845F76">
        <w:t>.</w:t>
      </w:r>
      <w:r>
        <w:t>»</w:t>
      </w:r>
      <w:r w:rsidR="00AB76A4">
        <w:t>.</w:t>
      </w:r>
    </w:p>
    <w:p w:rsidR="00AB76A4" w:rsidRPr="00882979" w:rsidRDefault="00AB76A4" w:rsidP="00AB76A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AB76A4" w:rsidRPr="00882979" w:rsidRDefault="00AB76A4" w:rsidP="003F69EE">
      <w:pPr>
        <w:pStyle w:val="SingleTxtG"/>
        <w:rPr>
          <w:bCs/>
        </w:rPr>
      </w:pPr>
      <w:r>
        <w:t>1.</w:t>
      </w:r>
      <w:r>
        <w:tab/>
        <w:t>Неофициальная рабочая группа по вопросам видимости, ослепления и регулировки фар (НРГ по ВОРФ) была учреждена на семьдесят четвертой сессии GRE в октябре 2015 года. Ее основная задача заключалась в том, чтобы «определить технологически нейтральные требования в соответствии с указаниями WP.29, в частности найти общее решение проблем ослепления и видимости и рассмотреть все требования, предъявляемые к регулировке фар» (ECE/TRANS/WP.29/GRE/74, приложение III).</w:t>
      </w:r>
    </w:p>
    <w:p w:rsidR="00AB76A4" w:rsidRPr="00882979" w:rsidRDefault="00AB76A4" w:rsidP="003F69EE">
      <w:pPr>
        <w:pStyle w:val="SingleTxtG"/>
        <w:rPr>
          <w:bCs/>
        </w:rPr>
      </w:pPr>
      <w:r>
        <w:t>2.</w:t>
      </w:r>
      <w:r>
        <w:tab/>
        <w:t>Настоящее предложение основано на концепциях, которые были окончательно согласованы на десятом совещании НРГ по ВОРФ. Основные технические изменения затрагивают пункт 6.2.6 и относящиеся к нему подпункты, касающиеся вертикальной ориентации фар ближнего света. Надлежащие изменения были внесены в соответствующий пункт 6.22.6.1 и относящиеся к нему подпункты, касающиеся вертикального направления луча ближнего света адаптивных систем переднего освещения (АСПО). В связи с основными поправками, согласованными НРГ по ВОРФ, потребовалось изменить и дополнить и некоторые другие пункты.</w:t>
      </w:r>
    </w:p>
    <w:p w:rsidR="00AB76A4" w:rsidRPr="00882979" w:rsidRDefault="00AB76A4" w:rsidP="003F69EE">
      <w:pPr>
        <w:pStyle w:val="SingleTxtG"/>
        <w:rPr>
          <w:bCs/>
        </w:rPr>
      </w:pPr>
      <w:r>
        <w:t>3.</w:t>
      </w:r>
      <w:r>
        <w:tab/>
        <w:t>На своей семьдесят девятой сессии GRE решила, что во избежание дублирования в работе часть задач НРГ по ВОРФ (ECE/TRANS/WP.29/GRE/76, приложение III) будет передана НРГ по УПОС, поскольку у обеих групп общие цели (ECE/TRANS/WP.29/GRE/79, пункт 31).</w:t>
      </w:r>
    </w:p>
    <w:p w:rsidR="00AB76A4" w:rsidRPr="00882979" w:rsidRDefault="00AB76A4" w:rsidP="003F69EE">
      <w:pPr>
        <w:pStyle w:val="SingleTxtG"/>
        <w:rPr>
          <w:bCs/>
        </w:rPr>
      </w:pPr>
      <w:r>
        <w:t>4.</w:t>
      </w:r>
      <w:r>
        <w:tab/>
        <w:t>Как указано в утвержденном круге ведения (ECE/TRANS/WP.29/GRE/79, приложение II), НРГ по УПОС возьмется за выполнение некоторых задач и рассмотрит итоги работы НРГ по ВОРФ (на основе документа для обсуждения GRE-79-29), как это было рекомендовано на семьдесят девятой сессии GRE (ECE/TRANS/WP.29/GRE/79, пункт 31).</w:t>
      </w:r>
    </w:p>
    <w:p w:rsidR="00AB76A4" w:rsidRPr="00882979" w:rsidRDefault="00AB76A4" w:rsidP="003F69EE">
      <w:pPr>
        <w:pStyle w:val="SingleTxtG"/>
        <w:rPr>
          <w:bCs/>
        </w:rPr>
      </w:pPr>
      <w:r>
        <w:t>5.</w:t>
      </w:r>
      <w:r>
        <w:tab/>
        <w:t xml:space="preserve">На своей двадцать седьмой сессии НРГ по УПОС рассмотрела неофициальный документ GRE-79-29 и решила представить его без изменений к восемьдесят первой сессии GRE для вынесения замечаний (ECE/TRANS/WP.29/GRE/2019/3). </w:t>
      </w:r>
    </w:p>
    <w:p w:rsidR="00AB76A4" w:rsidRPr="00882979" w:rsidRDefault="00AB76A4" w:rsidP="003F69EE">
      <w:pPr>
        <w:pStyle w:val="SingleTxtG"/>
        <w:rPr>
          <w:bCs/>
        </w:rPr>
      </w:pPr>
      <w:r>
        <w:t>6.</w:t>
      </w:r>
      <w:r>
        <w:tab/>
        <w:t>После углубленного рассмотрения этого вопроса на своей восемьдесят первой сессии GRE достигла согласия по измененной схеме регулировки (GRE-81-21 и приложение II) и просила НРГ по УПОС подготовить на основе измененной схемы пересмотренное предложение для обсуждения на следующей сессии (ECE/TRANS/WP.29/GRE/81, пункт 10).</w:t>
      </w:r>
    </w:p>
    <w:p w:rsidR="00AB76A4" w:rsidRPr="00882979" w:rsidRDefault="00AB76A4" w:rsidP="003F69EE">
      <w:pPr>
        <w:pStyle w:val="SingleTxtG"/>
        <w:rPr>
          <w:bCs/>
        </w:rPr>
      </w:pPr>
      <w:r>
        <w:t>7.</w:t>
      </w:r>
      <w:r>
        <w:tab/>
        <w:t>В соответствии с просьбой GRE, НРГ по УПОС представила на восемьдесят второй сессии GRE пересмотренное предложение (GRE-82-25), которое было всесторонне обсуждено в ходе совещания. В конечном счете GRE просила НРГ по УПОС подготовить пересмотренный документ к следующей сессии с учетом замечаний, высказанных в ходе восемьдесят второй сессии GRE (ECE/TRANS/WP.29/GRE/82, пункт 31).</w:t>
      </w:r>
    </w:p>
    <w:p w:rsidR="00AB76A4" w:rsidRPr="00882979" w:rsidRDefault="00AB76A4" w:rsidP="003F69EE">
      <w:pPr>
        <w:pStyle w:val="SingleTxtG"/>
        <w:rPr>
          <w:bCs/>
        </w:rPr>
      </w:pPr>
      <w:r>
        <w:t>8.</w:t>
      </w:r>
      <w:r>
        <w:tab/>
        <w:t>Настоящее предложение отражает текст, который был согласован НРГ по УПОС по принципу большинства голосов.</w:t>
      </w:r>
    </w:p>
    <w:p w:rsidR="00AB76A4" w:rsidRDefault="00AB76A4" w:rsidP="003F69EE">
      <w:pPr>
        <w:pStyle w:val="SingleTxtG"/>
      </w:pPr>
      <w:r>
        <w:t xml:space="preserve">9. </w:t>
      </w:r>
      <w:r>
        <w:tab/>
        <w:t>Подробные пояснения по всем изменениям будут представлены в отдельном неофициальном документе.</w:t>
      </w:r>
    </w:p>
    <w:p w:rsidR="00AB76A4" w:rsidRPr="00AB76A4" w:rsidRDefault="00AB76A4" w:rsidP="003F69EE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76A4" w:rsidRPr="00AB76A4" w:rsidSect="00AB76A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73" w:rsidRPr="00A312BC" w:rsidRDefault="00316A73" w:rsidP="00A312BC"/>
  </w:endnote>
  <w:endnote w:type="continuationSeparator" w:id="0">
    <w:p w:rsidR="00316A73" w:rsidRPr="00A312BC" w:rsidRDefault="00316A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A4" w:rsidRPr="00AB76A4" w:rsidRDefault="00AB76A4">
    <w:pPr>
      <w:pStyle w:val="a8"/>
    </w:pPr>
    <w:r w:rsidRPr="00AB76A4">
      <w:rPr>
        <w:b/>
        <w:sz w:val="18"/>
      </w:rPr>
      <w:fldChar w:fldCharType="begin"/>
    </w:r>
    <w:r w:rsidRPr="00AB76A4">
      <w:rPr>
        <w:b/>
        <w:sz w:val="18"/>
      </w:rPr>
      <w:instrText xml:space="preserve"> PAGE  \* MERGEFORMAT </w:instrText>
    </w:r>
    <w:r w:rsidRPr="00AB76A4">
      <w:rPr>
        <w:b/>
        <w:sz w:val="18"/>
      </w:rPr>
      <w:fldChar w:fldCharType="separate"/>
    </w:r>
    <w:r w:rsidR="00C260AA">
      <w:rPr>
        <w:b/>
        <w:noProof/>
        <w:sz w:val="18"/>
      </w:rPr>
      <w:t>8</w:t>
    </w:r>
    <w:r w:rsidRPr="00AB76A4">
      <w:rPr>
        <w:b/>
        <w:sz w:val="18"/>
      </w:rPr>
      <w:fldChar w:fldCharType="end"/>
    </w:r>
    <w:r>
      <w:rPr>
        <w:b/>
        <w:sz w:val="18"/>
      </w:rPr>
      <w:tab/>
    </w:r>
    <w:r>
      <w:t>GE.20-01754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A4" w:rsidRPr="00AB76A4" w:rsidRDefault="00AB76A4" w:rsidP="00AB76A4">
    <w:pPr>
      <w:pStyle w:val="a8"/>
      <w:tabs>
        <w:tab w:val="clear" w:pos="9639"/>
        <w:tab w:val="right" w:pos="9638"/>
      </w:tabs>
      <w:rPr>
        <w:b/>
        <w:sz w:val="18"/>
      </w:rPr>
    </w:pPr>
    <w:r>
      <w:t>GE.20-01754</w:t>
    </w:r>
    <w:r>
      <w:tab/>
    </w:r>
    <w:r w:rsidRPr="00AB76A4">
      <w:rPr>
        <w:b/>
        <w:sz w:val="18"/>
      </w:rPr>
      <w:fldChar w:fldCharType="begin"/>
    </w:r>
    <w:r w:rsidRPr="00AB76A4">
      <w:rPr>
        <w:b/>
        <w:sz w:val="18"/>
      </w:rPr>
      <w:instrText xml:space="preserve"> PAGE  \* MERGEFORMAT </w:instrText>
    </w:r>
    <w:r w:rsidRPr="00AB76A4">
      <w:rPr>
        <w:b/>
        <w:sz w:val="18"/>
      </w:rPr>
      <w:fldChar w:fldCharType="separate"/>
    </w:r>
    <w:r w:rsidR="00C260AA">
      <w:rPr>
        <w:b/>
        <w:noProof/>
        <w:sz w:val="18"/>
      </w:rPr>
      <w:t>9</w:t>
    </w:r>
    <w:r w:rsidRPr="00AB76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B76A4" w:rsidRDefault="00AB76A4" w:rsidP="00AB76A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20-01754  (R)</w:t>
    </w:r>
    <w:r>
      <w:rPr>
        <w:lang w:val="en-US"/>
      </w:rPr>
      <w:t xml:space="preserve">  240220  250220</w:t>
    </w:r>
    <w:r>
      <w:br/>
    </w:r>
    <w:r w:rsidRPr="00AB76A4">
      <w:rPr>
        <w:rFonts w:ascii="C39T30Lfz" w:hAnsi="C39T30Lfz"/>
        <w:kern w:val="14"/>
        <w:sz w:val="56"/>
      </w:rPr>
      <w:t></w:t>
    </w:r>
    <w:r w:rsidRPr="00AB76A4">
      <w:rPr>
        <w:rFonts w:ascii="C39T30Lfz" w:hAnsi="C39T30Lfz"/>
        <w:kern w:val="14"/>
        <w:sz w:val="56"/>
      </w:rPr>
      <w:t></w:t>
    </w:r>
    <w:r w:rsidRPr="00AB76A4">
      <w:rPr>
        <w:rFonts w:ascii="C39T30Lfz" w:hAnsi="C39T30Lfz"/>
        <w:kern w:val="14"/>
        <w:sz w:val="56"/>
      </w:rPr>
      <w:t></w:t>
    </w:r>
    <w:r w:rsidRPr="00AB76A4">
      <w:rPr>
        <w:rFonts w:ascii="C39T30Lfz" w:hAnsi="C39T30Lfz"/>
        <w:kern w:val="14"/>
        <w:sz w:val="56"/>
      </w:rPr>
      <w:t></w:t>
    </w:r>
    <w:r w:rsidRPr="00AB76A4">
      <w:rPr>
        <w:rFonts w:ascii="C39T30Lfz" w:hAnsi="C39T30Lfz"/>
        <w:kern w:val="14"/>
        <w:sz w:val="56"/>
      </w:rPr>
      <w:t></w:t>
    </w:r>
    <w:r w:rsidRPr="00AB76A4">
      <w:rPr>
        <w:rFonts w:ascii="C39T30Lfz" w:hAnsi="C39T30Lfz"/>
        <w:kern w:val="14"/>
        <w:sz w:val="56"/>
      </w:rPr>
      <w:t></w:t>
    </w:r>
    <w:r w:rsidRPr="00AB76A4">
      <w:rPr>
        <w:rFonts w:ascii="C39T30Lfz" w:hAnsi="C39T30Lfz"/>
        <w:kern w:val="14"/>
        <w:sz w:val="56"/>
      </w:rPr>
      <w:t></w:t>
    </w:r>
    <w:r w:rsidRPr="00AB76A4">
      <w:rPr>
        <w:rFonts w:ascii="C39T30Lfz" w:hAnsi="C39T30Lfz"/>
        <w:kern w:val="14"/>
        <w:sz w:val="56"/>
      </w:rPr>
      <w:t></w:t>
    </w:r>
    <w:r w:rsidRPr="00AB76A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73" w:rsidRPr="001075E9" w:rsidRDefault="00316A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6A73" w:rsidRDefault="00316A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B76A4" w:rsidRPr="00882979" w:rsidRDefault="00AB76A4" w:rsidP="00AB76A4">
      <w:pPr>
        <w:pStyle w:val="ad"/>
      </w:pPr>
      <w:r>
        <w:tab/>
      </w:r>
      <w:r w:rsidRPr="00AB76A4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  <w:footnote w:id="2">
    <w:p w:rsidR="00AB76A4" w:rsidRPr="00882979" w:rsidRDefault="00AB76A4" w:rsidP="00AB76A4">
      <w:pPr>
        <w:pStyle w:val="ad"/>
        <w:ind w:right="1467" w:hanging="414"/>
      </w:pPr>
      <w:r>
        <w:tab/>
      </w:r>
      <w:r>
        <w:rPr>
          <w:rStyle w:val="aa"/>
        </w:rPr>
        <w:footnoteRef/>
      </w:r>
      <w:r>
        <w:tab/>
        <w:t xml:space="preserve">В соответствии с определением, содержащимся в Сводной резолюции о конструкции транспортных средств (СР.3), документ ЕСЕ/TRANS/WP.29/78/Rev.3, пункт 2 – </w:t>
      </w:r>
      <w:hyperlink r:id="rId1" w:history="1">
        <w:r w:rsidR="0070235D" w:rsidRPr="002A5E72">
          <w:rPr>
            <w:rStyle w:val="af1"/>
          </w:rPr>
          <w:t>www.unece.org/trans/main/wp29/wp29wgs/wp29gen/wp29resolutions.html</w:t>
        </w:r>
      </w:hyperlink>
      <w:r>
        <w:t>.</w:t>
      </w:r>
    </w:p>
  </w:footnote>
  <w:footnote w:id="3">
    <w:p w:rsidR="00AB76A4" w:rsidRPr="00882979" w:rsidRDefault="00AB76A4" w:rsidP="00AB76A4">
      <w:pPr>
        <w:pStyle w:val="ad"/>
      </w:pPr>
      <w:r>
        <w:tab/>
      </w:r>
      <w:r>
        <w:rPr>
          <w:vertAlign w:val="superscript"/>
        </w:rPr>
        <w:t>1</w:t>
      </w:r>
      <w:r>
        <w:t xml:space="preserve"> </w:t>
      </w:r>
      <w:r>
        <w:tab/>
      </w:r>
      <w:r>
        <w:tab/>
        <w:t>Этот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A4" w:rsidRPr="00AB76A4" w:rsidRDefault="00AB76A4">
    <w:pPr>
      <w:pStyle w:val="a5"/>
    </w:pPr>
    <w:fldSimple w:instr=" TITLE  \* MERGEFORMAT ">
      <w:r w:rsidR="00C260AA">
        <w:t>ECE/TRANS/WP.29/GRE/2020/8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A4" w:rsidRPr="00AB76A4" w:rsidRDefault="00AB76A4" w:rsidP="00AB76A4">
    <w:pPr>
      <w:pStyle w:val="a5"/>
      <w:jc w:val="right"/>
    </w:pPr>
    <w:fldSimple w:instr=" TITLE  \* MERGEFORMAT ">
      <w:r w:rsidR="00C260AA">
        <w:t>ECE/TRANS/WP.29/GRE/2020/8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716C"/>
    <w:multiLevelType w:val="hybridMultilevel"/>
    <w:tmpl w:val="F5ECFC82"/>
    <w:lvl w:ilvl="0" w:tplc="4614E7D8">
      <w:numFmt w:val="bullet"/>
      <w:lvlText w:val="*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6F7794"/>
    <w:multiLevelType w:val="hybridMultilevel"/>
    <w:tmpl w:val="E1646ECE"/>
    <w:lvl w:ilvl="0" w:tplc="9B80F8E4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1AE"/>
    <w:rsid w:val="00255343"/>
    <w:rsid w:val="0027151D"/>
    <w:rsid w:val="002A2EFC"/>
    <w:rsid w:val="002A483D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A73"/>
    <w:rsid w:val="00317339"/>
    <w:rsid w:val="003206B2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0E4B"/>
    <w:rsid w:val="003F69E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4284"/>
    <w:rsid w:val="005709E0"/>
    <w:rsid w:val="00572E19"/>
    <w:rsid w:val="0058661F"/>
    <w:rsid w:val="005961C8"/>
    <w:rsid w:val="005966F1"/>
    <w:rsid w:val="005D7914"/>
    <w:rsid w:val="005E2B41"/>
    <w:rsid w:val="005F0B42"/>
    <w:rsid w:val="00610BE2"/>
    <w:rsid w:val="00617A43"/>
    <w:rsid w:val="006345DB"/>
    <w:rsid w:val="00640F49"/>
    <w:rsid w:val="00680D03"/>
    <w:rsid w:val="00681A10"/>
    <w:rsid w:val="006A1ED8"/>
    <w:rsid w:val="006C2031"/>
    <w:rsid w:val="006C7876"/>
    <w:rsid w:val="006D461A"/>
    <w:rsid w:val="006F35EE"/>
    <w:rsid w:val="007021FF"/>
    <w:rsid w:val="0070235D"/>
    <w:rsid w:val="00712895"/>
    <w:rsid w:val="00734ACB"/>
    <w:rsid w:val="00757357"/>
    <w:rsid w:val="00792497"/>
    <w:rsid w:val="00806737"/>
    <w:rsid w:val="00825F8D"/>
    <w:rsid w:val="00834B71"/>
    <w:rsid w:val="00845F7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B76A4"/>
    <w:rsid w:val="00AE39C9"/>
    <w:rsid w:val="00B10CC7"/>
    <w:rsid w:val="00B36DF7"/>
    <w:rsid w:val="00B539E7"/>
    <w:rsid w:val="00B5451E"/>
    <w:rsid w:val="00B62458"/>
    <w:rsid w:val="00BC18B2"/>
    <w:rsid w:val="00BD33EE"/>
    <w:rsid w:val="00BE1CC7"/>
    <w:rsid w:val="00C106D6"/>
    <w:rsid w:val="00C119AE"/>
    <w:rsid w:val="00C260A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0C72A8"/>
  <w15:docId w15:val="{1C4F8D9F-DEF7-4668-9830-330C4AFE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B76A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B76A4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AB76A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styleId="af3">
    <w:name w:val="annotation text"/>
    <w:basedOn w:val="a"/>
    <w:link w:val="af4"/>
    <w:rsid w:val="00AB76A4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rsid w:val="00AB76A4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AB76A4"/>
    <w:rPr>
      <w:lang w:val="ru-RU" w:eastAsia="en-US"/>
    </w:rPr>
  </w:style>
  <w:style w:type="paragraph" w:customStyle="1" w:styleId="Default">
    <w:name w:val="Default"/>
    <w:rsid w:val="00AB76A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Char">
    <w:name w:val="para Char"/>
    <w:link w:val="para"/>
    <w:rsid w:val="00AB76A4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2531</Words>
  <Characters>16606</Characters>
  <Application>Microsoft Office Word</Application>
  <DocSecurity>0</DocSecurity>
  <Lines>395</Lines>
  <Paragraphs>173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ECE/TRANS/WP.29/GRE/2020/8</vt:lpstr>
      <vt:lpstr>A/</vt:lpstr>
      <vt:lpstr>A/</vt:lpstr>
    </vt:vector>
  </TitlesOfParts>
  <Company>DCM</Company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ECE/TRANS/WP.29/GRE/2020/8</dc:title>
  <dc:subject/>
  <dc:creator>Marina KOROTKOVA</dc:creator>
  <cp:keywords/>
  <cp:lastModifiedBy>Marina Korotkova</cp:lastModifiedBy>
  <cp:revision>3</cp:revision>
  <cp:lastPrinted>2020-02-25T13:44:00Z</cp:lastPrinted>
  <dcterms:created xsi:type="dcterms:W3CDTF">2020-02-25T13:44:00Z</dcterms:created>
  <dcterms:modified xsi:type="dcterms:W3CDTF">2020-02-25T13:46:00Z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