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56125" w:rsidRPr="00525E6C" w14:paraId="4FEAC1B5" w14:textId="77777777" w:rsidTr="00E56125">
        <w:trPr>
          <w:cantSplit/>
          <w:trHeight w:hRule="exact" w:val="851"/>
        </w:trPr>
        <w:tc>
          <w:tcPr>
            <w:tcW w:w="1276" w:type="dxa"/>
            <w:tcBorders>
              <w:bottom w:val="single" w:sz="4" w:space="0" w:color="auto"/>
            </w:tcBorders>
            <w:shd w:val="clear" w:color="auto" w:fill="auto"/>
            <w:vAlign w:val="bottom"/>
          </w:tcPr>
          <w:p w14:paraId="6E6E7396" w14:textId="77777777" w:rsidR="00E56125" w:rsidRPr="00525E6C" w:rsidRDefault="00E56125" w:rsidP="00E56125">
            <w:pPr>
              <w:spacing w:after="80"/>
            </w:pPr>
            <w:r>
              <w:t xml:space="preserve"> </w:t>
            </w:r>
            <w:r w:rsidRPr="00525E6C">
              <w:t xml:space="preserve">  </w:t>
            </w:r>
          </w:p>
        </w:tc>
        <w:tc>
          <w:tcPr>
            <w:tcW w:w="2268" w:type="dxa"/>
            <w:tcBorders>
              <w:bottom w:val="single" w:sz="4" w:space="0" w:color="auto"/>
            </w:tcBorders>
            <w:shd w:val="clear" w:color="auto" w:fill="auto"/>
            <w:vAlign w:val="bottom"/>
          </w:tcPr>
          <w:p w14:paraId="1E5524C6" w14:textId="77777777" w:rsidR="00E56125" w:rsidRPr="00525E6C" w:rsidRDefault="00E56125" w:rsidP="00E56125">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3708D55" w14:textId="4639D33A" w:rsidR="00E56125" w:rsidRPr="00525E6C" w:rsidRDefault="00E56125" w:rsidP="00E56125">
            <w:pPr>
              <w:jc w:val="right"/>
            </w:pPr>
            <w:r w:rsidRPr="00EC7CBC">
              <w:rPr>
                <w:sz w:val="40"/>
              </w:rPr>
              <w:t>ECE</w:t>
            </w:r>
            <w:r w:rsidRPr="00EC7CBC">
              <w:t>/TRANS/WP.29/</w:t>
            </w:r>
            <w:r>
              <w:t>GRE/2020</w:t>
            </w:r>
            <w:r w:rsidRPr="00EC151E">
              <w:t>/</w:t>
            </w:r>
            <w:r w:rsidR="008168E9">
              <w:t>8</w:t>
            </w:r>
          </w:p>
        </w:tc>
      </w:tr>
      <w:tr w:rsidR="00E56125" w:rsidRPr="00525E6C" w14:paraId="617881AA" w14:textId="77777777" w:rsidTr="00E56125">
        <w:trPr>
          <w:cantSplit/>
          <w:trHeight w:hRule="exact" w:val="2835"/>
        </w:trPr>
        <w:tc>
          <w:tcPr>
            <w:tcW w:w="1276"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eastAsia="zh-CN"/>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525E6C" w:rsidRDefault="00E56125" w:rsidP="00E56125">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525E6C" w:rsidRDefault="00E56125" w:rsidP="00E56125">
            <w:pPr>
              <w:spacing w:before="240" w:line="240" w:lineRule="exact"/>
            </w:pPr>
            <w:r w:rsidRPr="00525E6C">
              <w:t>Distr.: General</w:t>
            </w:r>
          </w:p>
          <w:p w14:paraId="142359BC" w14:textId="2439D450" w:rsidR="00E56125" w:rsidRDefault="006B6C1D" w:rsidP="00E56125">
            <w:pPr>
              <w:spacing w:line="240" w:lineRule="exact"/>
            </w:pPr>
            <w:r>
              <w:t>6</w:t>
            </w:r>
            <w:r w:rsidR="00E56125">
              <w:t xml:space="preserve"> February </w:t>
            </w:r>
            <w:r w:rsidR="00E56125" w:rsidRPr="00EC151E">
              <w:t>20</w:t>
            </w:r>
            <w:r w:rsidR="00E56125">
              <w:t>20</w:t>
            </w:r>
          </w:p>
          <w:p w14:paraId="2B36367F" w14:textId="77777777" w:rsidR="00E56125" w:rsidRPr="00525E6C" w:rsidRDefault="00E56125" w:rsidP="00E56125">
            <w:pPr>
              <w:spacing w:line="240" w:lineRule="exact"/>
            </w:pPr>
          </w:p>
          <w:p w14:paraId="59D57EA0" w14:textId="77777777" w:rsidR="00E56125" w:rsidRDefault="00E56125" w:rsidP="00E56125">
            <w:pPr>
              <w:spacing w:line="240" w:lineRule="exact"/>
            </w:pPr>
            <w:r w:rsidRPr="00525E6C">
              <w:t>Original: English</w:t>
            </w:r>
          </w:p>
          <w:p w14:paraId="6E67ADD1" w14:textId="77777777" w:rsidR="00E56125" w:rsidRPr="002B45D1" w:rsidRDefault="00E56125" w:rsidP="00E56125"/>
          <w:p w14:paraId="1A842822" w14:textId="77777777" w:rsidR="00E56125" w:rsidRPr="002B45D1" w:rsidRDefault="00E56125" w:rsidP="00E56125"/>
          <w:p w14:paraId="5B0467E8" w14:textId="77777777" w:rsidR="00E56125" w:rsidRPr="002B45D1" w:rsidRDefault="00E56125" w:rsidP="00E56125"/>
          <w:p w14:paraId="53131B07" w14:textId="77777777" w:rsidR="00E56125" w:rsidRPr="002B45D1" w:rsidRDefault="00E56125" w:rsidP="00E56125"/>
          <w:p w14:paraId="1F00BD07" w14:textId="77777777" w:rsidR="00E56125" w:rsidRDefault="00E56125" w:rsidP="00E56125"/>
          <w:p w14:paraId="7A607514" w14:textId="77777777" w:rsidR="00E56125" w:rsidRPr="002B45D1" w:rsidRDefault="00E56125" w:rsidP="00E56125"/>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DAD51FA" w:rsidR="00E04EC7" w:rsidRPr="00F61414" w:rsidRDefault="00380BCC" w:rsidP="00E04EC7">
      <w:pPr>
        <w:ind w:right="1134"/>
        <w:rPr>
          <w:b/>
        </w:rPr>
      </w:pPr>
      <w:bookmarkStart w:id="0" w:name="_GoBack"/>
      <w:r w:rsidRPr="00F61414">
        <w:rPr>
          <w:b/>
        </w:rPr>
        <w:t>E</w:t>
      </w:r>
      <w:bookmarkEnd w:id="0"/>
      <w:r w:rsidRPr="00F61414">
        <w:rPr>
          <w:b/>
        </w:rPr>
        <w:t>ight</w:t>
      </w:r>
      <w:r w:rsidR="00C740F6" w:rsidRPr="00F61414">
        <w:rPr>
          <w:b/>
        </w:rPr>
        <w:t>y-</w:t>
      </w:r>
      <w:r w:rsidR="007B3218" w:rsidRPr="00F61414">
        <w:rPr>
          <w:b/>
        </w:rPr>
        <w:t>thir</w:t>
      </w:r>
      <w:r w:rsidR="0070621F" w:rsidRPr="00F61414">
        <w:rPr>
          <w:b/>
        </w:rPr>
        <w:t>d</w:t>
      </w:r>
      <w:r w:rsidR="00C740F6" w:rsidRPr="00F61414">
        <w:rPr>
          <w:b/>
        </w:rPr>
        <w:t xml:space="preserve"> </w:t>
      </w:r>
      <w:r w:rsidR="00E04EC7" w:rsidRPr="00F61414">
        <w:rPr>
          <w:b/>
        </w:rPr>
        <w:t>session</w:t>
      </w:r>
    </w:p>
    <w:p w14:paraId="2E017AB8" w14:textId="7202B7CA" w:rsidR="00E04EC7" w:rsidRPr="00F61414" w:rsidRDefault="00360EDD" w:rsidP="00E04EC7">
      <w:pPr>
        <w:ind w:right="1134"/>
      </w:pPr>
      <w:r w:rsidRPr="00F61414">
        <w:t xml:space="preserve">Geneva, </w:t>
      </w:r>
      <w:r w:rsidR="0070621F" w:rsidRPr="00F61414">
        <w:t>2</w:t>
      </w:r>
      <w:r w:rsidR="00E56125">
        <w:t>1–</w:t>
      </w:r>
      <w:r w:rsidR="0070621F" w:rsidRPr="00F61414">
        <w:t>2</w:t>
      </w:r>
      <w:r w:rsidR="00F61414" w:rsidRPr="00F61414">
        <w:t>4</w:t>
      </w:r>
      <w:r w:rsidR="00E56125">
        <w:t xml:space="preserve"> </w:t>
      </w:r>
      <w:r w:rsidR="00F61414" w:rsidRPr="00F61414">
        <w:t>April</w:t>
      </w:r>
      <w:r w:rsidR="0005671E" w:rsidRPr="00F61414">
        <w:t xml:space="preserve"> </w:t>
      </w:r>
      <w:r w:rsidRPr="00F61414">
        <w:t>20</w:t>
      </w:r>
      <w:r w:rsidR="00F61414" w:rsidRPr="00F61414">
        <w:t>20</w:t>
      </w:r>
    </w:p>
    <w:p w14:paraId="09CDA4E9" w14:textId="535035FA" w:rsidR="00732AD2" w:rsidRPr="00F61414" w:rsidRDefault="00732AD2" w:rsidP="00E04EC7">
      <w:pPr>
        <w:ind w:right="1134"/>
        <w:rPr>
          <w:bCs/>
        </w:rPr>
      </w:pPr>
      <w:r w:rsidRPr="00F61414">
        <w:rPr>
          <w:bCs/>
        </w:rPr>
        <w:t xml:space="preserve">Item </w:t>
      </w:r>
      <w:r w:rsidR="00DB36E9">
        <w:rPr>
          <w:bCs/>
        </w:rPr>
        <w:t>6</w:t>
      </w:r>
      <w:r w:rsidR="00E56125">
        <w:rPr>
          <w:bCs/>
        </w:rPr>
        <w:t xml:space="preserve"> (</w:t>
      </w:r>
      <w:r w:rsidR="00DB36E9">
        <w:rPr>
          <w:bCs/>
        </w:rPr>
        <w:t>b</w:t>
      </w:r>
      <w:r w:rsidR="00E56125">
        <w:rPr>
          <w:bCs/>
        </w:rPr>
        <w:t xml:space="preserve">) </w:t>
      </w:r>
      <w:r w:rsidR="00B40A18">
        <w:rPr>
          <w:bCs/>
        </w:rPr>
        <w:t>of the provisional agenda</w:t>
      </w:r>
    </w:p>
    <w:p w14:paraId="03563A46" w14:textId="589AFFA4" w:rsidR="0005671E" w:rsidRDefault="00E56125" w:rsidP="00DB36E9">
      <w:pPr>
        <w:ind w:right="1467"/>
        <w:jc w:val="both"/>
        <w:rPr>
          <w:b/>
          <w:bCs/>
        </w:rPr>
      </w:pPr>
      <w:r>
        <w:rPr>
          <w:b/>
          <w:bCs/>
        </w:rPr>
        <w:t xml:space="preserve">UN </w:t>
      </w:r>
      <w:r w:rsidR="000A556D" w:rsidRPr="0057404A">
        <w:rPr>
          <w:b/>
          <w:bCs/>
        </w:rPr>
        <w:t xml:space="preserve">Regulation No. </w:t>
      </w:r>
      <w:r w:rsidR="00DB36E9">
        <w:rPr>
          <w:b/>
          <w:bCs/>
        </w:rPr>
        <w:t>4</w:t>
      </w:r>
      <w:r w:rsidR="00B40A18" w:rsidRPr="0057404A">
        <w:rPr>
          <w:b/>
          <w:bCs/>
        </w:rPr>
        <w:t>8</w:t>
      </w:r>
      <w:r w:rsidR="000A556D" w:rsidRPr="0057404A">
        <w:rPr>
          <w:b/>
          <w:bCs/>
        </w:rPr>
        <w:t xml:space="preserve"> (</w:t>
      </w:r>
      <w:r w:rsidR="009B5460" w:rsidRPr="0057404A">
        <w:rPr>
          <w:b/>
          <w:bCs/>
        </w:rPr>
        <w:t>Installation of lighting and</w:t>
      </w:r>
      <w:r w:rsidR="00DB36E9">
        <w:rPr>
          <w:b/>
          <w:bCs/>
        </w:rPr>
        <w:t xml:space="preserve"> </w:t>
      </w:r>
      <w:r w:rsidR="009B5460" w:rsidRPr="0057404A">
        <w:rPr>
          <w:b/>
          <w:bCs/>
        </w:rPr>
        <w:t>light-signalling devices</w:t>
      </w:r>
      <w:r w:rsidR="00DB36E9">
        <w:rPr>
          <w:b/>
          <w:bCs/>
        </w:rPr>
        <w:t>):</w:t>
      </w:r>
    </w:p>
    <w:p w14:paraId="4D4E0E2B" w14:textId="20CFD369" w:rsidR="00DB36E9" w:rsidRPr="0057404A" w:rsidRDefault="00DB36E9" w:rsidP="00DB36E9">
      <w:pPr>
        <w:ind w:right="1467"/>
        <w:jc w:val="both"/>
        <w:rPr>
          <w:b/>
          <w:bCs/>
        </w:rPr>
      </w:pPr>
      <w:r>
        <w:rPr>
          <w:b/>
          <w:bCs/>
        </w:rPr>
        <w:t xml:space="preserve">Proposals for new series of amendments to UN Regulation No. 48 </w:t>
      </w:r>
    </w:p>
    <w:p w14:paraId="33DBE744" w14:textId="65CBB1B6" w:rsidR="00732AD2" w:rsidRPr="007B3218" w:rsidRDefault="00732AD2" w:rsidP="0005671E">
      <w:pPr>
        <w:pStyle w:val="HChG"/>
      </w:pPr>
      <w:r w:rsidRPr="007B3218">
        <w:tab/>
      </w:r>
      <w:r w:rsidRPr="007B3218">
        <w:tab/>
      </w:r>
      <w:r w:rsidR="00DB36E9" w:rsidRPr="00DB36E9">
        <w:t>Proposal for a new</w:t>
      </w:r>
      <w:r w:rsidR="005D48C2">
        <w:t xml:space="preserve"> [0x]</w:t>
      </w:r>
      <w:r w:rsidR="00DB36E9" w:rsidRPr="00DB36E9">
        <w:t xml:space="preserve"> series of amendments to UN Regulation No. 48</w:t>
      </w:r>
      <w:r w:rsidR="0061713D" w:rsidRPr="007B3218">
        <w:t xml:space="preserve"> </w:t>
      </w:r>
    </w:p>
    <w:p w14:paraId="1643FDA3" w14:textId="1A234E88" w:rsidR="00732AD2" w:rsidRPr="00F61414" w:rsidRDefault="00DB36E9" w:rsidP="00732AD2">
      <w:pPr>
        <w:pStyle w:val="H1G"/>
        <w:ind w:firstLine="0"/>
        <w:rPr>
          <w:szCs w:val="24"/>
        </w:rPr>
      </w:pPr>
      <w:r w:rsidRPr="00DB36E9">
        <w:rPr>
          <w:szCs w:val="24"/>
        </w:rPr>
        <w:t>Submitted by the Informal Working Group on Simplification of Lighting and Light-Signalling Regulations</w:t>
      </w:r>
      <w:r w:rsidR="0070621F" w:rsidRPr="00F61414">
        <w:rPr>
          <w:rStyle w:val="H1GChar"/>
        </w:rPr>
        <w:footnoteReference w:customMarkFollows="1" w:id="2"/>
        <w:t>*</w:t>
      </w:r>
    </w:p>
    <w:p w14:paraId="70558E07" w14:textId="5992D5E1" w:rsidR="00856C69" w:rsidRDefault="00DB36E9" w:rsidP="00DB36E9">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as requested by the </w:t>
      </w:r>
      <w:r w:rsidRPr="00DB36E9">
        <w:t>Working Party on Lighting and Light-Signalling</w:t>
      </w:r>
      <w:r>
        <w:t xml:space="preserve"> (GRE) at its eighty-second session (ECE/TRANS/WP.29/GRE/82, para. 31). This proposal is based on informal document GRE-82-25 and aims to introduce new requirements for headlamp levelling, in particular on the vertical inclination in relation to the dipped-beam headlamp mounting height. The modifications to the existing text of the UN Regulation No. 48 are marked in bold for new or strikethrough for deleted characters.</w:t>
      </w:r>
      <w:r w:rsidR="00C730BE">
        <w:t xml:space="preserve"> </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596BEA3E" w14:textId="77777777" w:rsidR="0053129E" w:rsidRPr="00525E6C" w:rsidRDefault="0053129E" w:rsidP="0053129E">
      <w:pPr>
        <w:rPr>
          <w:b/>
          <w:bCs/>
        </w:rPr>
      </w:pPr>
    </w:p>
    <w:p w14:paraId="1C063ECB" w14:textId="77777777" w:rsidR="0053129E" w:rsidRPr="002B45D1" w:rsidRDefault="0053129E" w:rsidP="0053129E">
      <w:pPr>
        <w:rPr>
          <w:b/>
          <w:bCs/>
          <w:sz w:val="16"/>
          <w:szCs w:val="16"/>
        </w:rPr>
      </w:pPr>
    </w:p>
    <w:p w14:paraId="2CB4A8DC" w14:textId="77777777" w:rsidR="00E56125" w:rsidRDefault="00914CE3" w:rsidP="002B45D1">
      <w:pPr>
        <w:pStyle w:val="HChG"/>
        <w:spacing w:before="120"/>
      </w:pPr>
      <w:r w:rsidRPr="00525E6C">
        <w:tab/>
      </w:r>
    </w:p>
    <w:p w14:paraId="1584AFC1" w14:textId="77777777" w:rsidR="00E56125" w:rsidRDefault="00E56125">
      <w:pPr>
        <w:suppressAutoHyphens w:val="0"/>
        <w:spacing w:line="240" w:lineRule="auto"/>
        <w:rPr>
          <w:b/>
          <w:sz w:val="28"/>
        </w:rPr>
      </w:pPr>
      <w:r>
        <w:br w:type="page"/>
      </w:r>
    </w:p>
    <w:p w14:paraId="36A3A54C" w14:textId="1E5734C4" w:rsidR="00E048CF" w:rsidRDefault="00E56125" w:rsidP="00AE7113">
      <w:pPr>
        <w:pStyle w:val="HChG"/>
      </w:pPr>
      <w:r>
        <w:lastRenderedPageBreak/>
        <w:tab/>
      </w:r>
      <w:r w:rsidR="00E048CF" w:rsidRPr="00525E6C">
        <w:t>I.</w:t>
      </w:r>
      <w:r w:rsidR="00E048CF" w:rsidRPr="00525E6C">
        <w:tab/>
        <w:t>Proposal</w:t>
      </w:r>
    </w:p>
    <w:p w14:paraId="6ABC2468" w14:textId="71240A41" w:rsidR="00DB36E9" w:rsidRPr="00CF630B" w:rsidRDefault="00DB36E9" w:rsidP="00DB36E9">
      <w:pPr>
        <w:spacing w:after="120"/>
        <w:ind w:left="1134" w:right="1134"/>
        <w:jc w:val="both"/>
      </w:pPr>
      <w:r w:rsidRPr="00CF630B">
        <w:rPr>
          <w:i/>
        </w:rPr>
        <w:t>Paragraph 6.2.4.2</w:t>
      </w:r>
      <w:r w:rsidR="006B6C1D">
        <w:rPr>
          <w:i/>
        </w:rPr>
        <w:t>.</w:t>
      </w:r>
      <w:r w:rsidRPr="00CF630B">
        <w:rPr>
          <w:i/>
        </w:rPr>
        <w:t xml:space="preserve">, </w:t>
      </w:r>
      <w:r w:rsidRPr="00CF630B">
        <w:t>amend to read:</w:t>
      </w:r>
    </w:p>
    <w:p w14:paraId="4ECD8C9C" w14:textId="7C41FC59" w:rsidR="00DB36E9" w:rsidRPr="00CF630B" w:rsidRDefault="00DB36E9" w:rsidP="00DB36E9">
      <w:pPr>
        <w:pStyle w:val="CommentText"/>
        <w:spacing w:after="120"/>
        <w:ind w:left="2268" w:right="1134" w:hanging="1134"/>
        <w:jc w:val="both"/>
        <w:rPr>
          <w:i/>
        </w:rPr>
      </w:pPr>
      <w:r w:rsidRPr="00CF630B">
        <w:rPr>
          <w:lang w:val="en-US"/>
        </w:rPr>
        <w:t xml:space="preserve">“6.2.4.2. </w:t>
      </w:r>
      <w:r w:rsidRPr="00CF630B">
        <w:rPr>
          <w:lang w:val="en-US"/>
        </w:rPr>
        <w:tab/>
        <w:t xml:space="preserve">In height: not less than 500 mm and not more than 1,200 mm above the ground. For category </w:t>
      </w:r>
      <w:r w:rsidRPr="00CF630B">
        <w:rPr>
          <w:b/>
          <w:lang w:val="en-US"/>
        </w:rPr>
        <w:t>N</w:t>
      </w:r>
      <w:r w:rsidRPr="00F309E3">
        <w:rPr>
          <w:b/>
          <w:vertAlign w:val="subscript"/>
          <w:lang w:val="en-US"/>
        </w:rPr>
        <w:t>2</w:t>
      </w:r>
      <w:r w:rsidRPr="00CF630B">
        <w:rPr>
          <w:b/>
          <w:lang w:val="en-US"/>
        </w:rPr>
        <w:t>G (off-road) and</w:t>
      </w:r>
      <w:r w:rsidRPr="00CF630B">
        <w:rPr>
          <w:lang w:val="en-US"/>
        </w:rPr>
        <w:t xml:space="preserve"> N</w:t>
      </w:r>
      <w:r w:rsidRPr="00F309E3">
        <w:rPr>
          <w:vertAlign w:val="subscript"/>
          <w:lang w:val="en-US"/>
        </w:rPr>
        <w:t>3</w:t>
      </w:r>
      <w:r w:rsidRPr="00CF630B">
        <w:rPr>
          <w:lang w:val="en-US"/>
        </w:rPr>
        <w:t xml:space="preserve">G (off-road) </w:t>
      </w:r>
      <w:r>
        <w:t>vehicles</w:t>
      </w:r>
      <w:r>
        <w:rPr>
          <w:rStyle w:val="FootnoteReference"/>
        </w:rPr>
        <w:footnoteReference w:id="3"/>
      </w:r>
      <w:r w:rsidRPr="00CF630B">
        <w:rPr>
          <w:lang w:val="en-US"/>
        </w:rPr>
        <w:t>, the maximum height may be increased to 1,500 mm.”</w:t>
      </w:r>
    </w:p>
    <w:p w14:paraId="3E982CEA" w14:textId="77777777" w:rsidR="00DB36E9" w:rsidRPr="00CF630B" w:rsidRDefault="00DB36E9"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6EFFEA97" w14:textId="77777777" w:rsidR="00DB36E9" w:rsidRPr="00CF630B" w:rsidRDefault="00DB36E9" w:rsidP="00DB36E9">
      <w:pPr>
        <w:pStyle w:val="para0"/>
        <w:tabs>
          <w:tab w:val="left" w:pos="8505"/>
        </w:tabs>
        <w:rPr>
          <w:lang w:val="en-US"/>
        </w:rPr>
      </w:pPr>
      <w:r w:rsidRPr="00CF630B">
        <w:rPr>
          <w:lang w:val="en-US"/>
        </w:rPr>
        <w:t>“6.2.6.1.</w:t>
      </w:r>
      <w:r w:rsidRPr="00CF630B">
        <w:rPr>
          <w:lang w:val="en-US"/>
        </w:rPr>
        <w:tab/>
        <w:t>Vertical orientation</w:t>
      </w:r>
    </w:p>
    <w:p w14:paraId="6AD79E09" w14:textId="77777777" w:rsidR="00DB36E9" w:rsidRPr="00CF630B" w:rsidRDefault="00DB36E9"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6CD6B0C9" w14:textId="77777777" w:rsidR="00DB36E9" w:rsidRPr="00CF630B" w:rsidRDefault="00DB36E9" w:rsidP="00DB36E9">
      <w:pPr>
        <w:pStyle w:val="para0"/>
        <w:rPr>
          <w:b/>
          <w:bCs/>
          <w:lang w:val="en-US"/>
        </w:rPr>
      </w:pPr>
      <w:r w:rsidRPr="00CF630B">
        <w:rPr>
          <w:b/>
          <w:bCs/>
          <w:lang w:val="en-US"/>
        </w:rPr>
        <w:tab/>
        <w:t>Initial downward inclination</w:t>
      </w:r>
    </w:p>
    <w:p w14:paraId="0348F00E" w14:textId="77777777" w:rsidR="00DB36E9" w:rsidRPr="00CF630B" w:rsidRDefault="00DB36E9" w:rsidP="00DB36E9">
      <w:pPr>
        <w:pStyle w:val="para0"/>
        <w:ind w:firstLine="0"/>
        <w:rPr>
          <w:b/>
          <w:bCs/>
          <w:lang w:val="en-US"/>
        </w:rPr>
      </w:pPr>
      <w:r w:rsidRPr="00CF630B">
        <w:rPr>
          <w:b/>
          <w:bCs/>
          <w:lang w:val="en-US"/>
        </w:rPr>
        <w:t>The initial downward inclination of the cut-off of the passing beam (dipped-beam) shall be:</w:t>
      </w:r>
    </w:p>
    <w:p w14:paraId="202E0541" w14:textId="798A72C4"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set in the unladen vehicle state with one person in the driver's seat,</w:t>
      </w:r>
    </w:p>
    <w:p w14:paraId="208C62FD" w14:textId="631A0DA6"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specified within an accuracy of 0.1 per cent by the manufacturer,</w:t>
      </w:r>
    </w:p>
    <w:p w14:paraId="44BE3C42" w14:textId="49552931"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equal or lower than -0.5 per cent, as indicated in the diagram of paragraph 6.2.6.1.2. and</w:t>
      </w:r>
    </w:p>
    <w:p w14:paraId="511A7A3B" w14:textId="7DD757ED"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indicated in a clearly legible and indelible manner on each vehicle close to either headlamp or the manufacturer's plate by the symbol shown in Annex 7.</w:t>
      </w:r>
    </w:p>
    <w:p w14:paraId="7FD0037E" w14:textId="77777777" w:rsidR="00DB36E9" w:rsidRPr="00CF630B" w:rsidRDefault="00DB36E9" w:rsidP="00DB36E9">
      <w:pPr>
        <w:pStyle w:val="para0"/>
        <w:ind w:firstLine="0"/>
        <w:rPr>
          <w:b/>
          <w:bCs/>
          <w:lang w:val="en-US"/>
        </w:rPr>
      </w:pPr>
      <w:r w:rsidRPr="00CF630B">
        <w:rPr>
          <w:b/>
          <w:bCs/>
          <w:lang w:val="en-US"/>
        </w:rPr>
        <w:t>The value of this indicated initial downward inclination shall be defined by the vehicle manufacturer in the range prescribed in paragraph 6.2.6.1.2. in relation to the passing beam (dipped</w:t>
      </w:r>
      <w:r w:rsidRPr="00CF630B">
        <w:rPr>
          <w:b/>
          <w:bCs/>
          <w:lang w:val="en-US"/>
        </w:rPr>
        <w:noBreakHyphen/>
        <w:t>beam) headlamp mounting height.</w:t>
      </w:r>
    </w:p>
    <w:p w14:paraId="6A2305B6" w14:textId="77777777" w:rsidR="00DB36E9" w:rsidRPr="00CF630B" w:rsidRDefault="00DB36E9" w:rsidP="00DB36E9">
      <w:pPr>
        <w:pStyle w:val="para0"/>
        <w:ind w:firstLine="0"/>
        <w:rPr>
          <w:lang w:val="en-US"/>
        </w:rPr>
      </w:pPr>
      <w:r w:rsidRPr="00CF630B">
        <w:rPr>
          <w:b/>
          <w:lang w:val="en-US"/>
        </w:rPr>
        <w:t>Different values of initial downward inclination for different variants/versions of the same vehicle type can be defined, provided that only the pertinent value is indicated on each variant/version.</w:t>
      </w:r>
    </w:p>
    <w:p w14:paraId="5C9F0A95" w14:textId="77777777" w:rsidR="00DB36E9" w:rsidRPr="002A344D" w:rsidRDefault="00DB36E9" w:rsidP="00DB36E9">
      <w:pPr>
        <w:pStyle w:val="para0"/>
        <w:tabs>
          <w:tab w:val="left" w:pos="8505"/>
        </w:tabs>
        <w:rPr>
          <w:b/>
          <w:bCs/>
          <w:lang w:val="en-US"/>
        </w:rPr>
      </w:pPr>
      <w:r w:rsidRPr="006E4F6E">
        <w:rPr>
          <w:lang w:val="en-US"/>
        </w:rPr>
        <w:t>6.2.6.1.2.</w:t>
      </w:r>
      <w:r w:rsidRPr="006E4F6E">
        <w:rPr>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5C65CC72" w14:textId="77777777" w:rsidR="00DB36E9" w:rsidRPr="006E4F6E" w:rsidRDefault="00DB36E9" w:rsidP="00DB36E9">
      <w:pPr>
        <w:pStyle w:val="para0"/>
        <w:tabs>
          <w:tab w:val="left" w:pos="8505"/>
        </w:tabs>
        <w:ind w:firstLine="0"/>
        <w:rPr>
          <w:b/>
          <w:lang w:val="en-US"/>
        </w:rPr>
      </w:pPr>
      <w:r w:rsidRPr="006E4F6E">
        <w:rPr>
          <w:lang w:val="en-US"/>
        </w:rPr>
        <w:t xml:space="preserve">Depending on the mounting height in meters (h) of the lower edge of the apparent surface in the direction of the reference axis of 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6E4F6E">
        <w:rPr>
          <w:lang w:val="en-US"/>
        </w:rPr>
        <w:t xml:space="preserve"> headlamp, measured on the unladen vehicles, the vertical inclination of the cut-off of </w:t>
      </w:r>
      <w:r w:rsidRPr="00CF630B">
        <w:rPr>
          <w:lang w:val="en-US"/>
        </w:rPr>
        <w:t xml:space="preserve">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set by the vehicle manufacturer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4F697DBB" w14:textId="77777777" w:rsidR="00DB36E9" w:rsidRPr="004776BA" w:rsidRDefault="00DB36E9" w:rsidP="00DB36E9">
      <w:pPr>
        <w:pStyle w:val="para0"/>
        <w:ind w:left="2835" w:hanging="567"/>
        <w:rPr>
          <w:strike/>
          <w:u w:val="single"/>
          <w:lang w:val="en-US"/>
        </w:rPr>
      </w:pPr>
      <w:r w:rsidRPr="004776BA">
        <w:rPr>
          <w:strike/>
          <w:u w:val="single"/>
          <w:lang w:val="en-US"/>
        </w:rPr>
        <w:t>h &lt; 0.8</w:t>
      </w:r>
    </w:p>
    <w:p w14:paraId="1D0951EB"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099855D4" w14:textId="77777777" w:rsidR="00DB36E9" w:rsidRPr="004776BA" w:rsidRDefault="00DB36E9" w:rsidP="00DB36E9">
      <w:pPr>
        <w:pStyle w:val="para0"/>
        <w:ind w:left="2835" w:hanging="567"/>
        <w:rPr>
          <w:strike/>
          <w:lang w:val="en-US"/>
        </w:rPr>
      </w:pPr>
      <w:r w:rsidRPr="004776BA">
        <w:rPr>
          <w:strike/>
          <w:lang w:val="en-US"/>
        </w:rPr>
        <w:t>initial aiming: between -1.0 per cent and -1.5 per cent</w:t>
      </w:r>
    </w:p>
    <w:p w14:paraId="342154FF" w14:textId="77777777" w:rsidR="00DB36E9" w:rsidRPr="004776BA" w:rsidRDefault="00DB36E9" w:rsidP="00DB36E9">
      <w:pPr>
        <w:pStyle w:val="para0"/>
        <w:ind w:left="2835" w:hanging="567"/>
        <w:rPr>
          <w:strike/>
          <w:u w:val="single"/>
          <w:lang w:val="en-US"/>
        </w:rPr>
      </w:pPr>
      <w:r w:rsidRPr="004776BA">
        <w:rPr>
          <w:strike/>
          <w:u w:val="single"/>
          <w:lang w:val="en-US"/>
        </w:rPr>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7DC69034"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4597055D" w14:textId="77777777" w:rsidR="00DB36E9" w:rsidRPr="004776BA" w:rsidRDefault="00DB36E9" w:rsidP="00DB36E9">
      <w:pPr>
        <w:pStyle w:val="para0"/>
        <w:ind w:left="2835" w:hanging="567"/>
        <w:rPr>
          <w:strike/>
          <w:lang w:val="en-US"/>
        </w:rPr>
      </w:pPr>
      <w:r w:rsidRPr="004776BA">
        <w:rPr>
          <w:strike/>
          <w:lang w:val="en-US"/>
        </w:rPr>
        <w:lastRenderedPageBreak/>
        <w:t>initial aiming: between -1.0 per cent and -1.5 per cent</w:t>
      </w:r>
    </w:p>
    <w:p w14:paraId="4DB59EF8" w14:textId="77777777" w:rsidR="00DB36E9" w:rsidRPr="004776BA" w:rsidRDefault="00DB36E9" w:rsidP="00DB36E9">
      <w:pPr>
        <w:pStyle w:val="para0"/>
        <w:ind w:left="2835" w:hanging="567"/>
        <w:rPr>
          <w:strike/>
          <w:lang w:val="en-US"/>
        </w:rPr>
      </w:pPr>
      <w:r w:rsidRPr="004776BA">
        <w:rPr>
          <w:strike/>
          <w:lang w:val="en-US"/>
        </w:rPr>
        <w:t>or, at the discretion of the manufacturer,</w:t>
      </w:r>
    </w:p>
    <w:p w14:paraId="4BA0764C"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65E71228" w14:textId="77777777" w:rsidR="00DB36E9" w:rsidRPr="004776BA" w:rsidRDefault="00DB36E9" w:rsidP="00DB36E9">
      <w:pPr>
        <w:pStyle w:val="para0"/>
        <w:ind w:left="2835" w:hanging="567"/>
        <w:rPr>
          <w:strike/>
          <w:lang w:val="en-US"/>
        </w:rPr>
      </w:pPr>
      <w:r w:rsidRPr="004776BA">
        <w:rPr>
          <w:strike/>
          <w:lang w:val="en-US"/>
        </w:rPr>
        <w:t>initial aiming: between -1.5 per cent and -2.0 per cent</w:t>
      </w:r>
    </w:p>
    <w:p w14:paraId="6CB06C7C" w14:textId="77777777" w:rsidR="00DB36E9" w:rsidRPr="004776BA" w:rsidRDefault="00DB36E9"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473EB6B9" w14:textId="77777777" w:rsidR="00DB36E9" w:rsidRPr="004776BA" w:rsidRDefault="00DB36E9" w:rsidP="00DB36E9">
      <w:pPr>
        <w:pStyle w:val="para0"/>
        <w:ind w:left="2835" w:hanging="567"/>
        <w:rPr>
          <w:strike/>
          <w:u w:val="single"/>
          <w:lang w:val="en-US"/>
        </w:rPr>
      </w:pPr>
      <w:r w:rsidRPr="004776BA">
        <w:rPr>
          <w:strike/>
          <w:u w:val="single"/>
          <w:lang w:val="en-US"/>
        </w:rPr>
        <w:t>h &gt; 1.0</w:t>
      </w:r>
    </w:p>
    <w:p w14:paraId="4BF4C3C7"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2460D3F7" w14:textId="4C23BBA1" w:rsidR="00DB36E9" w:rsidRDefault="00DB36E9" w:rsidP="005D48C2">
      <w:pPr>
        <w:pStyle w:val="para0"/>
        <w:ind w:left="2835" w:hanging="567"/>
        <w:rPr>
          <w:b/>
          <w:lang w:val="en-US"/>
        </w:rPr>
      </w:pPr>
      <w:r w:rsidRPr="004776BA">
        <w:rPr>
          <w:strike/>
          <w:lang w:val="en-US"/>
        </w:rPr>
        <w:t>initial aiming: between -1.5 per cent and -2.0 per cent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DB36E9" w:rsidRPr="005D48C2" w14:paraId="11280048" w14:textId="77777777" w:rsidTr="005D48C2">
        <w:tc>
          <w:tcPr>
            <w:tcW w:w="1985" w:type="dxa"/>
            <w:tcBorders>
              <w:bottom w:val="single" w:sz="12" w:space="0" w:color="auto"/>
            </w:tcBorders>
            <w:vAlign w:val="center"/>
            <w:hideMark/>
          </w:tcPr>
          <w:p w14:paraId="56E6FFBE" w14:textId="5E508E3E" w:rsidR="00DB36E9" w:rsidRPr="005D48C2" w:rsidRDefault="00DB36E9" w:rsidP="005D48C2">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76EE03B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2411B90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56F4463D"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7437864C"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DB36E9" w14:paraId="577CFD71" w14:textId="77777777" w:rsidTr="005D48C2">
        <w:tc>
          <w:tcPr>
            <w:tcW w:w="1985" w:type="dxa"/>
            <w:tcBorders>
              <w:top w:val="single" w:sz="12" w:space="0" w:color="auto"/>
            </w:tcBorders>
            <w:vAlign w:val="center"/>
            <w:hideMark/>
          </w:tcPr>
          <w:p w14:paraId="469F889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71472EA4" w14:textId="77777777"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52D52F1B" w14:textId="36BC055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DB36E9" w14:paraId="755ECFB4" w14:textId="77777777" w:rsidTr="005D48C2">
        <w:tc>
          <w:tcPr>
            <w:tcW w:w="1985" w:type="dxa"/>
            <w:tcBorders>
              <w:bottom w:val="single" w:sz="4" w:space="0" w:color="auto"/>
            </w:tcBorders>
            <w:vAlign w:val="center"/>
            <w:hideMark/>
          </w:tcPr>
          <w:p w14:paraId="7113C1B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1DFACE37" w14:textId="11262A13"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39C5D3E5" w14:textId="550E99D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DB36E9" w14:paraId="3F0B54D5" w14:textId="77777777" w:rsidTr="005D48C2">
        <w:tc>
          <w:tcPr>
            <w:tcW w:w="1985" w:type="dxa"/>
            <w:tcBorders>
              <w:bottom w:val="single" w:sz="12" w:space="0" w:color="auto"/>
            </w:tcBorders>
            <w:vAlign w:val="center"/>
            <w:hideMark/>
          </w:tcPr>
          <w:p w14:paraId="51533296" w14:textId="613EB8F6"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7FC88A9E" w14:textId="5266BC3F"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B7ABF57" w14:textId="6752609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30C23C42" w14:textId="7603761E" w:rsidR="00DB36E9"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DB36E9" w:rsidRPr="005D48C2">
        <w:rPr>
          <w:b/>
          <w:sz w:val="18"/>
          <w:szCs w:val="18"/>
          <w:lang w:val="en-US"/>
        </w:rPr>
        <w:t>increasing linearly, in relation to the dipped beam headlamp mounting height</w:t>
      </w:r>
    </w:p>
    <w:p w14:paraId="268E7164" w14:textId="77777777" w:rsidR="00DB36E9" w:rsidRPr="005D48C2" w:rsidRDefault="00DB36E9" w:rsidP="00DB36E9">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41A0D2C2" w14:textId="77777777" w:rsidR="00DB36E9" w:rsidRDefault="00DB36E9" w:rsidP="00DB36E9">
      <w:pPr>
        <w:ind w:right="1134"/>
        <w:rPr>
          <w:lang w:val="en-US"/>
        </w:rPr>
      </w:pPr>
    </w:p>
    <w:p w14:paraId="51C2369D" w14:textId="77777777" w:rsidR="00DB36E9" w:rsidRDefault="00DB36E9" w:rsidP="00DB36E9">
      <w:pPr>
        <w:pStyle w:val="para0"/>
        <w:ind w:firstLine="0"/>
        <w:rPr>
          <w:lang w:val="en-US"/>
        </w:rPr>
      </w:pPr>
      <w:r w:rsidRPr="007D3C78">
        <w:rPr>
          <w:lang w:val="en-US"/>
        </w:rPr>
        <w:t xml:space="preserve">The above limits </w:t>
      </w:r>
      <w:r w:rsidRPr="007D3C78">
        <w:rPr>
          <w:strike/>
          <w:lang w:val="en-US"/>
        </w:rPr>
        <w:t>and the initial aiming values</w:t>
      </w:r>
      <w:r w:rsidRPr="007D3C78">
        <w:rPr>
          <w:lang w:val="en-US"/>
        </w:rPr>
        <w:t xml:space="preserve"> are summarized in the diagram below.</w:t>
      </w:r>
    </w:p>
    <w:p w14:paraId="22B61295" w14:textId="77777777" w:rsidR="00DB36E9" w:rsidRDefault="00DB36E9" w:rsidP="00DB36E9">
      <w:pPr>
        <w:pStyle w:val="para0"/>
        <w:ind w:firstLine="0"/>
        <w:rPr>
          <w:b/>
          <w:strike/>
          <w:lang w:val="en-US"/>
        </w:rPr>
      </w:pPr>
      <w:r w:rsidRPr="000F40E7">
        <w:rPr>
          <w:strike/>
          <w:lang w:val="en-US"/>
        </w:rPr>
        <w:t>For category N</w:t>
      </w:r>
      <w:r w:rsidRPr="000F40E7">
        <w:rPr>
          <w:strike/>
          <w:vertAlign w:val="subscript"/>
          <w:lang w:val="en-US"/>
        </w:rPr>
        <w:t>3</w:t>
      </w:r>
      <w:r w:rsidRPr="000F40E7">
        <w:rPr>
          <w:strike/>
          <w:lang w:val="en-US"/>
        </w:rPr>
        <w:t>G (off-road) vehicles, where the headlamps exceed a height of 1,200 mm the limits for the vertical inclination of the cut-off shall be between: -1.5 per cent and -3.5 per cent</w:t>
      </w:r>
    </w:p>
    <w:p w14:paraId="3DF3A709" w14:textId="77777777" w:rsidR="00DB36E9" w:rsidRPr="00B864EE" w:rsidRDefault="00DB36E9" w:rsidP="00DB36E9">
      <w:pPr>
        <w:pStyle w:val="para0"/>
        <w:spacing w:after="0" w:line="240" w:lineRule="auto"/>
        <w:ind w:firstLine="0"/>
        <w:rPr>
          <w:bCs/>
          <w:strike/>
          <w:lang w:val="en-US"/>
        </w:rPr>
      </w:pPr>
      <w:r w:rsidRPr="00B864EE">
        <w:rPr>
          <w:bCs/>
          <w:strike/>
          <w:lang w:val="en-US"/>
        </w:rPr>
        <w:t>The initial aim shall be set between:-2 per cent and -2.5 per cent.</w:t>
      </w:r>
    </w:p>
    <w:p w14:paraId="475BD3FE" w14:textId="77777777" w:rsidR="00DB36E9" w:rsidRDefault="00DB36E9" w:rsidP="00DB36E9">
      <w:pPr>
        <w:ind w:left="2268" w:right="1134" w:hanging="1134"/>
        <w:jc w:val="center"/>
      </w:pPr>
      <w:r>
        <w:rPr>
          <w:noProof/>
          <w:lang w:val="en-US" w:eastAsia="zh-CN"/>
        </w:rPr>
        <mc:AlternateContent>
          <mc:Choice Requires="wpg">
            <w:drawing>
              <wp:anchor distT="0" distB="0" distL="114300" distR="114300" simplePos="0" relativeHeight="251667456" behindDoc="0" locked="0" layoutInCell="1" allowOverlap="1" wp14:anchorId="15165486" wp14:editId="14B552D4">
                <wp:simplePos x="0" y="0"/>
                <wp:positionH relativeFrom="column">
                  <wp:posOffset>1530985</wp:posOffset>
                </wp:positionH>
                <wp:positionV relativeFrom="paragraph">
                  <wp:posOffset>-22860</wp:posOffset>
                </wp:positionV>
                <wp:extent cx="3068320" cy="2809240"/>
                <wp:effectExtent l="22225" t="15240" r="14605" b="2349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02735F" id="Group 13" o:spid="_x0000_s1026" style="position:absolute;margin-left:120.55pt;margin-top:-1.8pt;width:241.6pt;height:221.2pt;z-index:251667456"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mc:Fallback>
        </mc:AlternateContent>
      </w:r>
      <w:r w:rsidRPr="00805CB3">
        <w:object w:dxaOrig="8087" w:dyaOrig="7561" w14:anchorId="25BB8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05pt;height:222.1pt" o:ole="">
            <v:imagedata r:id="rId9" o:title=""/>
          </v:shape>
          <o:OLEObject Type="Embed" ProgID="PBrush" ShapeID="_x0000_i1025" DrawAspect="Content" ObjectID="_1642504459" r:id="rId10"/>
        </w:object>
      </w:r>
    </w:p>
    <w:p w14:paraId="28E09B4E" w14:textId="77777777" w:rsidR="00DB36E9" w:rsidRDefault="00DB36E9" w:rsidP="00DB36E9">
      <w:pPr>
        <w:ind w:left="2268" w:right="1134" w:hanging="1134"/>
        <w:jc w:val="center"/>
        <w:rPr>
          <w:noProof/>
          <w:lang w:val="en-US"/>
        </w:rPr>
      </w:pPr>
    </w:p>
    <w:p w14:paraId="4BB2C59E" w14:textId="77777777" w:rsidR="00DB36E9" w:rsidRDefault="00DB36E9" w:rsidP="00DB36E9">
      <w:pPr>
        <w:ind w:left="2268" w:right="1134" w:hanging="1134"/>
        <w:rPr>
          <w:lang w:val="en-US"/>
        </w:rPr>
      </w:pPr>
      <w:r>
        <w:rPr>
          <w:noProof/>
          <w:lang w:val="en-US" w:eastAsia="zh-CN"/>
        </w:rPr>
        <w:lastRenderedPageBreak/>
        <w:drawing>
          <wp:inline distT="0" distB="0" distL="0" distR="0" wp14:anchorId="0B3740B2" wp14:editId="61B9B08C">
            <wp:extent cx="4606506" cy="3926267"/>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031" r="5879"/>
                    <a:stretch/>
                  </pic:blipFill>
                  <pic:spPr bwMode="auto">
                    <a:xfrm>
                      <a:off x="0" y="0"/>
                      <a:ext cx="4732046" cy="4033269"/>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w:t>
      </w:r>
    </w:p>
    <w:p w14:paraId="245426C7" w14:textId="77777777" w:rsidR="00DB36E9" w:rsidRDefault="00DB36E9" w:rsidP="00DB36E9">
      <w:pPr>
        <w:ind w:left="2268" w:right="1134" w:hanging="1134"/>
        <w:rPr>
          <w:lang w:val="en-US"/>
        </w:rPr>
      </w:pPr>
    </w:p>
    <w:p w14:paraId="4B6054BE" w14:textId="77777777" w:rsidR="00DB36E9" w:rsidRPr="00CF630B" w:rsidRDefault="00DB36E9"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499FDC8F" w14:textId="77777777" w:rsidR="00DB36E9" w:rsidRPr="00FA3504" w:rsidRDefault="00DB36E9" w:rsidP="00DB36E9">
      <w:pPr>
        <w:pStyle w:val="para0"/>
        <w:rPr>
          <w:lang w:val="en-US"/>
        </w:rPr>
      </w:pPr>
      <w:r w:rsidRPr="00CF630B">
        <w:rPr>
          <w:lang w:val="en-US"/>
        </w:rPr>
        <w:t>“</w:t>
      </w:r>
      <w:r w:rsidRPr="00FA3504">
        <w:rPr>
          <w:lang w:val="en-US"/>
        </w:rPr>
        <w:t>6.2.6.2.</w:t>
      </w:r>
      <w:r w:rsidRPr="00FA3504">
        <w:rPr>
          <w:lang w:val="en-US"/>
        </w:rPr>
        <w:tab/>
        <w:t>Headlamp levelling device</w:t>
      </w:r>
    </w:p>
    <w:p w14:paraId="14DD2422" w14:textId="77777777" w:rsidR="00DB36E9" w:rsidRPr="00FA3504" w:rsidRDefault="00DB36E9" w:rsidP="00DB36E9">
      <w:pPr>
        <w:pStyle w:val="para0"/>
        <w:tabs>
          <w:tab w:val="left" w:pos="1134"/>
        </w:tabs>
        <w:rPr>
          <w:lang w:val="en-US"/>
        </w:rPr>
      </w:pPr>
      <w:r w:rsidRPr="00FA3504">
        <w:rPr>
          <w:lang w:val="en-US"/>
        </w:rPr>
        <w:t>6.2.6.2.1.</w:t>
      </w:r>
      <w:r w:rsidRPr="00FA3504">
        <w:rPr>
          <w:lang w:val="en-US"/>
        </w:rPr>
        <w:tab/>
        <w:t>In the case where a headlamp levelling device is necessary to satisfy the requirements of paragraphs 6.2.6.1.1. and 6.2.6.1.2., the device shall be automatic.</w:t>
      </w:r>
    </w:p>
    <w:p w14:paraId="02BFD916" w14:textId="77777777" w:rsidR="00DB36E9" w:rsidRPr="00241905" w:rsidRDefault="00DB36E9" w:rsidP="00DB36E9">
      <w:pPr>
        <w:pStyle w:val="para0"/>
        <w:rPr>
          <w:strike/>
          <w:lang w:val="en-US"/>
        </w:rPr>
      </w:pPr>
      <w:r w:rsidRPr="00241905">
        <w:rPr>
          <w:lang w:val="en-US"/>
        </w:rPr>
        <w:t>[</w:t>
      </w:r>
      <w:r w:rsidRPr="00241905">
        <w:rPr>
          <w:strike/>
          <w:lang w:val="en-US"/>
        </w:rPr>
        <w:t>6.2.6.2.2.</w:t>
      </w:r>
      <w:r w:rsidRPr="00241905">
        <w:rPr>
          <w:strike/>
          <w:lang w:val="en-US"/>
        </w:rPr>
        <w:tab/>
        <w:t>However, devices which are adjusted manually, either continuously or non</w:t>
      </w:r>
      <w:r w:rsidRPr="00241905">
        <w:rPr>
          <w:strike/>
          <w:lang w:val="en-US"/>
        </w:rPr>
        <w:noBreakHyphen/>
        <w:t xml:space="preserve">continuously, shall be permitted, provided </w:t>
      </w:r>
      <w:r w:rsidRPr="00241905">
        <w:rPr>
          <w:b/>
          <w:strike/>
          <w:lang w:val="en-US"/>
        </w:rPr>
        <w:t>that</w:t>
      </w:r>
      <w:r w:rsidRPr="00241905">
        <w:rPr>
          <w:strike/>
          <w:lang w:val="en-US"/>
        </w:rPr>
        <w:t xml:space="preserve"> they have a stop position at which the lamps can be returned to the initial inclination defined in paragraph 6.2.6.1.1. by means of the usual adjusting screws or similar means.</w:t>
      </w:r>
    </w:p>
    <w:p w14:paraId="14F7E554" w14:textId="77777777" w:rsidR="00DB36E9" w:rsidRPr="00241905" w:rsidRDefault="00DB36E9" w:rsidP="00DB36E9">
      <w:pPr>
        <w:pStyle w:val="para0"/>
        <w:ind w:firstLine="0"/>
        <w:rPr>
          <w:strike/>
          <w:lang w:val="en-US"/>
        </w:rPr>
      </w:pPr>
      <w:r w:rsidRPr="00241905">
        <w:rPr>
          <w:strike/>
          <w:lang w:val="en-US"/>
        </w:rPr>
        <w:t>These manually adjustable devices shall be operable</w:t>
      </w:r>
      <w:r w:rsidRPr="00241905">
        <w:rPr>
          <w:strike/>
          <w:color w:val="FF0000"/>
          <w:lang w:val="en-US"/>
        </w:rPr>
        <w:t xml:space="preserve"> </w:t>
      </w:r>
      <w:r w:rsidRPr="00241905">
        <w:rPr>
          <w:strike/>
          <w:lang w:val="en-US"/>
        </w:rPr>
        <w:t>from the driver's seat.</w:t>
      </w:r>
    </w:p>
    <w:p w14:paraId="0525942C" w14:textId="77777777" w:rsidR="00DB36E9" w:rsidRPr="00241905" w:rsidRDefault="00DB36E9" w:rsidP="00DB36E9">
      <w:pPr>
        <w:pStyle w:val="para0"/>
        <w:ind w:firstLine="0"/>
        <w:rPr>
          <w:strike/>
          <w:lang w:val="en-US"/>
        </w:rPr>
      </w:pPr>
      <w:r w:rsidRPr="00241905">
        <w:rPr>
          <w:strike/>
          <w:lang w:val="en-US"/>
        </w:rPr>
        <w:t>Continually adjustable devices shall have reference marks indicating the loading conditions that require adjustment of the dipped-beam.</w:t>
      </w:r>
    </w:p>
    <w:p w14:paraId="0DB21F80" w14:textId="77777777" w:rsidR="00DB36E9" w:rsidRPr="00241905" w:rsidRDefault="00DB36E9" w:rsidP="00DB36E9">
      <w:pPr>
        <w:pStyle w:val="para0"/>
        <w:ind w:firstLine="0"/>
        <w:rPr>
          <w:strike/>
          <w:lang w:val="en-US"/>
        </w:rPr>
      </w:pPr>
      <w:r w:rsidRPr="00241905">
        <w:rPr>
          <w:strike/>
          <w:lang w:val="en-US"/>
        </w:rPr>
        <w:t>The number of positions on devices which are not continuously adjustable shall be such as to ensure compliance with the range of values prescribed in paragraph 6.2.6.1.2. in all the loading conditions defined in Annex 5.</w:t>
      </w:r>
    </w:p>
    <w:p w14:paraId="056F17DE" w14:textId="77777777" w:rsidR="00DB36E9" w:rsidRPr="00F9571F" w:rsidRDefault="00DB36E9" w:rsidP="00DB36E9">
      <w:pPr>
        <w:pStyle w:val="para0"/>
        <w:ind w:firstLine="0"/>
        <w:rPr>
          <w:lang w:val="en-US"/>
        </w:rPr>
      </w:pPr>
      <w:r w:rsidRPr="00241905">
        <w:rPr>
          <w:strike/>
          <w:lang w:val="en-US"/>
        </w:rPr>
        <w:t>For these devices also, the loading conditions of Annex 5 that require adjustment of the dipped-beam shall be clearly marked near the control of the device (Annex 8).</w:t>
      </w:r>
      <w:r w:rsidRPr="00241905">
        <w:rPr>
          <w:lang w:val="en-US"/>
        </w:rPr>
        <w:t>]</w:t>
      </w:r>
    </w:p>
    <w:p w14:paraId="3EC8C44C" w14:textId="08D2FC27" w:rsidR="00DB36E9" w:rsidRDefault="00DB36E9" w:rsidP="005D48C2">
      <w:pPr>
        <w:pStyle w:val="para0"/>
        <w:rPr>
          <w:lang w:val="en-US"/>
        </w:rPr>
      </w:pPr>
      <w:r w:rsidRPr="006E4F6E">
        <w:rPr>
          <w:lang w:val="en-US"/>
        </w:rPr>
        <w:t>6.2.6.2.</w:t>
      </w:r>
      <w:r>
        <w:rPr>
          <w:lang w:val="en-US"/>
        </w:rPr>
        <w:t>[</w:t>
      </w:r>
      <w:r w:rsidRPr="00241905">
        <w:rPr>
          <w:strike/>
          <w:lang w:val="en-US"/>
        </w:rPr>
        <w:t>3</w:t>
      </w:r>
      <w:r w:rsidRPr="006E4F6E">
        <w:rPr>
          <w:lang w:val="en-US"/>
        </w:rPr>
        <w:t>.</w:t>
      </w:r>
      <w:r w:rsidRPr="00241905">
        <w:rPr>
          <w:b/>
          <w:bCs/>
          <w:lang w:val="en-US"/>
        </w:rPr>
        <w:t>2.</w:t>
      </w:r>
      <w:r w:rsidRPr="00241905">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Pr>
          <w:lang w:val="en-US"/>
        </w:rPr>
        <w:t>[</w:t>
      </w:r>
      <w:r w:rsidRPr="00241905">
        <w:rPr>
          <w:strike/>
          <w:lang w:val="en-US"/>
        </w:rPr>
        <w:t>s</w:t>
      </w:r>
      <w:r>
        <w:rPr>
          <w:lang w:val="en-US"/>
        </w:rPr>
        <w:t>]</w:t>
      </w:r>
      <w:r w:rsidRPr="006E4F6E">
        <w:rPr>
          <w:lang w:val="en-US"/>
        </w:rPr>
        <w:t xml:space="preserve"> 6.2.6.2.1. </w:t>
      </w:r>
      <w:r>
        <w:rPr>
          <w:lang w:val="en-US"/>
        </w:rPr>
        <w:t>[</w:t>
      </w:r>
      <w:r w:rsidRPr="00241905">
        <w:rPr>
          <w:strike/>
          <w:lang w:val="en-US"/>
        </w:rPr>
        <w:t>and 6.2.6.2.2.</w:t>
      </w:r>
      <w:r>
        <w:rPr>
          <w:lang w:val="en-US"/>
        </w:rPr>
        <w:t>]</w:t>
      </w:r>
      <w:r w:rsidRPr="006E4F6E">
        <w:rPr>
          <w:lang w:val="en-US"/>
        </w:rPr>
        <w:t xml:space="preserve">, the </w:t>
      </w:r>
      <w:r w:rsidRPr="00241905">
        <w:rPr>
          <w:b/>
          <w:bCs/>
          <w:lang w:val="en-US"/>
        </w:rPr>
        <w:t>passing beam</w:t>
      </w:r>
      <w:r>
        <w:rPr>
          <w:lang w:val="en-US"/>
        </w:rPr>
        <w:t xml:space="preserve"> </w:t>
      </w:r>
      <w:r w:rsidRPr="00241905">
        <w:rPr>
          <w:b/>
          <w:bCs/>
          <w:lang w:val="en-US"/>
        </w:rPr>
        <w:t>(</w:t>
      </w:r>
      <w:r w:rsidRPr="006E4F6E">
        <w:rPr>
          <w:lang w:val="en-US"/>
        </w:rPr>
        <w:t>dipped-beam</w:t>
      </w:r>
      <w:r w:rsidRPr="00241905">
        <w:rPr>
          <w:b/>
          <w:bCs/>
          <w:lang w:val="en-US"/>
        </w:rPr>
        <w:t>)</w:t>
      </w:r>
      <w:r w:rsidRPr="006E4F6E">
        <w:rPr>
          <w:lang w:val="en-US"/>
        </w:rPr>
        <w:t xml:space="preserve">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371F7100" w14:textId="77777777" w:rsidR="00DB36E9" w:rsidRDefault="00DB36E9" w:rsidP="00DB36E9">
      <w:pPr>
        <w:spacing w:after="120"/>
        <w:ind w:left="1134" w:right="1134"/>
        <w:jc w:val="both"/>
      </w:pPr>
      <w:r w:rsidRPr="00F309E3">
        <w:rPr>
          <w:i/>
        </w:rPr>
        <w:t>Paragraph 6.2.6.</w:t>
      </w:r>
      <w:r>
        <w:rPr>
          <w:i/>
        </w:rPr>
        <w:t>3</w:t>
      </w:r>
      <w:r w:rsidRPr="00F309E3">
        <w:rPr>
          <w:i/>
        </w:rPr>
        <w:t>.</w:t>
      </w:r>
      <w:r w:rsidRPr="00CF630B">
        <w:rPr>
          <w:i/>
        </w:rPr>
        <w:t xml:space="preserve"> and related sub-paragraphs, </w:t>
      </w:r>
      <w:r w:rsidRPr="00CF630B">
        <w:t>amend to read:</w:t>
      </w:r>
    </w:p>
    <w:p w14:paraId="4C3EDB3A" w14:textId="77777777" w:rsidR="00DB36E9" w:rsidRPr="00F309E3" w:rsidRDefault="00DB36E9" w:rsidP="00DB36E9">
      <w:pPr>
        <w:spacing w:after="120"/>
        <w:ind w:left="2268" w:right="1134" w:hanging="1134"/>
        <w:jc w:val="both"/>
      </w:pPr>
      <w:r w:rsidRPr="00F309E3">
        <w:rPr>
          <w:iCs/>
        </w:rPr>
        <w:t>“</w:t>
      </w:r>
      <w:r w:rsidRPr="00F309E3">
        <w:t>6.2.6.3.</w:t>
      </w:r>
      <w:r w:rsidRPr="00F309E3">
        <w:tab/>
        <w:t>Measuring procedure</w:t>
      </w:r>
    </w:p>
    <w:p w14:paraId="226D0BD3" w14:textId="77777777" w:rsidR="00DB36E9" w:rsidRPr="00626E4E" w:rsidRDefault="00DB36E9"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w:t>
      </w:r>
      <w:r w:rsidRPr="00F309E3">
        <w:rPr>
          <w:strike/>
          <w:lang w:val="en-US"/>
        </w:rPr>
        <w:t>vertica</w:t>
      </w:r>
      <w:r w:rsidRPr="00F309E3">
        <w:rPr>
          <w:lang w:val="en-US"/>
        </w:rPr>
        <w:t>l inclination, the vertical inclination</w:t>
      </w:r>
      <w:r w:rsidRPr="00626E4E">
        <w:rPr>
          <w:lang w:val="en-US"/>
        </w:rPr>
        <w:t xml:space="preserve"> of the </w:t>
      </w:r>
      <w:r w:rsidRPr="00626E4E">
        <w:rPr>
          <w:b/>
          <w:lang w:val="en-US"/>
        </w:rPr>
        <w:t>passing-beam (</w:t>
      </w:r>
      <w:r w:rsidRPr="00AF270C">
        <w:rPr>
          <w:bCs/>
          <w:lang w:val="en-US"/>
        </w:rPr>
        <w:t>dipped-beam</w:t>
      </w:r>
      <w:r w:rsidRPr="00626E4E">
        <w:rPr>
          <w:lang w:val="en-US"/>
        </w:rPr>
        <w:t xml:space="preserve">), expressed in per cent, shall be </w:t>
      </w:r>
      <w:r w:rsidRPr="00626E4E">
        <w:rPr>
          <w:lang w:val="en-US"/>
        </w:rPr>
        <w:lastRenderedPageBreak/>
        <w:t>measured in static conditions under all the loading conditions defined in Annex 5.</w:t>
      </w:r>
    </w:p>
    <w:p w14:paraId="4FC0265F" w14:textId="4596EE76" w:rsidR="00DB36E9" w:rsidRPr="007D3C78" w:rsidRDefault="00DB36E9" w:rsidP="005D48C2">
      <w:pPr>
        <w:pStyle w:val="para0"/>
        <w:rPr>
          <w:lang w:val="en-US"/>
        </w:rPr>
      </w:pPr>
      <w:r w:rsidRPr="00626E4E">
        <w:rPr>
          <w:lang w:val="en-US"/>
        </w:rPr>
        <w:t>6.2.6.3.2.</w:t>
      </w:r>
      <w:r w:rsidRPr="00626E4E">
        <w:rPr>
          <w:lang w:val="en-US"/>
        </w:rPr>
        <w:tab/>
        <w:t xml:space="preserve">The measurement of the variation of </w:t>
      </w:r>
      <w:r w:rsidRPr="00626E4E">
        <w:rPr>
          <w:b/>
          <w:lang w:val="en-US"/>
        </w:rPr>
        <w:t>passing-beam (</w:t>
      </w:r>
      <w:r w:rsidRPr="00AF270C">
        <w:rPr>
          <w:bCs/>
          <w:lang w:val="en-US"/>
        </w:rPr>
        <w:t>dipped</w:t>
      </w:r>
      <w:r w:rsidRPr="00AF270C">
        <w:rPr>
          <w:bCs/>
          <w:lang w:val="en-US"/>
        </w:rPr>
        <w:noBreakHyphen/>
        <w:t>beam</w:t>
      </w:r>
      <w:r w:rsidRPr="00626E4E">
        <w:rPr>
          <w:b/>
          <w:lang w:val="en-US"/>
        </w:rPr>
        <w:t>)</w:t>
      </w:r>
      <w:r w:rsidRPr="00626E4E">
        <w:rPr>
          <w:lang w:val="en-US"/>
        </w:rPr>
        <w:t xml:space="preserve"> </w:t>
      </w:r>
      <w:r w:rsidRPr="00626E4E">
        <w:rPr>
          <w:b/>
          <w:lang w:val="en-US"/>
        </w:rPr>
        <w:t>downward vertical</w:t>
      </w:r>
      <w:r w:rsidRPr="00626E4E">
        <w:rPr>
          <w:lang w:val="en-US"/>
        </w:rPr>
        <w:t xml:space="preserve"> inclination as a function of load shall be carried out in accordance with the</w:t>
      </w:r>
      <w:r w:rsidRPr="007D3C78">
        <w:rPr>
          <w:lang w:val="en-US"/>
        </w:rPr>
        <w:t xml:space="preserve"> test procedure set out in Annex 6.</w:t>
      </w:r>
      <w:r>
        <w:rPr>
          <w:lang w:val="en-US"/>
        </w:rPr>
        <w:t>”</w:t>
      </w:r>
    </w:p>
    <w:p w14:paraId="198CDF09" w14:textId="7CDD91E8" w:rsidR="00DB36E9" w:rsidRPr="00626E4E" w:rsidRDefault="00DB36E9" w:rsidP="00DB36E9">
      <w:pPr>
        <w:spacing w:after="120"/>
        <w:ind w:left="2268" w:right="1134" w:hanging="1134"/>
        <w:jc w:val="both"/>
      </w:pPr>
      <w:r w:rsidRPr="00626E4E">
        <w:rPr>
          <w:i/>
        </w:rPr>
        <w:t>Paragraph 6.2.9.3</w:t>
      </w:r>
      <w:r w:rsidR="006B6C1D">
        <w:rPr>
          <w:i/>
        </w:rPr>
        <w:t>.</w:t>
      </w:r>
      <w:r w:rsidRPr="00626E4E">
        <w:rPr>
          <w:i/>
        </w:rPr>
        <w:t xml:space="preserve">, </w:t>
      </w:r>
      <w:r w:rsidRPr="00626E4E">
        <w:t>amend to read:</w:t>
      </w:r>
    </w:p>
    <w:p w14:paraId="4C550B8D" w14:textId="77777777" w:rsidR="00DB36E9" w:rsidRPr="00626E4E" w:rsidRDefault="00DB36E9" w:rsidP="00DB36E9">
      <w:pPr>
        <w:tabs>
          <w:tab w:val="left" w:pos="5949"/>
        </w:tabs>
        <w:spacing w:after="120"/>
        <w:ind w:left="2268" w:right="1134" w:hanging="1134"/>
        <w:jc w:val="both"/>
        <w:rPr>
          <w:strike/>
        </w:rPr>
      </w:pPr>
      <w:r>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75A8EB4C" w14:textId="77777777" w:rsidR="00DB36E9" w:rsidRPr="00626E4E" w:rsidRDefault="00DB36E9"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w:t>
      </w:r>
      <w:r w:rsidRPr="00AF270C">
        <w:rPr>
          <w:b/>
          <w:bCs/>
        </w:rPr>
        <w:t>passing beam</w:t>
      </w:r>
      <w:r w:rsidRPr="00626E4E">
        <w:t xml:space="preserve"> </w:t>
      </w:r>
      <w:r w:rsidRPr="00AF270C">
        <w:rPr>
          <w:b/>
          <w:bCs/>
        </w:rPr>
        <w:t>(</w:t>
      </w:r>
      <w:r w:rsidRPr="00626E4E">
        <w:t>dipped-beam</w:t>
      </w:r>
      <w:r w:rsidRPr="00AF270C">
        <w:rPr>
          <w:b/>
          <w:bCs/>
        </w:rPr>
        <w:t>)</w:t>
      </w:r>
      <w:r w:rsidRPr="00626E4E">
        <w:t xml:space="preserve">, as indicated in the communication form for the type approval of the device, is applied. </w:t>
      </w:r>
    </w:p>
    <w:p w14:paraId="7DDF370C" w14:textId="4A47053A" w:rsidR="00DB36E9" w:rsidRPr="00626E4E" w:rsidRDefault="00DB36E9" w:rsidP="005D48C2">
      <w:pPr>
        <w:tabs>
          <w:tab w:val="left" w:pos="6374"/>
        </w:tabs>
        <w:spacing w:after="120"/>
        <w:ind w:left="2268" w:right="1134"/>
        <w:jc w:val="both"/>
        <w:rPr>
          <w:bCs/>
        </w:rPr>
      </w:pPr>
      <w:r w:rsidRPr="00626E4E">
        <w:rPr>
          <w:bCs/>
        </w:rPr>
        <w:t xml:space="preserve">In the case of </w:t>
      </w:r>
      <w:r w:rsidRPr="00AF270C">
        <w:rPr>
          <w:b/>
          <w:bCs/>
        </w:rPr>
        <w:t>passing beam</w:t>
      </w:r>
      <w:r w:rsidRPr="00626E4E">
        <w:t xml:space="preserve"> </w:t>
      </w:r>
      <w:r w:rsidRPr="00AF270C">
        <w:rPr>
          <w:b/>
          <w:bCs/>
        </w:rPr>
        <w:t>(</w:t>
      </w:r>
      <w:r w:rsidRPr="00626E4E">
        <w:t>dipped-beam</w:t>
      </w:r>
      <w:r w:rsidRPr="00AF270C">
        <w:rPr>
          <w:b/>
          <w:bCs/>
        </w:rPr>
        <w:t>)</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774FC5E9" w14:textId="77777777" w:rsidR="00DB36E9" w:rsidRPr="008239BB" w:rsidRDefault="00DB36E9" w:rsidP="00DB36E9">
      <w:pPr>
        <w:pStyle w:val="CommentText"/>
        <w:tabs>
          <w:tab w:val="left" w:pos="8505"/>
        </w:tabs>
        <w:spacing w:after="120"/>
        <w:ind w:left="2268" w:right="1134" w:hanging="1134"/>
      </w:pPr>
      <w:r w:rsidRPr="008239BB">
        <w:rPr>
          <w:i/>
        </w:rPr>
        <w:t>Paragraph 6.22.6.1. and related sub-paragraphs</w:t>
      </w:r>
      <w:r w:rsidRPr="008239BB">
        <w:t>, amend to read:</w:t>
      </w:r>
    </w:p>
    <w:p w14:paraId="4A6873E7" w14:textId="77777777" w:rsidR="00DB36E9" w:rsidRPr="002A575E" w:rsidRDefault="00DB36E9" w:rsidP="00DB36E9">
      <w:pPr>
        <w:pStyle w:val="para0"/>
        <w:outlineLvl w:val="2"/>
        <w:rPr>
          <w:lang w:val="en-US"/>
        </w:rPr>
      </w:pPr>
      <w:r>
        <w:rPr>
          <w:lang w:val="en-US"/>
        </w:rPr>
        <w:t>“</w:t>
      </w:r>
      <w:r w:rsidRPr="002A575E">
        <w:rPr>
          <w:lang w:val="en-US"/>
        </w:rPr>
        <w:t>6.22.6.1.</w:t>
      </w:r>
      <w:r w:rsidRPr="002A575E">
        <w:rPr>
          <w:lang w:val="en-US"/>
        </w:rPr>
        <w:tab/>
        <w:t>Vertical orientation:</w:t>
      </w:r>
    </w:p>
    <w:p w14:paraId="2433534A" w14:textId="77777777" w:rsidR="00DB36E9" w:rsidRPr="00626E4E" w:rsidRDefault="00DB36E9" w:rsidP="00DB36E9">
      <w:pPr>
        <w:pStyle w:val="para0"/>
        <w:rPr>
          <w:lang w:val="en-US"/>
        </w:rPr>
      </w:pPr>
      <w:r w:rsidRPr="002A575E">
        <w:rPr>
          <w:lang w:val="en-US"/>
        </w:rPr>
        <w:t>6.22.6.1.1.</w:t>
      </w:r>
      <w:r w:rsidRPr="002A575E">
        <w:rPr>
          <w:lang w:val="en-US"/>
        </w:rPr>
        <w:tab/>
        <w:t xml:space="preserve">The </w:t>
      </w:r>
      <w:r w:rsidRPr="00626E4E">
        <w:rPr>
          <w:lang w:val="en-US"/>
        </w:rPr>
        <w:t xml:space="preserve">initial downward inclination of the cut-off of the basic passing-beam </w:t>
      </w:r>
      <w:r w:rsidRPr="0017318F">
        <w:rPr>
          <w:b/>
          <w:bCs/>
          <w:lang w:val="en-US"/>
        </w:rPr>
        <w:t>(dipped-beam)</w:t>
      </w:r>
      <w:r w:rsidRPr="00626E4E">
        <w:rPr>
          <w:lang w:val="en-US"/>
        </w:rPr>
        <w:t xml:space="preserve"> to be set in the unladen vehicle state with one person in the driver's seat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on each vehicle, close to either the front lighting system or the manufacturer's plate, by the symbol shown in Annex 7.</w:t>
      </w:r>
    </w:p>
    <w:p w14:paraId="600F06B6" w14:textId="77777777" w:rsidR="00DB36E9" w:rsidRPr="00626E4E" w:rsidRDefault="00DB36E9" w:rsidP="00DB36E9">
      <w:pPr>
        <w:pStyle w:val="para0"/>
        <w:rPr>
          <w:b/>
          <w:lang w:val="en-US"/>
        </w:rPr>
      </w:pPr>
      <w:r w:rsidRPr="00626E4E">
        <w:rPr>
          <w:lang w:val="en-US"/>
        </w:rPr>
        <w:tab/>
        <w:t xml:space="preserve">Where differing initial downward inclination are specified by the manufacturer for different lighting units that provide or contribute to the cut-off of the basic passing beam </w:t>
      </w:r>
      <w:r w:rsidRPr="0017318F">
        <w:rPr>
          <w:b/>
          <w:bCs/>
          <w:lang w:val="en-US"/>
        </w:rPr>
        <w:t>(dipped-beam)</w:t>
      </w:r>
      <w:r w:rsidRPr="00626E4E">
        <w:rPr>
          <w:lang w:val="en-US"/>
        </w:rPr>
        <w:t>,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manufacturer</w:t>
      </w:r>
      <w:r w:rsidRPr="00626E4E">
        <w:rPr>
          <w:b/>
          <w:lang w:val="en-US"/>
        </w:rPr>
        <w:t>'</w:t>
      </w:r>
      <w:r w:rsidRPr="00626E4E">
        <w:rPr>
          <w:lang w:val="en-US"/>
        </w:rPr>
        <w:t xml:space="preserve">s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3B81633D" w14:textId="77777777" w:rsidR="00DB36E9" w:rsidRPr="00626E4E" w:rsidRDefault="00DB36E9" w:rsidP="00DB36E9">
      <w:pPr>
        <w:pStyle w:val="para0"/>
        <w:rPr>
          <w:b/>
          <w:lang w:val="en-US"/>
        </w:rPr>
      </w:pPr>
      <w:r w:rsidRPr="00626E4E">
        <w:rPr>
          <w:b/>
          <w:lang w:val="en-US"/>
        </w:rPr>
        <w:tab/>
        <w:t>The value(s) of this (these) indicated vertical orientation(s) shall be defined by the vehicle manufacturer in the range prescribed in paragraph 6.2.6.1.2. in relation to the mounting height</w:t>
      </w:r>
      <w:r w:rsidRPr="00626E4E">
        <w:rPr>
          <w:lang w:val="en-US"/>
        </w:rPr>
        <w:t xml:space="preserve"> </w:t>
      </w:r>
      <w:r w:rsidRPr="00626E4E">
        <w:rPr>
          <w:b/>
          <w:lang w:val="en-US"/>
        </w:rPr>
        <w:t>of the lighting units that provide or contribute to the cut-off of the basic passing beam (dipped-beam).</w:t>
      </w:r>
    </w:p>
    <w:p w14:paraId="6DC8DCF2" w14:textId="77777777" w:rsidR="00DB36E9" w:rsidRPr="006E4F6E" w:rsidRDefault="00DB36E9" w:rsidP="00DB36E9">
      <w:pPr>
        <w:pStyle w:val="para0"/>
        <w:rPr>
          <w:b/>
          <w:lang w:val="en-US"/>
        </w:rPr>
      </w:pPr>
      <w:r w:rsidRPr="00626E4E">
        <w:rPr>
          <w:b/>
          <w:lang w:val="en-US"/>
        </w:rPr>
        <w:tab/>
        <w:t>Different values of initial downward vertical orientation for different variants/versions of the same vehicle type can be defined, provided that only the pertinent value is indicated</w:t>
      </w:r>
      <w:r w:rsidRPr="002A575E">
        <w:rPr>
          <w:b/>
          <w:lang w:val="en-US"/>
        </w:rPr>
        <w:t xml:space="preserve"> on each variant/version.</w:t>
      </w:r>
    </w:p>
    <w:p w14:paraId="4DD11C2F" w14:textId="77777777" w:rsidR="00DB36E9" w:rsidRPr="006E4F6E" w:rsidRDefault="00DB36E9"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D112C0">
        <w:rPr>
          <w:lang w:val="en-US"/>
        </w:rPr>
        <w:t>passing</w:t>
      </w:r>
      <w:r>
        <w:rPr>
          <w:lang w:val="en-US"/>
        </w:rPr>
        <w:t xml:space="preserve"> </w:t>
      </w:r>
      <w:r w:rsidRPr="006E4F6E">
        <w:rPr>
          <w:lang w:val="en-US"/>
        </w:rPr>
        <w:t xml:space="preserve">beam </w:t>
      </w:r>
      <w:r w:rsidRPr="0017318F">
        <w:rPr>
          <w:b/>
          <w:bCs/>
          <w:lang w:val="en-US"/>
        </w:rPr>
        <w:t>(dipped-beam)</w:t>
      </w:r>
      <w:r>
        <w:rPr>
          <w:lang w:val="en-US"/>
        </w:rPr>
        <w:t xml:space="preserve"> </w:t>
      </w:r>
      <w:r w:rsidRPr="006E4F6E">
        <w:rPr>
          <w:lang w:val="en-US"/>
        </w:rPr>
        <w:t xml:space="preserve">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6A33230B" w14:textId="77777777" w:rsidR="00DB36E9" w:rsidRPr="006E4F6E" w:rsidRDefault="00DB36E9"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 xml:space="preserve">case the passing beam </w:t>
      </w:r>
      <w:r w:rsidRPr="0017318F">
        <w:rPr>
          <w:b/>
          <w:bCs/>
          <w:lang w:val="en-US"/>
        </w:rPr>
        <w:t>(dipped-beam)</w:t>
      </w:r>
      <w:r w:rsidRPr="00626E4E">
        <w:rPr>
          <w:lang w:val="en-US"/>
        </w:rPr>
        <w:t xml:space="preserve">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w:t>
      </w:r>
      <w:r w:rsidRPr="006E4F6E">
        <w:rPr>
          <w:lang w:val="en-US"/>
        </w:rPr>
        <w:lastRenderedPageBreak/>
        <w:t>item 9.</w:t>
      </w:r>
      <w:r>
        <w:rPr>
          <w:lang w:val="en-US"/>
        </w:rPr>
        <w:t>3</w:t>
      </w:r>
      <w:r w:rsidRPr="006E4F6E">
        <w:rPr>
          <w:lang w:val="en-US"/>
        </w:rPr>
        <w:t xml:space="preserve">. of the communication form conforming to the model in Annex 1 to </w:t>
      </w:r>
      <w:r w:rsidRPr="0017318F">
        <w:rPr>
          <w:lang w:val="en-US"/>
        </w:rPr>
        <w:t>UN</w:t>
      </w:r>
      <w:r>
        <w:rPr>
          <w:lang w:val="en-US"/>
        </w:rPr>
        <w:t xml:space="preserve"> </w:t>
      </w:r>
      <w:r w:rsidRPr="006E4F6E">
        <w:rPr>
          <w:lang w:val="en-US"/>
        </w:rPr>
        <w:t>Regulation No. 123</w:t>
      </w:r>
      <w:r>
        <w:rPr>
          <w:lang w:val="en-US"/>
        </w:rPr>
        <w:t xml:space="preserve"> </w:t>
      </w:r>
      <w:r w:rsidRPr="0017318F">
        <w:rPr>
          <w:lang w:val="en-US"/>
        </w:rPr>
        <w:t>or item 9.3.3. in Annex 1 to UN Regulation No. 149</w:t>
      </w:r>
      <w:r w:rsidRPr="006E4F6E">
        <w:rPr>
          <w:lang w:val="en-US"/>
        </w:rPr>
        <w:t>.</w:t>
      </w:r>
    </w:p>
    <w:p w14:paraId="46D45362" w14:textId="77777777" w:rsidR="00DB36E9" w:rsidRPr="00FA3504" w:rsidRDefault="00DB36E9" w:rsidP="00DB36E9">
      <w:pPr>
        <w:pStyle w:val="para0"/>
        <w:tabs>
          <w:tab w:val="left" w:pos="8505"/>
        </w:tabs>
        <w:rPr>
          <w:lang w:val="en-US"/>
        </w:rPr>
      </w:pPr>
      <w:r w:rsidRPr="00FA3504">
        <w:rPr>
          <w:lang w:val="en-US"/>
        </w:rPr>
        <w:t>6.22.6.2.</w:t>
      </w:r>
      <w:r w:rsidRPr="00FA3504">
        <w:rPr>
          <w:lang w:val="en-US"/>
        </w:rPr>
        <w:tab/>
        <w:t>Headlamp levelling device</w:t>
      </w:r>
    </w:p>
    <w:p w14:paraId="5A8FB024" w14:textId="77777777" w:rsidR="00DB36E9" w:rsidRPr="006E4F6E" w:rsidRDefault="00DB36E9" w:rsidP="00DB36E9">
      <w:pPr>
        <w:pStyle w:val="para0"/>
        <w:tabs>
          <w:tab w:val="left" w:pos="8505"/>
        </w:tabs>
        <w:rPr>
          <w:b/>
          <w:lang w:val="en-US"/>
        </w:rPr>
      </w:pPr>
      <w:bookmarkStart w:id="1"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5565313D" w14:textId="77777777" w:rsidR="00DB36E9" w:rsidRPr="006E4F6E" w:rsidRDefault="00DB36E9" w:rsidP="00DB36E9">
      <w:pPr>
        <w:pStyle w:val="para0"/>
        <w:tabs>
          <w:tab w:val="left" w:pos="8505"/>
        </w:tabs>
        <w:rPr>
          <w:lang w:val="en-US"/>
        </w:rPr>
      </w:pPr>
      <w:r w:rsidRPr="006E4F6E">
        <w:rPr>
          <w:lang w:val="en-US"/>
        </w:rPr>
        <w:t>6.22.6.2.2.</w:t>
      </w:r>
      <w:r w:rsidRPr="006E4F6E">
        <w:rPr>
          <w:lang w:val="en-US"/>
        </w:rPr>
        <w:tab/>
        <w:t xml:space="preserve">In the event of a </w:t>
      </w:r>
      <w:r w:rsidRPr="0077692E">
        <w:rPr>
          <w:lang w:val="en-US"/>
        </w:rPr>
        <w:t xml:space="preserve">failure of </w:t>
      </w:r>
      <w:r w:rsidRPr="0077692E">
        <w:rPr>
          <w:strike/>
          <w:lang w:val="en-US"/>
        </w:rPr>
        <w:t>this</w:t>
      </w:r>
      <w:r w:rsidRPr="0077692E">
        <w:rPr>
          <w:lang w:val="en-US"/>
        </w:rPr>
        <w:t xml:space="preserve"> </w:t>
      </w:r>
      <w:r w:rsidRPr="0077692E">
        <w:rPr>
          <w:b/>
          <w:lang w:val="en-US"/>
        </w:rPr>
        <w:t>the</w:t>
      </w:r>
      <w:r w:rsidRPr="0077692E">
        <w:rPr>
          <w:lang w:val="en-US"/>
        </w:rPr>
        <w:t xml:space="preserve"> device</w:t>
      </w:r>
      <w:r w:rsidRPr="0077692E">
        <w:rPr>
          <w:b/>
          <w:lang w:val="en-US"/>
        </w:rPr>
        <w:t xml:space="preserve"> prescribed</w:t>
      </w:r>
      <w:r w:rsidRPr="0077692E">
        <w:rPr>
          <w:lang w:val="en-US"/>
        </w:rPr>
        <w:t xml:space="preserve"> </w:t>
      </w:r>
      <w:r w:rsidRPr="0077692E">
        <w:rPr>
          <w:b/>
          <w:lang w:val="en-US"/>
        </w:rPr>
        <w:t>in paragraphs 6.22.6.2.1.,</w:t>
      </w:r>
      <w:r w:rsidRPr="0077692E">
        <w:rPr>
          <w:lang w:val="en-US"/>
        </w:rPr>
        <w:t xml:space="preserve"> the </w:t>
      </w:r>
      <w:r w:rsidRPr="0077692E">
        <w:rPr>
          <w:b/>
          <w:lang w:val="en-US"/>
        </w:rPr>
        <w:t>basic</w:t>
      </w:r>
      <w:r w:rsidRPr="0077692E">
        <w:rPr>
          <w:lang w:val="en-US"/>
        </w:rPr>
        <w:t xml:space="preserve"> passing beam </w:t>
      </w:r>
      <w:r w:rsidRPr="00FD5007">
        <w:rPr>
          <w:b/>
          <w:bCs/>
          <w:lang w:val="en-US"/>
        </w:rPr>
        <w:t>(dipped-beam)</w:t>
      </w:r>
      <w:r w:rsidRPr="0077692E">
        <w:rPr>
          <w:lang w:val="en-US"/>
        </w:rPr>
        <w:t xml:space="preserve"> shall not assume a position</w:t>
      </w:r>
      <w:r w:rsidRPr="0077692E">
        <w:rPr>
          <w:b/>
          <w:lang w:val="en-US"/>
        </w:rPr>
        <w:t xml:space="preserve"> </w:t>
      </w:r>
      <w:r w:rsidRPr="0077692E">
        <w:rPr>
          <w:lang w:val="en-US"/>
        </w:rPr>
        <w:t xml:space="preserve">in which the </w:t>
      </w:r>
      <w:r w:rsidRPr="0077692E">
        <w:rPr>
          <w:strike/>
          <w:lang w:val="en-US"/>
        </w:rPr>
        <w:t>downward inclination</w:t>
      </w:r>
      <w:r w:rsidRPr="006E4F6E">
        <w:rPr>
          <w:strike/>
          <w:lang w:val="en-US"/>
        </w:rPr>
        <w:t xml:space="preserve">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1"/>
    <w:p w14:paraId="261EDB09" w14:textId="77777777" w:rsidR="00DB36E9" w:rsidRPr="008B23BA" w:rsidRDefault="00DB36E9" w:rsidP="00DB36E9">
      <w:pPr>
        <w:pStyle w:val="SingleTxtG"/>
        <w:tabs>
          <w:tab w:val="left" w:pos="8505"/>
        </w:tabs>
        <w:spacing w:before="120"/>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08C5B500" w14:textId="77777777" w:rsidR="00DB36E9" w:rsidRPr="008B23BA" w:rsidRDefault="00DB36E9" w:rsidP="00DB36E9">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Pr="008B23BA">
        <w:rPr>
          <w:rFonts w:eastAsia="MS Mincho"/>
          <w:b/>
        </w:rPr>
        <w:t>0</w:t>
      </w:r>
      <w:r>
        <w:rPr>
          <w:rFonts w:eastAsia="MS Mincho"/>
          <w:b/>
        </w:rPr>
        <w:t>x]</w:t>
      </w:r>
      <w:r w:rsidRPr="008B23BA">
        <w:rPr>
          <w:rFonts w:eastAsia="MS Mincho"/>
          <w:b/>
        </w:rPr>
        <w:t xml:space="preserve"> series of amendments.</w:t>
      </w:r>
    </w:p>
    <w:p w14:paraId="23BD747A" w14:textId="5A73E1FF" w:rsidR="00DB36E9" w:rsidRPr="008B23BA" w:rsidRDefault="00DB36E9"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Pr="008B23BA">
        <w:rPr>
          <w:rFonts w:eastAsia="MS Mincho"/>
          <w:b/>
        </w:rPr>
        <w:t>0</w:t>
      </w:r>
      <w:r>
        <w:rPr>
          <w:rFonts w:eastAsia="MS Mincho"/>
          <w:b/>
        </w:rPr>
        <w:t xml:space="preserve">x] </w:t>
      </w:r>
      <w:r w:rsidRPr="008B23BA">
        <w:rPr>
          <w:rFonts w:eastAsia="MS Mincho"/>
          <w:b/>
        </w:rPr>
        <w:t xml:space="preserve">series of amendments, no Contracting Party applying this UN Regulation shall refuse to grant or refuse to accept UN type approvals under this UN Regulation as amended by the </w:t>
      </w:r>
      <w:r w:rsidR="005D48C2">
        <w:rPr>
          <w:rFonts w:eastAsia="MS Mincho"/>
          <w:b/>
        </w:rPr>
        <w:t>[</w:t>
      </w:r>
      <w:r w:rsidRPr="008B23BA">
        <w:rPr>
          <w:rFonts w:eastAsia="MS Mincho"/>
          <w:b/>
        </w:rPr>
        <w:t>0</w:t>
      </w:r>
      <w:r w:rsidR="005D48C2">
        <w:rPr>
          <w:rFonts w:eastAsia="MS Mincho"/>
          <w:b/>
        </w:rPr>
        <w:t>x]</w:t>
      </w:r>
      <w:r w:rsidRPr="008B23BA">
        <w:rPr>
          <w:rFonts w:eastAsia="MS Mincho"/>
          <w:b/>
        </w:rPr>
        <w:t xml:space="preserve"> series of amendments.</w:t>
      </w:r>
    </w:p>
    <w:p w14:paraId="362A3DFE" w14:textId="77777777" w:rsidR="00DB36E9" w:rsidRPr="008B23BA" w:rsidRDefault="00DB36E9"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.2.</w:t>
      </w:r>
      <w:r w:rsidRPr="008B23BA">
        <w:rPr>
          <w:rFonts w:eastAsia="MS Mincho"/>
          <w:b/>
        </w:rPr>
        <w:tab/>
        <w:t>As of 1 September [202</w:t>
      </w:r>
      <w:r>
        <w:rPr>
          <w:rFonts w:eastAsia="MS Mincho"/>
          <w:b/>
        </w:rPr>
        <w:t>4</w:t>
      </w:r>
      <w:r w:rsidRPr="008B23BA">
        <w:rPr>
          <w:rFonts w:eastAsia="MS Mincho"/>
          <w:b/>
        </w:rPr>
        <w:t>] Contracting Parties applying this UN Regulation shall not be obliged to accept UN type approvals to the preceding series of amendments, first issued after 1 September [202</w:t>
      </w:r>
      <w:r>
        <w:rPr>
          <w:rFonts w:eastAsia="MS Mincho"/>
          <w:b/>
        </w:rPr>
        <w:t>4</w:t>
      </w:r>
      <w:r w:rsidRPr="008B23BA">
        <w:rPr>
          <w:rFonts w:eastAsia="MS Mincho"/>
          <w:b/>
        </w:rPr>
        <w:t>].</w:t>
      </w:r>
    </w:p>
    <w:p w14:paraId="0D9912AB" w14:textId="77777777" w:rsidR="00DB36E9" w:rsidRPr="008B23BA" w:rsidRDefault="00DB36E9" w:rsidP="00DB36E9">
      <w:pPr>
        <w:pStyle w:val="Default"/>
        <w:tabs>
          <w:tab w:val="left" w:pos="8505"/>
        </w:tabs>
        <w:spacing w:after="120"/>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.3.</w:t>
      </w:r>
      <w:r w:rsidRPr="008B23BA">
        <w:rPr>
          <w:rFonts w:eastAsia="MS Mincho"/>
          <w:b/>
          <w:color w:val="auto"/>
          <w:sz w:val="20"/>
          <w:szCs w:val="20"/>
          <w:lang w:val="en-GB"/>
        </w:rPr>
        <w:tab/>
        <w:t>Until 1 September [2027], Contracting Parties applying this UN Regulation shall accept UN type-approvals to the preceding series of amendments, first issued before 1 September [202</w:t>
      </w:r>
      <w:r>
        <w:rPr>
          <w:rFonts w:eastAsia="MS Mincho"/>
          <w:b/>
          <w:color w:val="auto"/>
          <w:sz w:val="20"/>
          <w:szCs w:val="20"/>
          <w:lang w:val="en-GB"/>
        </w:rPr>
        <w:t>4</w:t>
      </w:r>
      <w:r w:rsidRPr="008B23BA">
        <w:rPr>
          <w:rFonts w:eastAsia="MS Mincho"/>
          <w:b/>
          <w:color w:val="auto"/>
          <w:sz w:val="20"/>
          <w:szCs w:val="20"/>
          <w:lang w:val="en-GB"/>
        </w:rPr>
        <w:t>]</w:t>
      </w:r>
      <w:r>
        <w:rPr>
          <w:rFonts w:eastAsia="MS Mincho"/>
          <w:b/>
          <w:color w:val="auto"/>
          <w:sz w:val="20"/>
          <w:szCs w:val="20"/>
          <w:lang w:val="en-GB"/>
        </w:rPr>
        <w:t>.</w:t>
      </w:r>
    </w:p>
    <w:p w14:paraId="446DD1FC" w14:textId="77777777" w:rsidR="00DB36E9" w:rsidRPr="008B23BA" w:rsidRDefault="00DB36E9" w:rsidP="00DB36E9">
      <w:pPr>
        <w:pStyle w:val="Default"/>
        <w:tabs>
          <w:tab w:val="left" w:pos="8505"/>
        </w:tabs>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.4.</w:t>
      </w:r>
      <w:r w:rsidRPr="008B23BA">
        <w:rPr>
          <w:rFonts w:eastAsia="MS Mincho"/>
          <w:b/>
          <w:color w:val="auto"/>
          <w:sz w:val="20"/>
          <w:szCs w:val="20"/>
          <w:lang w:val="en-GB"/>
        </w:rPr>
        <w:tab/>
        <w:t xml:space="preserve">As from 1 September [2027], Contracting Parties applying this UN Regulation shall not be obliged to accept type-approvals issued to the preceding series of amendments to this </w:t>
      </w:r>
      <w:r>
        <w:rPr>
          <w:rFonts w:eastAsia="MS Mincho"/>
          <w:b/>
          <w:color w:val="auto"/>
          <w:sz w:val="20"/>
          <w:szCs w:val="20"/>
          <w:lang w:val="en-GB"/>
        </w:rPr>
        <w:t xml:space="preserve">UN </w:t>
      </w:r>
      <w:r w:rsidRPr="008B23BA">
        <w:rPr>
          <w:rFonts w:eastAsia="MS Mincho"/>
          <w:b/>
          <w:color w:val="auto"/>
          <w:sz w:val="20"/>
          <w:szCs w:val="20"/>
          <w:lang w:val="en-GB"/>
        </w:rPr>
        <w:t>Regulation.</w:t>
      </w:r>
    </w:p>
    <w:p w14:paraId="441D7C4D" w14:textId="77777777" w:rsidR="00DB36E9" w:rsidRPr="008B23BA" w:rsidRDefault="00DB36E9" w:rsidP="00DB36E9">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.5.</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3A3661F3" w14:textId="77777777" w:rsidR="00DB36E9" w:rsidRPr="008B23BA" w:rsidRDefault="00DB36E9" w:rsidP="00DB36E9">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.6.</w:t>
      </w:r>
      <w:r w:rsidRPr="008B23BA">
        <w:rPr>
          <w:rFonts w:eastAsia="MS Mincho"/>
          <w:b/>
          <w:lang w:val="en-US"/>
        </w:rPr>
        <w:tab/>
        <w:t>Notwithstanding paragraph 12.</w:t>
      </w:r>
      <w:r>
        <w:rPr>
          <w:rFonts w:eastAsia="MS Mincho"/>
          <w:b/>
          <w:lang w:val="en-US"/>
        </w:rPr>
        <w:t>8</w:t>
      </w:r>
      <w:r w:rsidRPr="008B23BA">
        <w:rPr>
          <w:rFonts w:eastAsia="MS Mincho"/>
          <w:b/>
          <w:lang w:val="en-US"/>
        </w:rPr>
        <w:t xml:space="preserve">.4. Contracting Parties applying this UN Regulation shall continue to accept UN type-approvals to the preceding series of amendments to this UN Regulation, for the vehicle types which are not affected by the changes introduced by the </w:t>
      </w:r>
      <w:r>
        <w:rPr>
          <w:rFonts w:eastAsia="MS Mincho"/>
          <w:b/>
        </w:rPr>
        <w:t>[</w:t>
      </w:r>
      <w:r w:rsidRPr="008B23BA">
        <w:rPr>
          <w:rFonts w:eastAsia="MS Mincho"/>
          <w:b/>
        </w:rPr>
        <w:t>0</w:t>
      </w:r>
      <w:r>
        <w:rPr>
          <w:rFonts w:eastAsia="MS Mincho"/>
          <w:b/>
        </w:rPr>
        <w:t xml:space="preserve">x] </w:t>
      </w:r>
      <w:r w:rsidRPr="008B23BA">
        <w:rPr>
          <w:rFonts w:eastAsia="MS Mincho"/>
          <w:b/>
          <w:lang w:val="en-US"/>
        </w:rPr>
        <w:t>series of amendments.</w:t>
      </w:r>
    </w:p>
    <w:p w14:paraId="066C616B" w14:textId="05F02749" w:rsidR="00DB36E9" w:rsidRDefault="00DB36E9" w:rsidP="005D48C2">
      <w:pPr>
        <w:pStyle w:val="SingleTxtG"/>
        <w:tabs>
          <w:tab w:val="left" w:pos="8505"/>
        </w:tabs>
        <w:spacing w:before="120"/>
        <w:ind w:left="2268" w:hanging="1134"/>
      </w:pPr>
      <w:r w:rsidRPr="008B23BA">
        <w:rPr>
          <w:rFonts w:eastAsia="MS Mincho"/>
          <w:b/>
          <w:lang w:val="en-US"/>
        </w:rPr>
        <w:t>12.</w:t>
      </w:r>
      <w:r>
        <w:rPr>
          <w:rFonts w:eastAsia="MS Mincho"/>
          <w:b/>
          <w:lang w:val="en-US"/>
        </w:rPr>
        <w:t>8</w:t>
      </w:r>
      <w:r w:rsidRPr="008B23BA">
        <w:rPr>
          <w:rFonts w:eastAsia="MS Mincho"/>
          <w:b/>
          <w:lang w:val="en-US"/>
        </w:rPr>
        <w:t>.7.</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shall not refuse to grant </w:t>
      </w:r>
      <w:r>
        <w:rPr>
          <w:rFonts w:eastAsia="MS Mincho"/>
          <w:b/>
          <w:lang w:val="en-US"/>
        </w:rPr>
        <w:t xml:space="preserve">UN </w:t>
      </w:r>
      <w:r w:rsidRPr="008B23BA">
        <w:rPr>
          <w:rFonts w:eastAsia="MS Mincho"/>
          <w:b/>
          <w:lang w:val="en-US"/>
        </w:rPr>
        <w:t>type-approvals according to any</w:t>
      </w:r>
      <w:r w:rsidRPr="008B23BA">
        <w:rPr>
          <w:rFonts w:eastAsiaTheme="minorEastAsia"/>
          <w:b/>
          <w:lang w:val="en-US"/>
        </w:rPr>
        <w:t xml:space="preserve"> </w:t>
      </w:r>
      <w:r w:rsidRPr="008B23BA">
        <w:rPr>
          <w:rFonts w:eastAsia="MS Mincho"/>
          <w:b/>
          <w:lang w:val="en-US"/>
        </w:rPr>
        <w:t xml:space="preserve">preceding series of amendments to this </w:t>
      </w:r>
      <w:r>
        <w:rPr>
          <w:rFonts w:eastAsia="MS Mincho"/>
          <w:b/>
          <w:lang w:val="en-US"/>
        </w:rPr>
        <w:t xml:space="preserve">UN </w:t>
      </w:r>
      <w:r w:rsidRPr="008B23BA">
        <w:rPr>
          <w:rFonts w:eastAsia="MS Mincho"/>
          <w:b/>
          <w:lang w:val="en-US"/>
        </w:rPr>
        <w:t>Regulation or extensions thereof.</w:t>
      </w:r>
      <w:r>
        <w:rPr>
          <w:rFonts w:eastAsia="MS Mincho"/>
          <w:b/>
        </w:rPr>
        <w:t>”</w:t>
      </w:r>
    </w:p>
    <w:p w14:paraId="06E1F528" w14:textId="77777777" w:rsidR="00DB36E9" w:rsidRPr="00FA3504" w:rsidRDefault="00DB36E9" w:rsidP="00DB36E9">
      <w:pPr>
        <w:pStyle w:val="para0"/>
        <w:rPr>
          <w:lang w:val="en-US"/>
        </w:rPr>
      </w:pPr>
      <w:r w:rsidRPr="00FA3504">
        <w:rPr>
          <w:i/>
          <w:lang w:val="en-US"/>
        </w:rPr>
        <w:t>Annex 2,</w:t>
      </w:r>
      <w:r w:rsidRPr="00FA3504">
        <w:rPr>
          <w:lang w:val="en-US"/>
        </w:rPr>
        <w:t xml:space="preserve"> amend to read:</w:t>
      </w:r>
    </w:p>
    <w:p w14:paraId="2586A440" w14:textId="77777777" w:rsidR="00DB36E9" w:rsidRPr="0077692E" w:rsidRDefault="00DB36E9" w:rsidP="00DB36E9">
      <w:pPr>
        <w:spacing w:after="120"/>
        <w:ind w:left="1134" w:right="1134"/>
        <w:rPr>
          <w:rFonts w:eastAsia="MS Mincho"/>
          <w:b/>
        </w:rPr>
      </w:pPr>
      <w:r w:rsidRPr="0077692E">
        <w:rPr>
          <w:b/>
        </w:rPr>
        <w:t>“Arrangements of approval marks</w:t>
      </w:r>
    </w:p>
    <w:p w14:paraId="3957DEE0" w14:textId="77777777" w:rsidR="00DB36E9" w:rsidRPr="0077692E" w:rsidRDefault="00DB36E9" w:rsidP="00DB36E9">
      <w:pPr>
        <w:ind w:left="1134" w:right="1134"/>
      </w:pPr>
      <w:bookmarkStart w:id="2" w:name="_Toc338161450"/>
      <w:r w:rsidRPr="0077692E">
        <w:t>Model A</w:t>
      </w:r>
      <w:bookmarkEnd w:id="2"/>
    </w:p>
    <w:p w14:paraId="7B0E16FB" w14:textId="77777777" w:rsidR="00DB36E9" w:rsidRPr="0077692E" w:rsidRDefault="00DB36E9" w:rsidP="00DB36E9">
      <w:pPr>
        <w:ind w:left="1134" w:right="1134"/>
      </w:pPr>
      <w:bookmarkStart w:id="3" w:name="_Toc338161451"/>
      <w:r w:rsidRPr="0077692E">
        <w:t xml:space="preserve">(See paragraph 4.4. of this </w:t>
      </w:r>
      <w:r w:rsidRPr="0077692E">
        <w:rPr>
          <w:b/>
          <w:bCs/>
        </w:rPr>
        <w:t>UN</w:t>
      </w:r>
      <w:r>
        <w:t xml:space="preserve"> </w:t>
      </w:r>
      <w:r w:rsidRPr="0077692E">
        <w:t>Regulation)</w:t>
      </w:r>
      <w:bookmarkEnd w:id="3"/>
    </w:p>
    <w:p w14:paraId="669492B1" w14:textId="77777777" w:rsidR="00DB36E9" w:rsidRPr="0077692E" w:rsidRDefault="00DB36E9" w:rsidP="00DB36E9">
      <w:pPr>
        <w:tabs>
          <w:tab w:val="left" w:pos="1700"/>
          <w:tab w:val="left" w:pos="4536"/>
          <w:tab w:val="left" w:leader="dot" w:pos="8505"/>
        </w:tabs>
        <w:spacing w:after="120"/>
        <w:ind w:left="1134" w:right="1134"/>
        <w:jc w:val="both"/>
      </w:pPr>
    </w:p>
    <w:p w14:paraId="6CCC85B6" w14:textId="77777777" w:rsidR="00DB36E9" w:rsidRPr="0077692E" w:rsidRDefault="00DB36E9" w:rsidP="00DB36E9">
      <w:pPr>
        <w:tabs>
          <w:tab w:val="left" w:pos="1700"/>
          <w:tab w:val="left" w:pos="4536"/>
          <w:tab w:val="left" w:leader="dot" w:pos="8505"/>
        </w:tabs>
        <w:spacing w:after="120"/>
        <w:ind w:left="1134" w:right="1134"/>
        <w:jc w:val="both"/>
      </w:pPr>
      <w:r>
        <w:rPr>
          <w:noProof/>
          <w:lang w:val="en-US" w:eastAsia="zh-CN"/>
        </w:rPr>
        <mc:AlternateContent>
          <mc:Choice Requires="wps">
            <w:drawing>
              <wp:anchor distT="0" distB="0" distL="114300" distR="114300" simplePos="0" relativeHeight="251668480" behindDoc="0" locked="0" layoutInCell="1" allowOverlap="1" wp14:anchorId="2BB6DA6E" wp14:editId="20E67332">
                <wp:simplePos x="0" y="0"/>
                <wp:positionH relativeFrom="column">
                  <wp:posOffset>4082415</wp:posOffset>
                </wp:positionH>
                <wp:positionV relativeFrom="paragraph">
                  <wp:posOffset>389255</wp:posOffset>
                </wp:positionV>
                <wp:extent cx="552450" cy="378460"/>
                <wp:effectExtent l="0" t="0" r="0" b="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273724DA"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6DA6E"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273724DA"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sidRPr="0077692E">
        <w:rPr>
          <w:noProof/>
          <w:lang w:val="en-US" w:eastAsia="zh-CN"/>
        </w:rPr>
        <w:drawing>
          <wp:inline distT="0" distB="0" distL="0" distR="0" wp14:anchorId="43DE18B6" wp14:editId="3A66C5E6">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7D328928" w14:textId="77777777" w:rsidR="00DB36E9" w:rsidRPr="0077692E" w:rsidRDefault="00DB36E9" w:rsidP="00DB36E9">
      <w:pPr>
        <w:tabs>
          <w:tab w:val="left" w:pos="1700"/>
          <w:tab w:val="left" w:pos="8505"/>
        </w:tabs>
        <w:spacing w:after="120"/>
        <w:ind w:left="1134" w:right="1134"/>
        <w:jc w:val="right"/>
      </w:pPr>
      <w:r w:rsidRPr="0077692E">
        <w:tab/>
        <w:t>a = 8 mm min.</w:t>
      </w:r>
    </w:p>
    <w:p w14:paraId="16C4AF0E" w14:textId="77777777" w:rsidR="00DB36E9" w:rsidRPr="00F06CE1" w:rsidRDefault="00DB36E9" w:rsidP="00DB36E9">
      <w:pPr>
        <w:tabs>
          <w:tab w:val="left" w:pos="1700"/>
          <w:tab w:val="left" w:pos="4536"/>
          <w:tab w:val="left" w:leader="dot" w:pos="8505"/>
        </w:tabs>
        <w:spacing w:before="120" w:after="120"/>
        <w:ind w:left="1134" w:right="1134"/>
        <w:jc w:val="both"/>
      </w:pPr>
      <w:r w:rsidRPr="0077692E">
        <w:lastRenderedPageBreak/>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Regulation No. 48 as amended by the [</w:t>
      </w:r>
      <w:r w:rsidRPr="00F06CE1">
        <w:rPr>
          <w:b/>
        </w:rPr>
        <w:t>0x]</w:t>
      </w:r>
      <w:r w:rsidRPr="00F06CE1">
        <w:t xml:space="preserve"> series of amendments. The approval number indicates that the approval was granted in accordance with the requirements of </w:t>
      </w:r>
      <w:r w:rsidRPr="00F06CE1">
        <w:rPr>
          <w:b/>
          <w:bCs/>
        </w:rPr>
        <w:t>UN</w:t>
      </w:r>
      <w:r>
        <w:t xml:space="preserve"> </w:t>
      </w:r>
      <w:r w:rsidRPr="00F06CE1">
        <w:t>Regulation No. 48 as amended by the [</w:t>
      </w:r>
      <w:r w:rsidRPr="00F06CE1">
        <w:rPr>
          <w:b/>
        </w:rPr>
        <w:t>0x]</w:t>
      </w:r>
      <w:r w:rsidRPr="00F06CE1">
        <w:t xml:space="preserve"> series of amendments. </w:t>
      </w:r>
    </w:p>
    <w:p w14:paraId="127C78BE" w14:textId="77777777" w:rsidR="00DB36E9" w:rsidRPr="00F06CE1" w:rsidRDefault="00DB36E9" w:rsidP="00DB36E9">
      <w:pPr>
        <w:ind w:left="1134" w:right="1134"/>
      </w:pPr>
      <w:r w:rsidRPr="00F06CE1">
        <w:t>Model B</w:t>
      </w:r>
    </w:p>
    <w:p w14:paraId="4C30BD88" w14:textId="77777777" w:rsidR="00DB36E9" w:rsidRPr="00FA3504" w:rsidRDefault="00DB36E9" w:rsidP="00DB36E9">
      <w:pPr>
        <w:pStyle w:val="para0"/>
        <w:rPr>
          <w:lang w:val="en-US"/>
        </w:rPr>
      </w:pPr>
      <w:bookmarkStart w:id="4" w:name="_Toc338161452"/>
      <w:r w:rsidRPr="00FA3504">
        <w:rPr>
          <w:lang w:val="en-US"/>
        </w:rPr>
        <w:t xml:space="preserve">(See paragraph 4.5. of this </w:t>
      </w:r>
      <w:r w:rsidRPr="00FA3504">
        <w:rPr>
          <w:b/>
          <w:bCs/>
          <w:lang w:val="en-US"/>
        </w:rPr>
        <w:t>UN</w:t>
      </w:r>
      <w:r w:rsidRPr="00FA3504">
        <w:rPr>
          <w:lang w:val="en-US"/>
        </w:rPr>
        <w:t xml:space="preserve"> Regulation)</w:t>
      </w:r>
      <w:bookmarkEnd w:id="4"/>
    </w:p>
    <w:p w14:paraId="04E3E034" w14:textId="77777777" w:rsidR="00DB36E9" w:rsidRPr="00F06CE1" w:rsidRDefault="00DB36E9" w:rsidP="00DB36E9">
      <w:pPr>
        <w:pStyle w:val="SingleTxtG"/>
      </w:pPr>
    </w:p>
    <w:bookmarkStart w:id="5" w:name="_Toc338161453"/>
    <w:p w14:paraId="351CDD8B" w14:textId="77777777" w:rsidR="00DB36E9" w:rsidRPr="00F06CE1" w:rsidRDefault="00DB36E9" w:rsidP="00DB36E9">
      <w:pPr>
        <w:ind w:left="851" w:right="1134"/>
      </w:pPr>
      <w:r>
        <w:rPr>
          <w:noProof/>
          <w:lang w:val="en-US" w:eastAsia="zh-CN"/>
        </w:rPr>
        <mc:AlternateContent>
          <mc:Choice Requires="wps">
            <w:drawing>
              <wp:anchor distT="0" distB="0" distL="114300" distR="114300" simplePos="0" relativeHeight="251669504" behindDoc="0" locked="0" layoutInCell="1" allowOverlap="1" wp14:anchorId="13C2E2D9" wp14:editId="36854D97">
                <wp:simplePos x="0" y="0"/>
                <wp:positionH relativeFrom="column">
                  <wp:posOffset>3775710</wp:posOffset>
                </wp:positionH>
                <wp:positionV relativeFrom="paragraph">
                  <wp:posOffset>127635</wp:posOffset>
                </wp:positionV>
                <wp:extent cx="499110" cy="318135"/>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178567D5"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2E2D9" id="_x0000_s1027" type="#_x0000_t202" style="position:absolute;left:0;text-align:left;margin-left:297.3pt;margin-top:10.05pt;width:39.3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178567D5"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sidRPr="00F06CE1">
        <w:rPr>
          <w:noProof/>
          <w:lang w:val="en-US" w:eastAsia="zh-CN"/>
        </w:rPr>
        <w:drawing>
          <wp:inline distT="0" distB="0" distL="0" distR="0" wp14:anchorId="32FE5A85" wp14:editId="62E370CA">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5"/>
    </w:p>
    <w:p w14:paraId="2F6BEF3F" w14:textId="77777777" w:rsidR="00DB36E9" w:rsidRPr="00F06CE1" w:rsidRDefault="00DB36E9" w:rsidP="00DB36E9">
      <w:pPr>
        <w:tabs>
          <w:tab w:val="left" w:pos="1700"/>
          <w:tab w:val="left" w:pos="8505"/>
        </w:tabs>
        <w:spacing w:after="120"/>
        <w:ind w:left="1134" w:right="1134"/>
        <w:jc w:val="right"/>
      </w:pPr>
      <w:r w:rsidRPr="00F06CE1">
        <w:tab/>
        <w:t>a = 8 mm min.</w:t>
      </w:r>
    </w:p>
    <w:p w14:paraId="78A99134" w14:textId="027D7386" w:rsidR="00DB36E9" w:rsidRDefault="00DB36E9"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t>[</w:t>
      </w:r>
      <w:r w:rsidRPr="00F06CE1">
        <w:rPr>
          <w:b/>
        </w:rPr>
        <w:t>0x</w:t>
      </w:r>
      <w:r>
        <w:rPr>
          <w:b/>
        </w:rPr>
        <w:t>]</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4"/>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rsidRPr="00F06CE1">
        <w:rPr>
          <w:b/>
        </w:rPr>
        <w:t>0x</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1C346A62" w14:textId="77777777" w:rsidR="00DB36E9" w:rsidRPr="00F06CE1" w:rsidRDefault="00DB36E9" w:rsidP="00DB36E9">
      <w:pPr>
        <w:spacing w:after="120"/>
        <w:ind w:left="2268" w:right="1134" w:hanging="1134"/>
      </w:pPr>
      <w:r w:rsidRPr="00F06CE1">
        <w:rPr>
          <w:i/>
        </w:rPr>
        <w:t>Annex 9, paragraph 1.3.2</w:t>
      </w:r>
      <w:r>
        <w:rPr>
          <w:i/>
        </w:rPr>
        <w:t>.,</w:t>
      </w:r>
      <w:r w:rsidRPr="00F06CE1">
        <w:t xml:space="preserve"> amend to read:</w:t>
      </w:r>
    </w:p>
    <w:p w14:paraId="21E1FA0F" w14:textId="77777777" w:rsidR="00DB36E9" w:rsidRPr="00F06CE1" w:rsidRDefault="00DB36E9" w:rsidP="00DB36E9">
      <w:pPr>
        <w:pStyle w:val="para0"/>
        <w:rPr>
          <w:lang w:val="en-US"/>
        </w:rPr>
      </w:pPr>
      <w:r w:rsidRPr="00F06CE1">
        <w:rPr>
          <w:lang w:val="en-US"/>
        </w:rPr>
        <w:t>“1.3</w:t>
      </w:r>
      <w:r w:rsidRPr="00F06CE1">
        <w:rPr>
          <w:b/>
          <w:lang w:val="en-US"/>
        </w:rPr>
        <w:t>.</w:t>
      </w:r>
      <w:r w:rsidRPr="00F06CE1">
        <w:rPr>
          <w:lang w:val="en-US"/>
        </w:rPr>
        <w:t>2.</w:t>
      </w:r>
      <w:r w:rsidRPr="00F06CE1">
        <w:rPr>
          <w:lang w:val="en-US"/>
        </w:rPr>
        <w:tab/>
        <w:t>Variation of inclination with load</w:t>
      </w:r>
    </w:p>
    <w:p w14:paraId="7542DDB9" w14:textId="77777777" w:rsidR="00DB36E9" w:rsidRPr="00F06CE1" w:rsidRDefault="00DB36E9" w:rsidP="00DB36E9">
      <w:pPr>
        <w:pStyle w:val="para0"/>
        <w:spacing w:after="100"/>
        <w:ind w:firstLine="0"/>
        <w:rPr>
          <w:lang w:val="en-US"/>
        </w:rPr>
      </w:pPr>
      <w:r w:rsidRPr="00F06CE1">
        <w:rPr>
          <w:lang w:val="en-US"/>
        </w:rPr>
        <w:t>The variation of the passing beam (dipped-beam) downward inclination as a function of the loading conditions specified within this section shall remain within the range:</w:t>
      </w:r>
    </w:p>
    <w:p w14:paraId="2140FEF7" w14:textId="77777777" w:rsidR="00DB36E9" w:rsidRPr="00F06CE1" w:rsidRDefault="00DB36E9" w:rsidP="00DB36E9">
      <w:pPr>
        <w:pStyle w:val="para0"/>
        <w:spacing w:after="100"/>
        <w:ind w:firstLine="0"/>
        <w:rPr>
          <w:strike/>
          <w:lang w:val="en-US"/>
        </w:rPr>
      </w:pPr>
      <w:r w:rsidRPr="00F06CE1">
        <w:rPr>
          <w:strike/>
          <w:lang w:val="en-US"/>
        </w:rPr>
        <w:t>0.2 per cent to 2.8 per cent for headlamp mounting height h &lt; 0.8;</w:t>
      </w:r>
    </w:p>
    <w:p w14:paraId="55820DD7" w14:textId="77777777" w:rsidR="00DB36E9" w:rsidRPr="00F06CE1" w:rsidRDefault="00DB36E9" w:rsidP="00DB36E9">
      <w:pPr>
        <w:pStyle w:val="para0"/>
        <w:spacing w:after="100"/>
        <w:ind w:firstLine="0"/>
        <w:jc w:val="left"/>
        <w:rPr>
          <w:strike/>
          <w:lang w:val="en-US"/>
        </w:rPr>
      </w:pPr>
      <w:r w:rsidRPr="00F06CE1">
        <w:rPr>
          <w:strike/>
          <w:lang w:val="en-US"/>
        </w:rPr>
        <w:t xml:space="preserve">0.2 per cent to 2.8 per cent for headlamp mounting height 0.8 ≤ h ≤ 1.0; </w:t>
      </w:r>
    </w:p>
    <w:p w14:paraId="7959CF36" w14:textId="77777777" w:rsidR="00DB36E9" w:rsidRPr="00F06CE1" w:rsidRDefault="00DB36E9" w:rsidP="00DB36E9">
      <w:pPr>
        <w:pStyle w:val="para0"/>
        <w:spacing w:after="100"/>
        <w:ind w:firstLine="0"/>
        <w:rPr>
          <w:strike/>
          <w:lang w:val="en-US"/>
        </w:rPr>
      </w:pPr>
      <w:r w:rsidRPr="00F06CE1">
        <w:rPr>
          <w:strike/>
          <w:lang w:val="en-US"/>
        </w:rPr>
        <w:t>or</w:t>
      </w:r>
    </w:p>
    <w:p w14:paraId="056F5038" w14:textId="77777777" w:rsidR="00DB36E9" w:rsidRPr="00F06CE1" w:rsidRDefault="00DB36E9" w:rsidP="00DB36E9">
      <w:pPr>
        <w:pStyle w:val="para0"/>
        <w:spacing w:after="100"/>
        <w:ind w:firstLine="0"/>
        <w:rPr>
          <w:strike/>
          <w:lang w:val="en-US"/>
        </w:rPr>
      </w:pPr>
      <w:r w:rsidRPr="00F06CE1">
        <w:rPr>
          <w:strike/>
          <w:lang w:val="en-US"/>
        </w:rPr>
        <w:t>0.7 per cent to 3.3 per cent (according to the aiming range chosen by the manufacturer at the approval);</w:t>
      </w:r>
    </w:p>
    <w:p w14:paraId="1A6522BA" w14:textId="77777777" w:rsidR="00DB36E9" w:rsidRPr="00F06CE1" w:rsidRDefault="00DB36E9" w:rsidP="00DB36E9">
      <w:pPr>
        <w:pStyle w:val="para0"/>
        <w:spacing w:after="100"/>
        <w:ind w:firstLine="0"/>
        <w:rPr>
          <w:strike/>
          <w:lang w:val="en-US"/>
        </w:rPr>
      </w:pPr>
      <w:r w:rsidRPr="00F06CE1">
        <w:rPr>
          <w:strike/>
          <w:lang w:val="en-US"/>
        </w:rPr>
        <w:t>0.7 per cent to 3.3 per cent for headlamp mounting height 1.0 &lt; h ≤ 1.2 m;</w:t>
      </w:r>
    </w:p>
    <w:p w14:paraId="34F1FDC2" w14:textId="77777777" w:rsidR="00DB36E9" w:rsidRDefault="00DB36E9" w:rsidP="00DB36E9">
      <w:pPr>
        <w:pStyle w:val="para0"/>
        <w:spacing w:after="100"/>
        <w:ind w:firstLine="0"/>
        <w:rPr>
          <w:strike/>
          <w:lang w:val="en-US"/>
        </w:rPr>
      </w:pPr>
      <w:r w:rsidRPr="00F06CE1">
        <w:rPr>
          <w:strike/>
          <w:lang w:val="en-US"/>
        </w:rPr>
        <w:t>1.2 per cent to 3.8 per cent for headlamp mounting height h &gt; 1.2 m.</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5D48C2" w:rsidRPr="005D48C2" w14:paraId="0D8D40A1" w14:textId="77777777" w:rsidTr="00DE5BBA">
        <w:tc>
          <w:tcPr>
            <w:tcW w:w="1985" w:type="dxa"/>
            <w:tcBorders>
              <w:bottom w:val="single" w:sz="12" w:space="0" w:color="auto"/>
            </w:tcBorders>
            <w:vAlign w:val="center"/>
            <w:hideMark/>
          </w:tcPr>
          <w:p w14:paraId="4E22F652" w14:textId="77777777" w:rsidR="005D48C2" w:rsidRPr="005D48C2" w:rsidRDefault="005D48C2" w:rsidP="00DE5BBA">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2E5097A9"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64D6E923"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23BACD24"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505CA75B"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5D48C2" w14:paraId="06B7EB1D" w14:textId="77777777" w:rsidTr="00DE5BBA">
        <w:tc>
          <w:tcPr>
            <w:tcW w:w="1985" w:type="dxa"/>
            <w:tcBorders>
              <w:top w:val="single" w:sz="12" w:space="0" w:color="auto"/>
            </w:tcBorders>
            <w:vAlign w:val="center"/>
            <w:hideMark/>
          </w:tcPr>
          <w:p w14:paraId="7EF5098C"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197C2E6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4C0C1614"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5D48C2" w14:paraId="76976842" w14:textId="77777777" w:rsidTr="00DE5BBA">
        <w:tc>
          <w:tcPr>
            <w:tcW w:w="1985" w:type="dxa"/>
            <w:tcBorders>
              <w:bottom w:val="single" w:sz="4" w:space="0" w:color="auto"/>
            </w:tcBorders>
            <w:vAlign w:val="center"/>
            <w:hideMark/>
          </w:tcPr>
          <w:p w14:paraId="58C375F3"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5D90D0E1"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17AA2D45"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5D48C2" w14:paraId="29B4EA51" w14:textId="77777777" w:rsidTr="00DE5BBA">
        <w:tc>
          <w:tcPr>
            <w:tcW w:w="1985" w:type="dxa"/>
            <w:tcBorders>
              <w:bottom w:val="single" w:sz="12" w:space="0" w:color="auto"/>
            </w:tcBorders>
            <w:vAlign w:val="center"/>
            <w:hideMark/>
          </w:tcPr>
          <w:p w14:paraId="2987B506"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5638633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C4261F6"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1C8DF800" w14:textId="2052A5A9" w:rsidR="005D48C2"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5D48C2" w:rsidRPr="005D48C2">
        <w:rPr>
          <w:b/>
          <w:sz w:val="18"/>
          <w:szCs w:val="18"/>
          <w:lang w:val="en-US"/>
        </w:rPr>
        <w:t>increasing linearly, in relation to the dipped beam headlamp mounting height</w:t>
      </w:r>
    </w:p>
    <w:p w14:paraId="0D6FD1EC" w14:textId="77777777" w:rsidR="005D48C2" w:rsidRPr="005D48C2" w:rsidRDefault="005D48C2" w:rsidP="005D48C2">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6AC6566C" w14:textId="77777777" w:rsidR="00DB36E9" w:rsidRPr="00F06CE1" w:rsidRDefault="00DB36E9" w:rsidP="00DB36E9">
      <w:pPr>
        <w:pStyle w:val="para0"/>
        <w:spacing w:before="120" w:after="100"/>
        <w:ind w:firstLine="0"/>
        <w:rPr>
          <w:strike/>
          <w:lang w:val="en-US"/>
        </w:rPr>
      </w:pPr>
      <w:r w:rsidRPr="00F06CE1">
        <w:rPr>
          <w:lang w:val="en-US"/>
        </w:rPr>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55EE5768" w14:textId="77777777" w:rsidR="00DB36E9" w:rsidRPr="00F06CE1" w:rsidRDefault="00DB36E9" w:rsidP="00DB36E9">
      <w:pPr>
        <w:pStyle w:val="para0"/>
        <w:spacing w:after="100"/>
        <w:ind w:firstLine="0"/>
        <w:rPr>
          <w:strike/>
          <w:lang w:val="en-US"/>
        </w:rPr>
      </w:pPr>
      <w:r w:rsidRPr="00F06CE1">
        <w:rPr>
          <w:strike/>
          <w:lang w:val="en-US"/>
        </w:rPr>
        <w:lastRenderedPageBreak/>
        <w:t>0.7 per cent to 3.3 per cent for front fog lamp mounting height h ≤ 0.8 ;</w:t>
      </w:r>
    </w:p>
    <w:p w14:paraId="339C1975" w14:textId="77777777" w:rsidR="00DB36E9" w:rsidRPr="001D6ADC" w:rsidRDefault="00DB36E9"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61472D10" w14:textId="114A7DDF" w:rsidR="00DB36E9" w:rsidRPr="001D6ADC" w:rsidRDefault="00DB36E9"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sidR="00AE7113">
        <w:rPr>
          <w:b/>
          <w:lang w:val="en-US"/>
        </w:rPr>
        <w:t xml:space="preserve">: </w:t>
      </w:r>
      <w:r w:rsidRPr="001D6ADC">
        <w:rPr>
          <w:b/>
          <w:lang w:val="en-US"/>
        </w:rPr>
        <w:t>0.7 per cent minimum vertical inclination and 3.3 per cent maximum vertical inclination</w:t>
      </w:r>
      <w:r w:rsidR="005D48C2">
        <w:rPr>
          <w:b/>
          <w:lang w:val="en-US"/>
        </w:rPr>
        <w:t>;</w:t>
      </w:r>
    </w:p>
    <w:p w14:paraId="52C84DAE" w14:textId="7A94E0DD" w:rsidR="00DB36E9" w:rsidRPr="00F06CE1" w:rsidRDefault="00DB36E9" w:rsidP="00AE7113">
      <w:pPr>
        <w:pStyle w:val="para0"/>
        <w:ind w:firstLine="0"/>
        <w:rPr>
          <w:b/>
          <w:lang w:val="en-US"/>
        </w:rPr>
      </w:pPr>
      <w:r w:rsidRPr="001D6ADC">
        <w:rPr>
          <w:b/>
          <w:lang w:val="en-US"/>
        </w:rPr>
        <w:t>h &gt; 0,8</w:t>
      </w:r>
      <w:r w:rsidR="00AE7113">
        <w:rPr>
          <w:b/>
          <w:lang w:val="en-US"/>
        </w:rPr>
        <w:t xml:space="preserve">: </w:t>
      </w:r>
      <w:r w:rsidRPr="001D6ADC">
        <w:rPr>
          <w:b/>
          <w:lang w:val="en-US"/>
        </w:rPr>
        <w:t>1.2 per cent minimum vertical inclination and 3.8 per cent maximum vertical inclination</w:t>
      </w:r>
      <w:r w:rsidR="005D48C2">
        <w:rPr>
          <w:b/>
          <w:lang w:val="en-US"/>
        </w:rPr>
        <w:t>.</w:t>
      </w:r>
    </w:p>
    <w:p w14:paraId="3447E937" w14:textId="7A3B144C" w:rsidR="00DB36E9" w:rsidRDefault="00DB36E9" w:rsidP="00AE7113">
      <w:pPr>
        <w:pStyle w:val="para0"/>
        <w:ind w:firstLine="0"/>
        <w:rPr>
          <w:rFonts w:eastAsia="MS Mincho"/>
          <w:b/>
          <w:i/>
        </w:rPr>
      </w:pPr>
      <w:r w:rsidRPr="00F06CE1">
        <w:rPr>
          <w:lang w:val="en-US"/>
        </w:rPr>
        <w:t xml:space="preserve">The states of loading to be used shall be as follows, as indicated in Annex 5 of this </w:t>
      </w:r>
      <w:r w:rsidRPr="001D6ADC">
        <w:rPr>
          <w:b/>
          <w:bCs/>
          <w:lang w:val="en-US"/>
        </w:rPr>
        <w:t>UN</w:t>
      </w:r>
      <w:r>
        <w:rPr>
          <w:lang w:val="en-US"/>
        </w:rPr>
        <w:t xml:space="preserve"> </w:t>
      </w:r>
      <w:r w:rsidRPr="00F06CE1">
        <w:rPr>
          <w:lang w:val="en-US"/>
        </w:rPr>
        <w:t>Regulation, for every system adjusted accordingly.”</w:t>
      </w:r>
    </w:p>
    <w:p w14:paraId="2010A72C" w14:textId="542AF4A9" w:rsidR="007C5E2E" w:rsidRDefault="007C5E2E" w:rsidP="00AE7113">
      <w:pPr>
        <w:pStyle w:val="HChG"/>
      </w:pPr>
      <w:r w:rsidRPr="00525E6C">
        <w:tab/>
      </w:r>
      <w:r>
        <w:t>I</w:t>
      </w:r>
      <w:r w:rsidRPr="00525E6C">
        <w:t>I.</w:t>
      </w:r>
      <w:r w:rsidRPr="00525E6C">
        <w:tab/>
      </w:r>
      <w:r>
        <w:t>Justification</w:t>
      </w:r>
    </w:p>
    <w:p w14:paraId="2842AFC4" w14:textId="77777777" w:rsidR="00DB36E9" w:rsidRPr="001C0F5D" w:rsidRDefault="00DB36E9" w:rsidP="00DB36E9">
      <w:pPr>
        <w:spacing w:after="120"/>
        <w:ind w:left="1134" w:right="1134"/>
        <w:jc w:val="both"/>
        <w:rPr>
          <w:bCs/>
        </w:rPr>
      </w:pPr>
      <w:r w:rsidRPr="001C0F5D">
        <w:rPr>
          <w:bCs/>
        </w:rPr>
        <w:t>1.</w:t>
      </w:r>
      <w:r w:rsidRPr="001C0F5D">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215DA8AE" w14:textId="77777777" w:rsidR="00DB36E9" w:rsidRPr="001C0F5D" w:rsidRDefault="00DB36E9" w:rsidP="00DB36E9">
      <w:pPr>
        <w:spacing w:after="120"/>
        <w:ind w:left="1134" w:right="1134"/>
        <w:jc w:val="both"/>
        <w:rPr>
          <w:bCs/>
        </w:rPr>
      </w:pPr>
      <w:r w:rsidRPr="001C0F5D">
        <w:rPr>
          <w:bCs/>
        </w:rPr>
        <w:t>2.</w:t>
      </w:r>
      <w:r w:rsidRPr="001C0F5D">
        <w:rPr>
          <w:bCs/>
        </w:rPr>
        <w:tab/>
        <w:t xml:space="preserve">This proposal is based on the concepts finally agreed at the tenth meeting of IWG VGL. The main technical changes apply to paragraph 6.2.6. and related sub-paragraphs for the dipped beam headlamps </w:t>
      </w:r>
      <w:r w:rsidRPr="000B2EDD">
        <w:rPr>
          <w:bCs/>
        </w:rPr>
        <w:t xml:space="preserve">vertical </w:t>
      </w:r>
      <w:r w:rsidRPr="001C0F5D">
        <w:rPr>
          <w:bCs/>
        </w:rPr>
        <w:t xml:space="preserve">orientation. The corresponding paragraph 6.22.6.1. and related sub-paragraphs for the adaptive front-lighting systems (AFS) dipped beam </w:t>
      </w:r>
      <w:r w:rsidRPr="000B2EDD">
        <w:rPr>
          <w:bCs/>
        </w:rPr>
        <w:t xml:space="preserve">vertical </w:t>
      </w:r>
      <w:r w:rsidRPr="001C0F5D">
        <w:rPr>
          <w:bCs/>
        </w:rPr>
        <w:t xml:space="preserve">orientation have been changed accordingly. Due to the basic changes agreed by IWG VGL, also some other paragraphs needed to be changed </w:t>
      </w:r>
      <w:r>
        <w:rPr>
          <w:bCs/>
        </w:rPr>
        <w:t>or</w:t>
      </w:r>
      <w:r w:rsidRPr="001C0F5D">
        <w:rPr>
          <w:bCs/>
        </w:rPr>
        <w:t xml:space="preserve"> added.</w:t>
      </w:r>
    </w:p>
    <w:p w14:paraId="211CD0B6" w14:textId="77777777" w:rsidR="00DB36E9" w:rsidRPr="001C0F5D" w:rsidRDefault="00DB36E9" w:rsidP="00DB36E9">
      <w:pPr>
        <w:spacing w:after="120"/>
        <w:ind w:left="1134" w:right="1134"/>
        <w:jc w:val="both"/>
        <w:rPr>
          <w:bCs/>
        </w:rPr>
      </w:pPr>
      <w:r w:rsidRPr="001C0F5D">
        <w:rPr>
          <w:bCs/>
        </w:rPr>
        <w:t>3.</w:t>
      </w:r>
      <w:r w:rsidRPr="001C0F5D">
        <w:rPr>
          <w:bCs/>
        </w:rPr>
        <w:tab/>
        <w:t xml:space="preserve">GRE, at its </w:t>
      </w:r>
      <w:r w:rsidRPr="000B2EDD">
        <w:rPr>
          <w:bCs/>
        </w:rPr>
        <w:t xml:space="preserve">seventy-ninth </w:t>
      </w:r>
      <w:r w:rsidRPr="001C0F5D">
        <w:rPr>
          <w:bCs/>
        </w:rPr>
        <w:t xml:space="preserve">session, decided that elements of the objectives of IWG VGL (ECE/TRANS/WP.29/GRE/76, Annex III) would be transferred to IWG SLR, </w:t>
      </w:r>
      <w:r w:rsidRPr="000B2EDD">
        <w:rPr>
          <w:bCs/>
        </w:rPr>
        <w:t>in order to avoid duplication of work and since both groups had converging goals</w:t>
      </w:r>
      <w:r w:rsidRPr="001C0F5D">
        <w:rPr>
          <w:bCs/>
        </w:rPr>
        <w:t xml:space="preserve"> (ECE/TRANS/WP.29/GRE/79, para. 31).</w:t>
      </w:r>
    </w:p>
    <w:p w14:paraId="697FA41E" w14:textId="77777777" w:rsidR="00DB36E9" w:rsidRPr="001C0F5D" w:rsidRDefault="00DB36E9" w:rsidP="00DB36E9">
      <w:pPr>
        <w:spacing w:after="120"/>
        <w:ind w:left="1134" w:right="1134"/>
        <w:jc w:val="both"/>
        <w:rPr>
          <w:bCs/>
        </w:rPr>
      </w:pPr>
      <w:r w:rsidRPr="001C0F5D">
        <w:rPr>
          <w:bCs/>
        </w:rPr>
        <w:t>4.</w:t>
      </w:r>
      <w:r w:rsidRPr="001C0F5D">
        <w:rPr>
          <w:bCs/>
        </w:rPr>
        <w:tab/>
        <w:t xml:space="preserve">As indicated in </w:t>
      </w:r>
      <w:r>
        <w:rPr>
          <w:bCs/>
        </w:rPr>
        <w:t>its</w:t>
      </w:r>
      <w:r w:rsidRPr="001C0F5D">
        <w:rPr>
          <w:bCs/>
        </w:rPr>
        <w:t xml:space="preserve"> adopted Terms of Reference (ECE/TRANS/WP.29/GRE/79, Annex II), IWG SLR shall take over and consider the outcome of IWG VGL</w:t>
      </w:r>
      <w:r>
        <w:rPr>
          <w:bCs/>
        </w:rPr>
        <w:t xml:space="preserve"> (</w:t>
      </w:r>
      <w:r w:rsidRPr="001C0F5D">
        <w:rPr>
          <w:bCs/>
        </w:rPr>
        <w:t>based on the discussion document GRE-79-29</w:t>
      </w:r>
      <w:r>
        <w:rPr>
          <w:bCs/>
        </w:rPr>
        <w:t>)</w:t>
      </w:r>
      <w:r w:rsidRPr="001C0F5D">
        <w:rPr>
          <w:bCs/>
        </w:rPr>
        <w:t xml:space="preserve"> as recommended </w:t>
      </w:r>
      <w:r>
        <w:rPr>
          <w:bCs/>
        </w:rPr>
        <w:t>at</w:t>
      </w:r>
      <w:r w:rsidRPr="001C0F5D">
        <w:rPr>
          <w:bCs/>
        </w:rPr>
        <w:t xml:space="preserve"> the </w:t>
      </w:r>
      <w:r w:rsidRPr="000B2EDD">
        <w:rPr>
          <w:bCs/>
        </w:rPr>
        <w:t xml:space="preserve">seventy-ninth </w:t>
      </w:r>
      <w:r w:rsidRPr="001C0F5D">
        <w:rPr>
          <w:bCs/>
        </w:rPr>
        <w:t>session of GRE (ECE/TRANS/WP.29/GRE/79, para. 31).</w:t>
      </w:r>
    </w:p>
    <w:p w14:paraId="60C7F01C" w14:textId="77777777" w:rsidR="00DB36E9" w:rsidRDefault="00DB36E9" w:rsidP="00DB36E9">
      <w:pPr>
        <w:spacing w:after="120"/>
        <w:ind w:left="1134" w:right="1134"/>
        <w:jc w:val="both"/>
        <w:rPr>
          <w:bCs/>
        </w:rPr>
      </w:pPr>
      <w:r w:rsidRPr="001C0F5D">
        <w:rPr>
          <w:bCs/>
        </w:rPr>
        <w:t>5.</w:t>
      </w:r>
      <w:r w:rsidRPr="001C0F5D">
        <w:rPr>
          <w:bCs/>
        </w:rPr>
        <w:tab/>
        <w:t>IWG SLR, at its twenty-seventh session, considered informal document GRE-79-29 and decided to submit it without modifications to the eighty-first GRE session for comments</w:t>
      </w:r>
      <w:r>
        <w:rPr>
          <w:bCs/>
        </w:rPr>
        <w:t xml:space="preserve"> (</w:t>
      </w:r>
      <w:r w:rsidRPr="00F45FFF">
        <w:rPr>
          <w:bCs/>
        </w:rPr>
        <w:t>ECE/TRANS/WP.29/GRE/2019/3</w:t>
      </w:r>
      <w:r>
        <w:rPr>
          <w:bCs/>
        </w:rPr>
        <w:t>)</w:t>
      </w:r>
      <w:r w:rsidRPr="001C0F5D">
        <w:rPr>
          <w:bCs/>
        </w:rPr>
        <w:t xml:space="preserve">. </w:t>
      </w:r>
    </w:p>
    <w:p w14:paraId="71533A82" w14:textId="77777777" w:rsidR="00DB36E9" w:rsidRDefault="00DB36E9" w:rsidP="00DB36E9">
      <w:pPr>
        <w:spacing w:after="120"/>
        <w:ind w:left="1134" w:right="1134"/>
        <w:jc w:val="both"/>
        <w:rPr>
          <w:bCs/>
        </w:rPr>
      </w:pPr>
      <w:r>
        <w:rPr>
          <w:bCs/>
        </w:rPr>
        <w:t>6.</w:t>
      </w:r>
      <w:r>
        <w:rPr>
          <w:bCs/>
        </w:rPr>
        <w:tab/>
      </w:r>
      <w:r w:rsidRPr="00F45FFF">
        <w:rPr>
          <w:bCs/>
        </w:rPr>
        <w:t>Following an in-depth consideration</w:t>
      </w:r>
      <w:r>
        <w:rPr>
          <w:bCs/>
        </w:rPr>
        <w:t xml:space="preserve"> during the </w:t>
      </w:r>
      <w:r w:rsidRPr="001C0F5D">
        <w:rPr>
          <w:bCs/>
        </w:rPr>
        <w:t>eighty-first GRE session</w:t>
      </w:r>
      <w:r w:rsidRPr="00F45FFF">
        <w:rPr>
          <w:bCs/>
        </w:rPr>
        <w:t>, GRE agreed</w:t>
      </w:r>
      <w:r>
        <w:rPr>
          <w:bCs/>
        </w:rPr>
        <w:t xml:space="preserve"> </w:t>
      </w:r>
      <w:r w:rsidRPr="00F45FFF">
        <w:rPr>
          <w:bCs/>
        </w:rPr>
        <w:t>on a modified diagram (GRE-81-21 and Annex II) and requested IWG SLR to prepare, on</w:t>
      </w:r>
      <w:r>
        <w:rPr>
          <w:bCs/>
        </w:rPr>
        <w:t xml:space="preserve"> </w:t>
      </w:r>
      <w:r w:rsidRPr="00F45FFF">
        <w:rPr>
          <w:bCs/>
        </w:rPr>
        <w:t>the basis of the new diagram, a revised proposal for consideration at the next session</w:t>
      </w:r>
      <w:r>
        <w:rPr>
          <w:bCs/>
        </w:rPr>
        <w:t xml:space="preserve"> </w:t>
      </w:r>
      <w:r w:rsidRPr="001C0F5D">
        <w:rPr>
          <w:bCs/>
        </w:rPr>
        <w:t>(ECE/TRANS/WP.29/GRE/</w:t>
      </w:r>
      <w:r>
        <w:rPr>
          <w:bCs/>
        </w:rPr>
        <w:t>81</w:t>
      </w:r>
      <w:r w:rsidRPr="001C0F5D">
        <w:rPr>
          <w:bCs/>
        </w:rPr>
        <w:t xml:space="preserve">, para. </w:t>
      </w:r>
      <w:r>
        <w:rPr>
          <w:bCs/>
        </w:rPr>
        <w:t>10</w:t>
      </w:r>
      <w:r w:rsidRPr="001C0F5D">
        <w:rPr>
          <w:bCs/>
        </w:rPr>
        <w:t>)</w:t>
      </w:r>
      <w:r>
        <w:rPr>
          <w:bCs/>
        </w:rPr>
        <w:t>.</w:t>
      </w:r>
    </w:p>
    <w:p w14:paraId="20F8935A" w14:textId="77777777" w:rsidR="00DB36E9" w:rsidRDefault="00DB36E9" w:rsidP="00DB36E9">
      <w:pPr>
        <w:spacing w:after="120"/>
        <w:ind w:left="1134" w:right="1134"/>
        <w:jc w:val="both"/>
        <w:rPr>
          <w:bCs/>
        </w:rPr>
      </w:pPr>
      <w:r>
        <w:rPr>
          <w:bCs/>
        </w:rPr>
        <w:t>7.</w:t>
      </w:r>
      <w:r>
        <w:rPr>
          <w:bCs/>
        </w:rPr>
        <w:tab/>
      </w:r>
      <w:r w:rsidRPr="001C0F5D">
        <w:rPr>
          <w:bCs/>
        </w:rPr>
        <w:t>IWG SLR</w:t>
      </w:r>
      <w:r>
        <w:rPr>
          <w:bCs/>
        </w:rPr>
        <w:t xml:space="preserve">, </w:t>
      </w:r>
      <w:r w:rsidRPr="00F45FFF">
        <w:rPr>
          <w:bCs/>
        </w:rPr>
        <w:t>in line with the GRE request</w:t>
      </w:r>
      <w:r>
        <w:rPr>
          <w:bCs/>
        </w:rPr>
        <w:t xml:space="preserve">, submitted to the </w:t>
      </w:r>
      <w:r w:rsidRPr="001C0F5D">
        <w:rPr>
          <w:bCs/>
        </w:rPr>
        <w:t>eighty-</w:t>
      </w:r>
      <w:r>
        <w:rPr>
          <w:bCs/>
        </w:rPr>
        <w:t xml:space="preserve">second </w:t>
      </w:r>
      <w:r w:rsidRPr="001C0F5D">
        <w:rPr>
          <w:bCs/>
        </w:rPr>
        <w:t>GRE session</w:t>
      </w:r>
      <w:r>
        <w:rPr>
          <w:bCs/>
        </w:rPr>
        <w:t xml:space="preserve"> a revised proposal (GRE-82-25) which has been extensively discussed during the meeting. Eventually </w:t>
      </w:r>
      <w:r w:rsidRPr="00A37A5B">
        <w:rPr>
          <w:bCs/>
        </w:rPr>
        <w:t>GRE requested IWG SLR to prepare a revised document</w:t>
      </w:r>
      <w:r>
        <w:rPr>
          <w:bCs/>
        </w:rPr>
        <w:t xml:space="preserve"> </w:t>
      </w:r>
      <w:r w:rsidRPr="00A37A5B">
        <w:rPr>
          <w:bCs/>
        </w:rPr>
        <w:t>for the next session</w:t>
      </w:r>
      <w:r>
        <w:rPr>
          <w:bCs/>
        </w:rPr>
        <w:t xml:space="preserve">, taking into account the comments made at the </w:t>
      </w:r>
      <w:r w:rsidRPr="001C0F5D">
        <w:rPr>
          <w:bCs/>
        </w:rPr>
        <w:t>eighty-</w:t>
      </w:r>
      <w:r>
        <w:rPr>
          <w:bCs/>
        </w:rPr>
        <w:t xml:space="preserve">second </w:t>
      </w:r>
      <w:r w:rsidRPr="001C0F5D">
        <w:rPr>
          <w:bCs/>
        </w:rPr>
        <w:t>GRE session</w:t>
      </w:r>
      <w:r>
        <w:rPr>
          <w:bCs/>
        </w:rPr>
        <w:t xml:space="preserve"> (</w:t>
      </w:r>
      <w:r w:rsidRPr="001C0F5D">
        <w:rPr>
          <w:bCs/>
        </w:rPr>
        <w:t>ECE/TRANS/WP.29/GRE/</w:t>
      </w:r>
      <w:r>
        <w:rPr>
          <w:bCs/>
        </w:rPr>
        <w:t>82</w:t>
      </w:r>
      <w:r w:rsidRPr="001C0F5D">
        <w:rPr>
          <w:bCs/>
        </w:rPr>
        <w:t xml:space="preserve">, para. </w:t>
      </w:r>
      <w:r>
        <w:rPr>
          <w:bCs/>
        </w:rPr>
        <w:t>31).</w:t>
      </w:r>
    </w:p>
    <w:p w14:paraId="7B399C90" w14:textId="77777777" w:rsidR="00DB36E9" w:rsidRDefault="00DB36E9" w:rsidP="00DB36E9">
      <w:pPr>
        <w:spacing w:after="120"/>
        <w:ind w:left="1134" w:right="1134"/>
        <w:jc w:val="both"/>
        <w:rPr>
          <w:bCs/>
        </w:rPr>
      </w:pPr>
      <w:r>
        <w:rPr>
          <w:bCs/>
        </w:rPr>
        <w:t>8.</w:t>
      </w:r>
      <w:r>
        <w:rPr>
          <w:bCs/>
        </w:rPr>
        <w:tab/>
        <w:t>The current proposal reflects the text that IWG SLR agreed by majority.</w:t>
      </w:r>
    </w:p>
    <w:p w14:paraId="6C383B58" w14:textId="77777777" w:rsidR="00DB36E9" w:rsidRPr="001C0F5D" w:rsidRDefault="00DB36E9" w:rsidP="00DB36E9">
      <w:pPr>
        <w:spacing w:after="120"/>
        <w:ind w:left="1134" w:right="1134"/>
        <w:jc w:val="both"/>
        <w:rPr>
          <w:lang w:val="en-US"/>
        </w:rPr>
      </w:pPr>
      <w:r>
        <w:rPr>
          <w:bCs/>
        </w:rPr>
        <w:t xml:space="preserve">9. </w:t>
      </w:r>
      <w:r>
        <w:rPr>
          <w:bCs/>
        </w:rPr>
        <w:tab/>
      </w:r>
      <w:r w:rsidRPr="001C0F5D">
        <w:rPr>
          <w:lang w:val="en-US"/>
        </w:rPr>
        <w:t>Detailed explanations for all modifications will be provided in a separate informal document.</w:t>
      </w:r>
    </w:p>
    <w:p w14:paraId="09E7702E" w14:textId="77777777" w:rsidR="007C5E2E" w:rsidRPr="002D64E2" w:rsidRDefault="007C5E2E" w:rsidP="007C5E2E">
      <w:pPr>
        <w:tabs>
          <w:tab w:val="left" w:pos="8505"/>
        </w:tabs>
        <w:spacing w:after="120" w:line="300" w:lineRule="exact"/>
        <w:ind w:left="1134" w:right="-2" w:hanging="709"/>
        <w:jc w:val="center"/>
      </w:pPr>
      <w:r>
        <w:t>__________________</w:t>
      </w:r>
    </w:p>
    <w:p w14:paraId="599E1175" w14:textId="77777777" w:rsidR="007C5E2E" w:rsidRPr="00E65265" w:rsidRDefault="007C5E2E" w:rsidP="002A7E3E">
      <w:pPr>
        <w:pStyle w:val="SingleTxtG"/>
        <w:ind w:left="2268" w:right="851" w:hanging="1134"/>
        <w:rPr>
          <w:b/>
        </w:rPr>
      </w:pPr>
    </w:p>
    <w:sectPr w:rsidR="007C5E2E" w:rsidRPr="00E65265" w:rsidSect="00E5612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AA65" w14:textId="77777777" w:rsidR="00FC5E1E" w:rsidRDefault="00FC5E1E"/>
  </w:endnote>
  <w:endnote w:type="continuationSeparator" w:id="0">
    <w:p w14:paraId="6C1CFE0C" w14:textId="77777777" w:rsidR="00FC5E1E" w:rsidRDefault="00FC5E1E"/>
  </w:endnote>
  <w:endnote w:type="continuationNotice" w:id="1">
    <w:p w14:paraId="6B6AAEC8" w14:textId="77777777" w:rsidR="00FC5E1E" w:rsidRDefault="00FC5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40D8" w14:textId="755B4D53"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sidR="001C67D9">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A413" w14:textId="36B1FA23"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C67D9">
      <w:rPr>
        <w:b/>
        <w:noProof/>
        <w:sz w:val="18"/>
      </w:rPr>
      <w:t>3</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8D4D" w14:textId="086DA06D" w:rsidR="0044265F" w:rsidRDefault="0044265F" w:rsidP="0044265F">
    <w:pPr>
      <w:pStyle w:val="Footer"/>
    </w:pPr>
    <w:r>
      <w:rPr>
        <w:noProof/>
        <w:lang w:val="en-US" w:eastAsia="zh-CN"/>
      </w:rPr>
      <w:drawing>
        <wp:anchor distT="0" distB="0" distL="114300" distR="114300" simplePos="0" relativeHeight="251659264" behindDoc="1" locked="1" layoutInCell="1" allowOverlap="1" wp14:anchorId="787DFF36" wp14:editId="14B4B82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B03728" w14:textId="4D162781" w:rsidR="0044265F" w:rsidRDefault="0044265F" w:rsidP="0044265F">
    <w:pPr>
      <w:pStyle w:val="Footer"/>
      <w:ind w:right="1134"/>
      <w:rPr>
        <w:sz w:val="20"/>
      </w:rPr>
    </w:pPr>
    <w:r>
      <w:rPr>
        <w:sz w:val="20"/>
      </w:rPr>
      <w:t>GE.20-01754(E)</w:t>
    </w:r>
  </w:p>
  <w:p w14:paraId="65F665D7" w14:textId="169447B2" w:rsidR="0044265F" w:rsidRPr="0044265F" w:rsidRDefault="0044265F" w:rsidP="004426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56A61020" wp14:editId="3C3B3E2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E/202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CBCC" w14:textId="77777777" w:rsidR="00FC5E1E" w:rsidRPr="000B175B" w:rsidRDefault="00FC5E1E" w:rsidP="000B175B">
      <w:pPr>
        <w:tabs>
          <w:tab w:val="right" w:pos="2155"/>
        </w:tabs>
        <w:spacing w:after="80"/>
        <w:ind w:left="680"/>
        <w:rPr>
          <w:u w:val="single"/>
        </w:rPr>
      </w:pPr>
      <w:r>
        <w:rPr>
          <w:u w:val="single"/>
        </w:rPr>
        <w:tab/>
      </w:r>
    </w:p>
  </w:footnote>
  <w:footnote w:type="continuationSeparator" w:id="0">
    <w:p w14:paraId="134F6C8D" w14:textId="77777777" w:rsidR="00FC5E1E" w:rsidRPr="00FC68B7" w:rsidRDefault="00FC5E1E" w:rsidP="00FC68B7">
      <w:pPr>
        <w:tabs>
          <w:tab w:val="left" w:pos="2155"/>
        </w:tabs>
        <w:spacing w:after="80"/>
        <w:ind w:left="680"/>
        <w:rPr>
          <w:u w:val="single"/>
        </w:rPr>
      </w:pPr>
      <w:r>
        <w:rPr>
          <w:u w:val="single"/>
        </w:rPr>
        <w:tab/>
      </w:r>
    </w:p>
  </w:footnote>
  <w:footnote w:type="continuationNotice" w:id="1">
    <w:p w14:paraId="5ED8B3FA" w14:textId="77777777" w:rsidR="00FC5E1E" w:rsidRDefault="00FC5E1E"/>
  </w:footnote>
  <w:footnote w:id="2">
    <w:p w14:paraId="3C58564B" w14:textId="7B324E70" w:rsidR="00B055F5" w:rsidRPr="007E5C8F" w:rsidRDefault="00B055F5" w:rsidP="00E56125">
      <w:pPr>
        <w:pStyle w:val="FootnoteText"/>
      </w:pPr>
      <w:r>
        <w:tab/>
      </w:r>
      <w:r w:rsidRPr="00242EAF">
        <w:rPr>
          <w:rStyle w:val="FootnoteReference"/>
          <w:sz w:val="20"/>
          <w:lang w:val="en-US"/>
        </w:rPr>
        <w:t>*</w:t>
      </w:r>
      <w:r w:rsidRPr="00242EAF">
        <w:rPr>
          <w:sz w:val="20"/>
          <w:lang w:val="en-US"/>
        </w:rPr>
        <w:tab/>
      </w:r>
      <w:r w:rsidR="00E56125" w:rsidRPr="0055555E">
        <w:rPr>
          <w:szCs w:val="18"/>
          <w:lang w:val="en-US"/>
        </w:rPr>
        <w:t xml:space="preserve">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 </w:t>
      </w:r>
    </w:p>
  </w:footnote>
  <w:footnote w:id="3">
    <w:p w14:paraId="4A6AD25E" w14:textId="1399584F" w:rsidR="00DB36E9" w:rsidRPr="00EC0924" w:rsidRDefault="006B6C1D" w:rsidP="00DB36E9">
      <w:pPr>
        <w:pStyle w:val="FootnoteText"/>
        <w:ind w:right="1467" w:hanging="414"/>
      </w:pPr>
      <w:r>
        <w:tab/>
      </w:r>
      <w:r w:rsidR="00DB36E9">
        <w:rPr>
          <w:rStyle w:val="FootnoteReference"/>
        </w:rPr>
        <w:footnoteRef/>
      </w:r>
      <w:r w:rsidR="00DB36E9">
        <w:tab/>
      </w:r>
      <w:r w:rsidR="00DB36E9" w:rsidRPr="00EC0924">
        <w:rPr>
          <w:szCs w:val="18"/>
          <w:lang w:val="en-US"/>
        </w:rPr>
        <w:t xml:space="preserve">As defined in the Consolidated Resolution on the Construction of Vehicles (R.E.3.), document ECE/TRANS/WP.29/78/Rev.3, para. 2 </w:t>
      </w:r>
      <w:r w:rsidR="00DB36E9" w:rsidRPr="00EC0924">
        <w:rPr>
          <w:szCs w:val="18"/>
        </w:rPr>
        <w:t xml:space="preserve">- </w:t>
      </w:r>
      <w:hyperlink r:id="rId1" w:history="1">
        <w:r w:rsidR="00DB36E9" w:rsidRPr="00EC0924">
          <w:rPr>
            <w:rStyle w:val="Hyperlink"/>
            <w:szCs w:val="18"/>
          </w:rPr>
          <w:t>www.unece.org/trans/main/wp29/wp29wgs/wp29gen/wp29resolutions.html</w:t>
        </w:r>
      </w:hyperlink>
    </w:p>
  </w:footnote>
  <w:footnote w:id="4">
    <w:p w14:paraId="7F1549F2" w14:textId="1BAA3B56" w:rsidR="00DB36E9" w:rsidRPr="00373DCA" w:rsidRDefault="00AE7113" w:rsidP="00DB36E9">
      <w:pPr>
        <w:pStyle w:val="FootnoteText"/>
      </w:pPr>
      <w:r>
        <w:tab/>
      </w:r>
      <w:r w:rsidR="00DB36E9">
        <w:rPr>
          <w:rStyle w:val="FootnoteReference"/>
        </w:rPr>
        <w:t>1</w:t>
      </w:r>
      <w:r w:rsidR="00DB36E9">
        <w:t xml:space="preserve"> </w:t>
      </w:r>
      <w:r>
        <w:tab/>
      </w:r>
      <w:r>
        <w:tab/>
      </w:r>
      <w:r w:rsidR="00DB36E9" w:rsidRPr="006C3087">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113A" w14:textId="09536C29" w:rsidR="00B055F5" w:rsidRPr="006C395D" w:rsidRDefault="00B055F5" w:rsidP="005726B5">
    <w:pPr>
      <w:pStyle w:val="Header"/>
    </w:pPr>
    <w:r w:rsidRPr="00EC151E">
      <w:t>ECE/TRANS/WP.29/GRE/20</w:t>
    </w:r>
    <w:r w:rsidR="00472E7E">
      <w:t>20</w:t>
    </w:r>
    <w:r w:rsidRPr="00EC151E">
      <w:t>/</w:t>
    </w:r>
    <w:r w:rsidR="008168E9">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B1A0" w14:textId="39539CCA" w:rsidR="00B055F5" w:rsidRDefault="00B055F5" w:rsidP="00E5407E">
    <w:pPr>
      <w:pStyle w:val="Header"/>
      <w:jc w:val="right"/>
    </w:pPr>
    <w:r w:rsidRPr="00EC151E">
      <w:t>ECE/TRANS/WP.29/GRE/20</w:t>
    </w:r>
    <w:r w:rsidR="00E56125">
      <w:t>20</w:t>
    </w:r>
    <w:r w:rsidRPr="00EC151E">
      <w:t>/</w:t>
    </w:r>
    <w:r w:rsidR="008168E9">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D399" w14:textId="77777777" w:rsidR="00B055F5" w:rsidRPr="007B4C72" w:rsidRDefault="00B055F5"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4"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2"/>
  </w:num>
  <w:num w:numId="7">
    <w:abstractNumId w:val="1"/>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81A2-72B7-4E1A-9A92-125B3D99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2867</Words>
  <Characters>15186</Characters>
  <Application>Microsoft Office Word</Application>
  <DocSecurity>0</DocSecurity>
  <Lines>339</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17929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Generic Pdf eng</cp:lastModifiedBy>
  <cp:revision>2</cp:revision>
  <cp:lastPrinted>2018-04-06T18:13:00Z</cp:lastPrinted>
  <dcterms:created xsi:type="dcterms:W3CDTF">2020-02-06T13:27:00Z</dcterms:created>
  <dcterms:modified xsi:type="dcterms:W3CDTF">2020-02-06T13:27:00Z</dcterms:modified>
</cp:coreProperties>
</file>