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B25C383" w14:textId="77777777" w:rsidTr="00C97039">
        <w:trPr>
          <w:trHeight w:hRule="exact" w:val="851"/>
        </w:trPr>
        <w:tc>
          <w:tcPr>
            <w:tcW w:w="1276" w:type="dxa"/>
            <w:tcBorders>
              <w:bottom w:val="single" w:sz="4" w:space="0" w:color="auto"/>
            </w:tcBorders>
          </w:tcPr>
          <w:p w14:paraId="3CBBB540" w14:textId="77777777" w:rsidR="00F35BAF" w:rsidRPr="00DB58B5" w:rsidRDefault="00F35BAF" w:rsidP="00184E24"/>
        </w:tc>
        <w:tc>
          <w:tcPr>
            <w:tcW w:w="2268" w:type="dxa"/>
            <w:tcBorders>
              <w:bottom w:val="single" w:sz="4" w:space="0" w:color="auto"/>
            </w:tcBorders>
            <w:vAlign w:val="bottom"/>
          </w:tcPr>
          <w:p w14:paraId="08252E4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6CD4A0" w14:textId="77777777" w:rsidR="00F35BAF" w:rsidRPr="00DB58B5" w:rsidRDefault="00184E24" w:rsidP="00184E24">
            <w:pPr>
              <w:jc w:val="right"/>
            </w:pPr>
            <w:r w:rsidRPr="00184E24">
              <w:rPr>
                <w:sz w:val="40"/>
              </w:rPr>
              <w:t>ECE</w:t>
            </w:r>
            <w:r>
              <w:t>/TRANS/WP.29/GRE/2020/5</w:t>
            </w:r>
          </w:p>
        </w:tc>
      </w:tr>
      <w:tr w:rsidR="00F35BAF" w:rsidRPr="00DB58B5" w14:paraId="7078B5A8" w14:textId="77777777" w:rsidTr="00C97039">
        <w:trPr>
          <w:trHeight w:hRule="exact" w:val="2835"/>
        </w:trPr>
        <w:tc>
          <w:tcPr>
            <w:tcW w:w="1276" w:type="dxa"/>
            <w:tcBorders>
              <w:top w:val="single" w:sz="4" w:space="0" w:color="auto"/>
              <w:bottom w:val="single" w:sz="12" w:space="0" w:color="auto"/>
            </w:tcBorders>
          </w:tcPr>
          <w:p w14:paraId="42CA33B5" w14:textId="77777777" w:rsidR="00F35BAF" w:rsidRPr="00DB58B5" w:rsidRDefault="00F35BAF" w:rsidP="00C97039">
            <w:pPr>
              <w:spacing w:before="120"/>
              <w:jc w:val="center"/>
            </w:pPr>
            <w:r>
              <w:rPr>
                <w:noProof/>
                <w:lang w:eastAsia="fr-CH"/>
              </w:rPr>
              <w:drawing>
                <wp:inline distT="0" distB="0" distL="0" distR="0" wp14:anchorId="65244B81" wp14:editId="3C7192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2E8CA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D6E412" w14:textId="77777777" w:rsidR="00F35BAF" w:rsidRDefault="00184E24" w:rsidP="00C97039">
            <w:pPr>
              <w:spacing w:before="240"/>
            </w:pPr>
            <w:proofErr w:type="spellStart"/>
            <w:r>
              <w:t>Distr</w:t>
            </w:r>
            <w:proofErr w:type="spellEnd"/>
            <w:r>
              <w:t>. générale</w:t>
            </w:r>
          </w:p>
          <w:p w14:paraId="04F8549E" w14:textId="77777777" w:rsidR="00184E24" w:rsidRDefault="00184E24" w:rsidP="00184E24">
            <w:pPr>
              <w:spacing w:line="240" w:lineRule="exact"/>
            </w:pPr>
            <w:r>
              <w:t>5 février 2020</w:t>
            </w:r>
          </w:p>
          <w:p w14:paraId="45D2EF37" w14:textId="77777777" w:rsidR="00184E24" w:rsidRDefault="00184E24" w:rsidP="00184E24">
            <w:pPr>
              <w:spacing w:line="240" w:lineRule="exact"/>
            </w:pPr>
            <w:r>
              <w:t>Français</w:t>
            </w:r>
          </w:p>
          <w:p w14:paraId="482FE533" w14:textId="77777777" w:rsidR="00184E24" w:rsidRPr="00DB58B5" w:rsidRDefault="00184E24" w:rsidP="00184E24">
            <w:pPr>
              <w:spacing w:line="240" w:lineRule="exact"/>
            </w:pPr>
            <w:r>
              <w:t>Original : anglais</w:t>
            </w:r>
          </w:p>
        </w:tc>
      </w:tr>
    </w:tbl>
    <w:p w14:paraId="61DDEFF5" w14:textId="77777777" w:rsidR="007F20FA" w:rsidRPr="000312C0" w:rsidRDefault="007F20FA" w:rsidP="007F20FA">
      <w:pPr>
        <w:spacing w:before="120"/>
        <w:rPr>
          <w:b/>
          <w:sz w:val="28"/>
          <w:szCs w:val="28"/>
        </w:rPr>
      </w:pPr>
      <w:r w:rsidRPr="000312C0">
        <w:rPr>
          <w:b/>
          <w:sz w:val="28"/>
          <w:szCs w:val="28"/>
        </w:rPr>
        <w:t>Commission économique pour l’Europe</w:t>
      </w:r>
    </w:p>
    <w:p w14:paraId="1A4B62A6" w14:textId="77777777" w:rsidR="007F20FA" w:rsidRDefault="007F20FA" w:rsidP="007F20FA">
      <w:pPr>
        <w:spacing w:before="120"/>
        <w:rPr>
          <w:sz w:val="28"/>
          <w:szCs w:val="28"/>
        </w:rPr>
      </w:pPr>
      <w:r w:rsidRPr="00685843">
        <w:rPr>
          <w:sz w:val="28"/>
          <w:szCs w:val="28"/>
        </w:rPr>
        <w:t>Comité des transports intérieurs</w:t>
      </w:r>
    </w:p>
    <w:p w14:paraId="59142935" w14:textId="77777777" w:rsidR="00184E24" w:rsidRDefault="00184E2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57DCB37" w14:textId="77777777" w:rsidR="00184E24" w:rsidRDefault="00184E24" w:rsidP="00257168">
      <w:pPr>
        <w:spacing w:before="120" w:after="120" w:line="240" w:lineRule="exact"/>
        <w:rPr>
          <w:b/>
        </w:rPr>
      </w:pPr>
      <w:r>
        <w:rPr>
          <w:b/>
        </w:rPr>
        <w:t>Groupe de travail de l’éclairage et de la signalisation lumineuse</w:t>
      </w:r>
    </w:p>
    <w:p w14:paraId="75E9EB92" w14:textId="77777777" w:rsidR="00184E24" w:rsidRDefault="00184E24" w:rsidP="00257168">
      <w:pPr>
        <w:spacing w:before="120" w:line="240" w:lineRule="exact"/>
        <w:rPr>
          <w:b/>
        </w:rPr>
      </w:pPr>
      <w:r w:rsidRPr="00BA76DE">
        <w:rPr>
          <w:rFonts w:eastAsia="Times New Roman"/>
          <w:b/>
          <w:bCs/>
          <w:lang w:val="fr-FR"/>
        </w:rPr>
        <w:t>Quatre-vingt-troisième</w:t>
      </w:r>
      <w:r>
        <w:rPr>
          <w:b/>
        </w:rPr>
        <w:t xml:space="preserve"> session</w:t>
      </w:r>
    </w:p>
    <w:p w14:paraId="29FF4424" w14:textId="77777777" w:rsidR="00184E24" w:rsidRDefault="00184E24" w:rsidP="00D77329">
      <w:pPr>
        <w:spacing w:after="120" w:line="240" w:lineRule="exact"/>
      </w:pPr>
      <w:r>
        <w:t xml:space="preserve">Genève, </w:t>
      </w:r>
      <w:r w:rsidRPr="00BA76DE">
        <w:rPr>
          <w:rFonts w:eastAsia="Times New Roman"/>
          <w:lang w:val="fr-FR"/>
        </w:rPr>
        <w:t>21-24</w:t>
      </w:r>
      <w:r>
        <w:rPr>
          <w:rFonts w:eastAsia="Times New Roman"/>
          <w:lang w:val="fr-FR"/>
        </w:rPr>
        <w:t> </w:t>
      </w:r>
      <w:r w:rsidRPr="00BA76DE">
        <w:rPr>
          <w:rFonts w:eastAsia="Times New Roman"/>
          <w:lang w:val="fr-FR"/>
        </w:rPr>
        <w:t>avril 2020</w:t>
      </w:r>
      <w:bookmarkStart w:id="0" w:name="_GoBack"/>
      <w:bookmarkEnd w:id="0"/>
    </w:p>
    <w:p w14:paraId="40E5D58C" w14:textId="77777777" w:rsidR="00184E24" w:rsidRDefault="00184E24" w:rsidP="00257168">
      <w:pPr>
        <w:spacing w:line="240" w:lineRule="exact"/>
      </w:pPr>
      <w:r>
        <w:t xml:space="preserve">Point </w:t>
      </w:r>
      <w:r w:rsidRPr="00BA76DE">
        <w:rPr>
          <w:rFonts w:eastAsia="Times New Roman"/>
          <w:lang w:val="fr-FR"/>
        </w:rPr>
        <w:t xml:space="preserve">4 b) </w:t>
      </w:r>
      <w:r>
        <w:t>de l’ordre du jour</w:t>
      </w:r>
    </w:p>
    <w:p w14:paraId="4C3E25BD" w14:textId="77777777" w:rsidR="00184E24" w:rsidRPr="009F3A8C" w:rsidRDefault="00184E24" w:rsidP="00406463">
      <w:pPr>
        <w:kinsoku/>
        <w:overflowPunct/>
        <w:autoSpaceDE/>
        <w:autoSpaceDN/>
        <w:adjustRightInd/>
        <w:snapToGrid/>
        <w:ind w:right="1467"/>
        <w:rPr>
          <w:rFonts w:eastAsia="Times New Roman"/>
          <w:b/>
          <w:bCs/>
          <w:lang w:val="fr-FR"/>
        </w:rPr>
      </w:pPr>
      <w:r w:rsidRPr="00BA76DE">
        <w:rPr>
          <w:rFonts w:eastAsia="Times New Roman"/>
          <w:b/>
          <w:bCs/>
          <w:lang w:val="fr-FR"/>
        </w:rPr>
        <w:t xml:space="preserve">Simplification des Règlements ONU relatifs à l’éclairage </w:t>
      </w:r>
      <w:r>
        <w:rPr>
          <w:rFonts w:eastAsia="Times New Roman"/>
          <w:b/>
          <w:bCs/>
          <w:lang w:val="fr-FR"/>
        </w:rPr>
        <w:br/>
      </w:r>
      <w:r w:rsidRPr="00BA76DE">
        <w:rPr>
          <w:rFonts w:eastAsia="Times New Roman"/>
          <w:b/>
          <w:bCs/>
          <w:lang w:val="fr-FR"/>
        </w:rPr>
        <w:t>et à la signalisation lumineuse</w:t>
      </w:r>
      <w:r>
        <w:rPr>
          <w:rFonts w:eastAsia="Times New Roman"/>
          <w:b/>
          <w:bCs/>
          <w:lang w:val="fr-FR"/>
        </w:rPr>
        <w:t> :</w:t>
      </w:r>
      <w:r w:rsidR="00406463">
        <w:rPr>
          <w:rFonts w:eastAsia="Times New Roman"/>
          <w:b/>
          <w:bCs/>
          <w:lang w:val="fr-FR"/>
        </w:rPr>
        <w:t xml:space="preserve"> </w:t>
      </w:r>
      <w:r w:rsidRPr="00BA76DE">
        <w:rPr>
          <w:rFonts w:eastAsia="Times New Roman"/>
          <w:b/>
          <w:bCs/>
          <w:lang w:val="fr-FR"/>
        </w:rPr>
        <w:t>Règlement ONU n</w:t>
      </w:r>
      <w:r w:rsidRPr="00BA76DE">
        <w:rPr>
          <w:rFonts w:eastAsia="Times New Roman"/>
          <w:b/>
          <w:bCs/>
          <w:vertAlign w:val="superscript"/>
          <w:lang w:val="fr-FR"/>
        </w:rPr>
        <w:t>o</w:t>
      </w:r>
      <w:r>
        <w:rPr>
          <w:rFonts w:eastAsia="Times New Roman"/>
          <w:b/>
          <w:bCs/>
          <w:lang w:val="fr-FR"/>
        </w:rPr>
        <w:t> </w:t>
      </w:r>
      <w:r w:rsidRPr="00BA76DE">
        <w:rPr>
          <w:rFonts w:eastAsia="Times New Roman"/>
          <w:b/>
          <w:bCs/>
          <w:lang w:val="fr-FR"/>
        </w:rPr>
        <w:t>14</w:t>
      </w:r>
      <w:r>
        <w:rPr>
          <w:rFonts w:eastAsia="Times New Roman"/>
          <w:b/>
          <w:bCs/>
          <w:lang w:val="fr-FR"/>
        </w:rPr>
        <w:t>8</w:t>
      </w:r>
      <w:r w:rsidRPr="00BA76DE">
        <w:rPr>
          <w:rFonts w:eastAsia="Times New Roman"/>
          <w:b/>
          <w:bCs/>
          <w:lang w:val="fr-FR"/>
        </w:rPr>
        <w:t xml:space="preserve"> </w:t>
      </w:r>
      <w:r w:rsidR="00406463">
        <w:rPr>
          <w:rFonts w:eastAsia="Times New Roman"/>
          <w:b/>
          <w:bCs/>
          <w:lang w:val="fr-FR"/>
        </w:rPr>
        <w:br/>
      </w:r>
      <w:r w:rsidRPr="00BA76DE">
        <w:rPr>
          <w:rFonts w:eastAsia="Times New Roman"/>
          <w:b/>
          <w:bCs/>
          <w:lang w:val="fr-FR"/>
        </w:rPr>
        <w:t>(Dispositifs de signalisation lumineuse)</w:t>
      </w:r>
    </w:p>
    <w:p w14:paraId="073AA140" w14:textId="77777777" w:rsidR="00184E24" w:rsidRPr="009F3A8C" w:rsidRDefault="00184E24" w:rsidP="00184E24">
      <w:pPr>
        <w:kinsoku/>
        <w:overflowPunct/>
        <w:autoSpaceDE/>
        <w:autoSpaceDN/>
        <w:adjustRightInd/>
        <w:snapToGrid/>
        <w:spacing w:before="120"/>
        <w:ind w:right="1134"/>
        <w:rPr>
          <w:rFonts w:eastAsia="Times New Roman"/>
          <w:bCs/>
          <w:lang w:val="fr-FR"/>
        </w:rPr>
      </w:pPr>
      <w:r w:rsidRPr="00BA76DE">
        <w:rPr>
          <w:rFonts w:eastAsia="Times New Roman"/>
          <w:lang w:val="fr-FR"/>
        </w:rPr>
        <w:t>Point 6 a) de l’ordre du jour provisoire</w:t>
      </w:r>
    </w:p>
    <w:p w14:paraId="6F48C2B4" w14:textId="77777777" w:rsidR="00184E24" w:rsidRPr="009F3A8C" w:rsidRDefault="00184E24" w:rsidP="00406463">
      <w:pPr>
        <w:kinsoku/>
        <w:overflowPunct/>
        <w:autoSpaceDE/>
        <w:autoSpaceDN/>
        <w:adjustRightInd/>
        <w:snapToGrid/>
        <w:ind w:right="1467"/>
        <w:rPr>
          <w:rFonts w:eastAsia="Times New Roman"/>
          <w:b/>
          <w:bCs/>
          <w:lang w:val="fr-FR"/>
        </w:rPr>
      </w:pPr>
      <w:r w:rsidRPr="00BA76DE">
        <w:rPr>
          <w:rFonts w:eastAsia="Times New Roman"/>
          <w:b/>
          <w:bCs/>
          <w:lang w:val="fr-FR"/>
        </w:rPr>
        <w:t xml:space="preserve">Règlement ONU </w:t>
      </w:r>
      <w:r w:rsidRPr="00184E24">
        <w:rPr>
          <w:rFonts w:eastAsia="MS Mincho"/>
          <w:b/>
          <w:bCs/>
          <w:szCs w:val="22"/>
          <w:lang w:val="fr-FR"/>
        </w:rPr>
        <w:t>n</w:t>
      </w:r>
      <w:r w:rsidRPr="00184E24">
        <w:rPr>
          <w:rFonts w:eastAsia="MS Mincho"/>
          <w:b/>
          <w:bCs/>
          <w:szCs w:val="22"/>
          <w:vertAlign w:val="superscript"/>
          <w:lang w:val="fr-FR"/>
        </w:rPr>
        <w:t>o</w:t>
      </w:r>
      <w:r>
        <w:rPr>
          <w:rFonts w:eastAsia="Times New Roman"/>
          <w:b/>
          <w:bCs/>
          <w:lang w:val="fr-FR"/>
        </w:rPr>
        <w:t> </w:t>
      </w:r>
      <w:r w:rsidRPr="00BA76DE">
        <w:rPr>
          <w:rFonts w:eastAsia="Times New Roman"/>
          <w:b/>
          <w:bCs/>
          <w:lang w:val="fr-FR"/>
        </w:rPr>
        <w:t xml:space="preserve">48 (Installation des dispositifs d’éclairage </w:t>
      </w:r>
      <w:r>
        <w:rPr>
          <w:rFonts w:eastAsia="Times New Roman"/>
          <w:b/>
          <w:bCs/>
          <w:lang w:val="fr-FR"/>
        </w:rPr>
        <w:br/>
      </w:r>
      <w:r w:rsidRPr="00BA76DE">
        <w:rPr>
          <w:rFonts w:eastAsia="Times New Roman"/>
          <w:b/>
          <w:bCs/>
          <w:lang w:val="fr-FR"/>
        </w:rPr>
        <w:t>et de signalisation lumineuse)</w:t>
      </w:r>
      <w:r>
        <w:rPr>
          <w:rFonts w:eastAsia="Times New Roman"/>
          <w:b/>
          <w:bCs/>
          <w:lang w:val="fr-FR"/>
        </w:rPr>
        <w:t> </w:t>
      </w:r>
      <w:r w:rsidRPr="00BA76DE">
        <w:rPr>
          <w:rFonts w:eastAsia="Times New Roman"/>
          <w:b/>
          <w:bCs/>
          <w:lang w:val="fr-FR"/>
        </w:rPr>
        <w:t>:</w:t>
      </w:r>
      <w:r w:rsidR="00406463">
        <w:rPr>
          <w:rFonts w:eastAsia="Times New Roman"/>
          <w:b/>
          <w:bCs/>
          <w:lang w:val="fr-FR"/>
        </w:rPr>
        <w:t xml:space="preserve"> </w:t>
      </w:r>
      <w:r w:rsidRPr="00BA76DE">
        <w:rPr>
          <w:rFonts w:eastAsia="Times New Roman"/>
          <w:b/>
          <w:bCs/>
          <w:lang w:val="fr-FR"/>
        </w:rPr>
        <w:t xml:space="preserve">Propositions d’amendements </w:t>
      </w:r>
      <w:r w:rsidR="00406463">
        <w:rPr>
          <w:rFonts w:eastAsia="Times New Roman"/>
          <w:b/>
          <w:bCs/>
          <w:lang w:val="fr-FR"/>
        </w:rPr>
        <w:br/>
      </w:r>
      <w:r w:rsidRPr="00BA76DE">
        <w:rPr>
          <w:rFonts w:eastAsia="Times New Roman"/>
          <w:b/>
          <w:bCs/>
          <w:lang w:val="fr-FR"/>
        </w:rPr>
        <w:t>aux séries 05 et 06 d’amendements</w:t>
      </w:r>
    </w:p>
    <w:p w14:paraId="556264E8" w14:textId="77777777" w:rsidR="00184E24" w:rsidRPr="009F3A8C" w:rsidRDefault="00184E24" w:rsidP="00184E24">
      <w:pPr>
        <w:pStyle w:val="HChG"/>
        <w:rPr>
          <w:lang w:val="fr-FR"/>
        </w:rPr>
      </w:pPr>
      <w:r w:rsidRPr="00BA76DE">
        <w:rPr>
          <w:lang w:val="fr-FR"/>
        </w:rPr>
        <w:tab/>
      </w:r>
      <w:r>
        <w:rPr>
          <w:lang w:val="fr-FR"/>
        </w:rPr>
        <w:tab/>
      </w:r>
      <w:r w:rsidRPr="00184E24">
        <w:rPr>
          <w:spacing w:val="2"/>
          <w:lang w:val="fr-FR"/>
        </w:rPr>
        <w:t>Proposition de compléments au Règlement ONU n</w:t>
      </w:r>
      <w:r w:rsidRPr="00184E24">
        <w:rPr>
          <w:spacing w:val="2"/>
          <w:vertAlign w:val="superscript"/>
          <w:lang w:val="fr-FR"/>
        </w:rPr>
        <w:t>o</w:t>
      </w:r>
      <w:r w:rsidRPr="00184E24">
        <w:rPr>
          <w:spacing w:val="2"/>
          <w:lang w:val="fr-FR"/>
        </w:rPr>
        <w:t> </w:t>
      </w:r>
      <w:r w:rsidRPr="00184E24">
        <w:rPr>
          <w:spacing w:val="2"/>
          <w:lang w:val="fr-FR"/>
        </w:rPr>
        <w:t xml:space="preserve">148 </w:t>
      </w:r>
      <w:r w:rsidRPr="00184E24">
        <w:rPr>
          <w:spacing w:val="2"/>
          <w:lang w:val="fr-FR"/>
        </w:rPr>
        <w:br/>
      </w:r>
      <w:r w:rsidRPr="00BA76DE">
        <w:rPr>
          <w:lang w:val="fr-FR"/>
        </w:rPr>
        <w:t>et à la série 06 d’amendements au Règlement ONU n</w:t>
      </w:r>
      <w:r w:rsidRPr="00BA76DE">
        <w:rPr>
          <w:vertAlign w:val="superscript"/>
          <w:lang w:val="fr-FR"/>
        </w:rPr>
        <w:t>o</w:t>
      </w:r>
      <w:r>
        <w:rPr>
          <w:lang w:val="fr-FR"/>
        </w:rPr>
        <w:t> </w:t>
      </w:r>
      <w:r w:rsidRPr="00BA76DE">
        <w:rPr>
          <w:lang w:val="fr-FR"/>
        </w:rPr>
        <w:t>48</w:t>
      </w:r>
    </w:p>
    <w:p w14:paraId="3AC5F950" w14:textId="77777777" w:rsidR="00184E24" w:rsidRPr="009F3A8C" w:rsidRDefault="00184E24" w:rsidP="00184E24">
      <w:pPr>
        <w:pStyle w:val="H1G"/>
        <w:rPr>
          <w:szCs w:val="24"/>
          <w:lang w:val="fr-FR"/>
        </w:rPr>
      </w:pPr>
      <w:r>
        <w:rPr>
          <w:lang w:val="fr-FR"/>
        </w:rPr>
        <w:tab/>
      </w:r>
      <w:r>
        <w:rPr>
          <w:lang w:val="fr-FR"/>
        </w:rPr>
        <w:tab/>
      </w:r>
      <w:r w:rsidRPr="00BA76DE">
        <w:rPr>
          <w:lang w:val="fr-FR"/>
        </w:rPr>
        <w:t>Communication des experts de la France et de l’Allemagne</w:t>
      </w:r>
      <w:r w:rsidRPr="00184E24">
        <w:rPr>
          <w:rStyle w:val="Appelnotedebasdep"/>
          <w:b w:val="0"/>
          <w:sz w:val="20"/>
          <w:vertAlign w:val="baseline"/>
        </w:rPr>
        <w:footnoteReference w:customMarkFollows="1" w:id="2"/>
        <w:t>*</w:t>
      </w:r>
    </w:p>
    <w:p w14:paraId="57FA5484" w14:textId="77777777" w:rsidR="00184E24" w:rsidRDefault="00184E24" w:rsidP="00184E24">
      <w:pPr>
        <w:pStyle w:val="SingleTxtG"/>
        <w:ind w:firstLine="567"/>
        <w:rPr>
          <w:lang w:val="fr-FR"/>
        </w:rPr>
      </w:pPr>
      <w:r w:rsidRPr="00BA76DE">
        <w:rPr>
          <w:lang w:val="fr-FR"/>
        </w:rPr>
        <w:t>Le présent document est une proposition révisée qui vise à autoriser l’apposition du logo du constructeur sur la surface interne de la plage réfléchissante des feux de signalisation. Il est fondé sur le document ECE/TRANS/WP.29/GRE/2019/28 et le document informel GRE-82-32</w:t>
      </w:r>
      <w:r>
        <w:rPr>
          <w:lang w:val="fr-FR"/>
        </w:rPr>
        <w:t>,</w:t>
      </w:r>
      <w:r w:rsidRPr="00BA76DE">
        <w:rPr>
          <w:lang w:val="fr-FR"/>
        </w:rPr>
        <w:t xml:space="preserve"> et il intègre les observations supplémentaires formulées à la quatre-vingt-deuxième session du Groupe de travail de l’éclairage et de la signalisation lumineuse (GRE). Les modifications apportées au document informel GRE-82-32 figurent en caractères gras.</w:t>
      </w:r>
    </w:p>
    <w:p w14:paraId="39893FB8" w14:textId="77777777" w:rsidR="00184E24" w:rsidRPr="0072060B" w:rsidRDefault="00184E24" w:rsidP="00295E49">
      <w:pPr>
        <w:pStyle w:val="HChG"/>
        <w:spacing w:before="0"/>
      </w:pPr>
      <w:r>
        <w:rPr>
          <w:lang w:val="fr-FR"/>
        </w:rPr>
        <w:br w:type="page"/>
      </w:r>
      <w:r>
        <w:rPr>
          <w:lang w:val="fr-FR"/>
        </w:rPr>
        <w:lastRenderedPageBreak/>
        <w:tab/>
      </w:r>
      <w:r w:rsidRPr="00BA76DE">
        <w:rPr>
          <w:lang w:val="fr-FR"/>
        </w:rPr>
        <w:t>I.</w:t>
      </w:r>
      <w:r w:rsidRPr="00BA76DE">
        <w:rPr>
          <w:lang w:val="fr-FR"/>
        </w:rPr>
        <w:tab/>
        <w:t>Proposition</w:t>
      </w:r>
    </w:p>
    <w:p w14:paraId="615E41AB" w14:textId="77777777" w:rsidR="00184E24" w:rsidRPr="009F3A8C" w:rsidRDefault="00184E24" w:rsidP="00184E24">
      <w:pPr>
        <w:pStyle w:val="H1G"/>
        <w:rPr>
          <w:rFonts w:eastAsia="SimSun"/>
          <w:lang w:val="fr-FR"/>
        </w:rPr>
      </w:pPr>
      <w:r>
        <w:rPr>
          <w:lang w:val="fr-FR"/>
        </w:rPr>
        <w:tab/>
      </w:r>
      <w:r w:rsidRPr="00BA76DE">
        <w:rPr>
          <w:lang w:val="fr-FR"/>
        </w:rPr>
        <w:t>A.</w:t>
      </w:r>
      <w:r w:rsidRPr="00BA76DE">
        <w:rPr>
          <w:lang w:val="fr-FR"/>
        </w:rPr>
        <w:tab/>
        <w:t xml:space="preserve">Proposition de complément au Règlement ONU </w:t>
      </w:r>
      <w:r w:rsidR="00D77329" w:rsidRPr="00D77329">
        <w:rPr>
          <w:rFonts w:eastAsia="MS Mincho"/>
          <w:szCs w:val="22"/>
          <w:lang w:val="fr-FR"/>
        </w:rPr>
        <w:t>n</w:t>
      </w:r>
      <w:r w:rsidR="00D77329" w:rsidRPr="00D77329">
        <w:rPr>
          <w:rFonts w:eastAsia="MS Mincho"/>
          <w:szCs w:val="22"/>
          <w:vertAlign w:val="superscript"/>
          <w:lang w:val="fr-FR"/>
        </w:rPr>
        <w:t>o</w:t>
      </w:r>
      <w:r w:rsidR="00D77329">
        <w:rPr>
          <w:lang w:val="fr-FR"/>
        </w:rPr>
        <w:t> </w:t>
      </w:r>
      <w:r w:rsidRPr="00BA76DE">
        <w:rPr>
          <w:lang w:val="fr-FR"/>
        </w:rPr>
        <w:t>148</w:t>
      </w:r>
    </w:p>
    <w:p w14:paraId="780A366D" w14:textId="77777777" w:rsidR="00184E24" w:rsidRPr="009F3A8C" w:rsidRDefault="00184E24" w:rsidP="00184E24">
      <w:pPr>
        <w:kinsoku/>
        <w:overflowPunct/>
        <w:autoSpaceDE/>
        <w:autoSpaceDN/>
        <w:adjustRightInd/>
        <w:snapToGrid/>
        <w:spacing w:after="120"/>
        <w:ind w:left="1134" w:right="1134"/>
        <w:jc w:val="both"/>
        <w:rPr>
          <w:rFonts w:eastAsia="Times New Roman"/>
          <w:bCs/>
          <w:lang w:val="fr-FR"/>
        </w:rPr>
      </w:pPr>
      <w:r w:rsidRPr="00BA76DE">
        <w:rPr>
          <w:rFonts w:eastAsia="Times New Roman"/>
          <w:i/>
          <w:iCs/>
          <w:lang w:val="fr-FR"/>
        </w:rPr>
        <w:t>Ajouter le nouveau paragraphe 3.1.2.1</w:t>
      </w:r>
      <w:r w:rsidRPr="00BA76DE">
        <w:rPr>
          <w:rFonts w:eastAsia="Times New Roman"/>
          <w:lang w:val="fr-FR"/>
        </w:rPr>
        <w:t xml:space="preserve"> </w:t>
      </w:r>
      <w:r w:rsidRPr="00BA76DE">
        <w:rPr>
          <w:rFonts w:eastAsia="Times New Roman"/>
          <w:i/>
          <w:iCs/>
          <w:lang w:val="fr-FR"/>
        </w:rPr>
        <w:t>g)</w:t>
      </w:r>
      <w:r w:rsidRPr="00BA76DE">
        <w:rPr>
          <w:rFonts w:eastAsia="Times New Roman"/>
          <w:lang w:val="fr-FR"/>
        </w:rPr>
        <w:t>, libellé comme suit :</w:t>
      </w:r>
    </w:p>
    <w:p w14:paraId="3AD6F6B9" w14:textId="77777777" w:rsidR="00184E24" w:rsidRPr="009F3A8C" w:rsidRDefault="00184E24" w:rsidP="00184E24">
      <w:pPr>
        <w:kinsoku/>
        <w:overflowPunct/>
        <w:autoSpaceDE/>
        <w:autoSpaceDN/>
        <w:adjustRightInd/>
        <w:snapToGrid/>
        <w:spacing w:after="120"/>
        <w:ind w:left="1134" w:right="1134"/>
        <w:jc w:val="both"/>
        <w:rPr>
          <w:rFonts w:eastAsia="Times New Roman"/>
          <w:bCs/>
          <w:iCs/>
          <w:lang w:val="fr-FR"/>
        </w:rPr>
      </w:pPr>
      <w:r w:rsidRPr="00BA76DE">
        <w:rPr>
          <w:rFonts w:eastAsia="Times New Roman"/>
          <w:lang w:val="fr-FR"/>
        </w:rPr>
        <w:t>« 3.1.2.1</w:t>
      </w:r>
      <w:r w:rsidRPr="00BA76DE">
        <w:rPr>
          <w:rFonts w:eastAsia="Times New Roman"/>
          <w:lang w:val="fr-FR"/>
        </w:rPr>
        <w:tab/>
        <w:t>…</w:t>
      </w:r>
    </w:p>
    <w:p w14:paraId="63C3EC40" w14:textId="77777777" w:rsidR="00184E24" w:rsidRPr="009F3A8C" w:rsidRDefault="00184E24" w:rsidP="00184E24">
      <w:pPr>
        <w:kinsoku/>
        <w:overflowPunct/>
        <w:autoSpaceDE/>
        <w:autoSpaceDN/>
        <w:adjustRightInd/>
        <w:snapToGrid/>
        <w:spacing w:after="120"/>
        <w:ind w:left="2835" w:right="1134" w:hanging="567"/>
        <w:jc w:val="both"/>
        <w:rPr>
          <w:rFonts w:eastAsia="Times New Roman"/>
          <w:bCs/>
          <w:i/>
          <w:lang w:val="fr-FR"/>
        </w:rPr>
      </w:pPr>
      <w:r w:rsidRPr="00BA76DE">
        <w:rPr>
          <w:rFonts w:eastAsia="Times New Roman"/>
          <w:lang w:val="fr-FR"/>
        </w:rPr>
        <w:t>g)</w:t>
      </w:r>
      <w:r w:rsidRPr="00BA76DE">
        <w:rPr>
          <w:rFonts w:eastAsia="Times New Roman"/>
          <w:lang w:val="fr-FR"/>
        </w:rPr>
        <w:tab/>
        <w:t>Dans le cas d’un feu susceptible d’arborer un logo de constructeur, le logo du constructeur.</w:t>
      </w:r>
    </w:p>
    <w:p w14:paraId="6E4B334E" w14:textId="77777777" w:rsidR="00184E24" w:rsidRPr="009F3A8C" w:rsidRDefault="00184E24" w:rsidP="00184E24">
      <w:pPr>
        <w:kinsoku/>
        <w:overflowPunct/>
        <w:autoSpaceDE/>
        <w:autoSpaceDN/>
        <w:adjustRightInd/>
        <w:snapToGrid/>
        <w:spacing w:after="120"/>
        <w:ind w:left="1701" w:right="1134" w:firstLine="567"/>
        <w:jc w:val="both"/>
        <w:rPr>
          <w:rFonts w:eastAsia="Times New Roman"/>
          <w:bCs/>
          <w:lang w:val="fr-FR"/>
        </w:rPr>
      </w:pPr>
      <w:r w:rsidRPr="00BA76DE">
        <w:rPr>
          <w:rFonts w:eastAsia="Times New Roman"/>
          <w:lang w:val="fr-FR"/>
        </w:rPr>
        <w:t>… ».</w:t>
      </w:r>
    </w:p>
    <w:p w14:paraId="55FC324B" w14:textId="77777777" w:rsidR="00184E24" w:rsidRPr="009F3A8C" w:rsidRDefault="00184E24" w:rsidP="00184E24">
      <w:pPr>
        <w:kinsoku/>
        <w:overflowPunct/>
        <w:autoSpaceDE/>
        <w:autoSpaceDN/>
        <w:adjustRightInd/>
        <w:snapToGrid/>
        <w:spacing w:after="120"/>
        <w:ind w:left="1134" w:right="1134"/>
        <w:jc w:val="both"/>
        <w:rPr>
          <w:rFonts w:eastAsia="Times New Roman"/>
          <w:bCs/>
          <w:i/>
          <w:lang w:val="fr-FR"/>
        </w:rPr>
      </w:pPr>
      <w:r w:rsidRPr="00BA76DE">
        <w:rPr>
          <w:rFonts w:eastAsia="Times New Roman"/>
          <w:i/>
          <w:iCs/>
          <w:lang w:val="fr-FR"/>
        </w:rPr>
        <w:t>Ajouter le nouveau paragraphe 3.1.2.2</w:t>
      </w:r>
      <w:r w:rsidRPr="00BA76DE">
        <w:rPr>
          <w:rFonts w:eastAsia="Times New Roman"/>
          <w:lang w:val="fr-FR"/>
        </w:rPr>
        <w:t xml:space="preserve"> </w:t>
      </w:r>
      <w:r w:rsidRPr="00BA76DE">
        <w:rPr>
          <w:rFonts w:eastAsia="Times New Roman"/>
          <w:i/>
          <w:iCs/>
          <w:lang w:val="fr-FR"/>
        </w:rPr>
        <w:t>e)</w:t>
      </w:r>
      <w:r w:rsidRPr="00BA76DE">
        <w:rPr>
          <w:rFonts w:eastAsia="Times New Roman"/>
          <w:lang w:val="fr-FR"/>
        </w:rPr>
        <w:t>, libellé comme suit :</w:t>
      </w:r>
    </w:p>
    <w:p w14:paraId="472243EF" w14:textId="77777777" w:rsidR="00184E24" w:rsidRPr="009F3A8C" w:rsidRDefault="00184E24" w:rsidP="00184E24">
      <w:pPr>
        <w:kinsoku/>
        <w:overflowPunct/>
        <w:autoSpaceDE/>
        <w:autoSpaceDN/>
        <w:adjustRightInd/>
        <w:snapToGrid/>
        <w:spacing w:after="120"/>
        <w:ind w:left="2268" w:right="1134" w:hanging="1134"/>
        <w:jc w:val="both"/>
        <w:rPr>
          <w:rFonts w:eastAsia="Times New Roman"/>
          <w:bCs/>
          <w:lang w:val="fr-FR"/>
        </w:rPr>
      </w:pPr>
      <w:r w:rsidRPr="00BA76DE">
        <w:rPr>
          <w:rFonts w:eastAsia="Times New Roman"/>
          <w:lang w:val="fr-FR"/>
        </w:rPr>
        <w:t>« 3.1.2.2</w:t>
      </w:r>
      <w:r w:rsidRPr="00BA76DE">
        <w:rPr>
          <w:rFonts w:eastAsia="Times New Roman"/>
          <w:lang w:val="fr-FR"/>
        </w:rPr>
        <w:tab/>
        <w:t>…</w:t>
      </w:r>
    </w:p>
    <w:p w14:paraId="0894F5C1" w14:textId="77777777" w:rsidR="00184E24" w:rsidRPr="009F3A8C" w:rsidRDefault="00184E24" w:rsidP="00184E24">
      <w:pPr>
        <w:kinsoku/>
        <w:overflowPunct/>
        <w:autoSpaceDE/>
        <w:autoSpaceDN/>
        <w:adjustRightInd/>
        <w:snapToGrid/>
        <w:spacing w:after="120"/>
        <w:ind w:left="2832" w:right="1134" w:hanging="564"/>
        <w:jc w:val="both"/>
        <w:rPr>
          <w:rFonts w:eastAsia="Times New Roman"/>
          <w:bCs/>
          <w:lang w:val="fr-FR"/>
        </w:rPr>
      </w:pPr>
      <w:r w:rsidRPr="00BA76DE">
        <w:rPr>
          <w:rFonts w:eastAsia="Times New Roman"/>
          <w:lang w:val="fr-FR"/>
        </w:rPr>
        <w:t>e)</w:t>
      </w:r>
      <w:r w:rsidRPr="00BA76DE">
        <w:rPr>
          <w:rFonts w:eastAsia="Times New Roman"/>
          <w:lang w:val="fr-FR"/>
        </w:rPr>
        <w:tab/>
        <w:t>Dans le cas d’un feu susceptible d’arborer un logo de constructeur, la confirmation écrite du rapport entre le logo du constructeur et l’appellation commerciale du constructeur du véhicule ou du carrossier.</w:t>
      </w:r>
    </w:p>
    <w:p w14:paraId="55A49CFE" w14:textId="77777777" w:rsidR="00184E24" w:rsidRPr="009F3A8C" w:rsidRDefault="00184E24" w:rsidP="00184E24">
      <w:pPr>
        <w:kinsoku/>
        <w:overflowPunct/>
        <w:autoSpaceDE/>
        <w:autoSpaceDN/>
        <w:adjustRightInd/>
        <w:snapToGrid/>
        <w:spacing w:after="120"/>
        <w:ind w:left="2832" w:right="1134" w:hanging="564"/>
        <w:jc w:val="both"/>
        <w:rPr>
          <w:rFonts w:eastAsia="Times New Roman"/>
          <w:lang w:val="fr-FR"/>
        </w:rPr>
      </w:pPr>
      <w:r w:rsidRPr="00BA76DE">
        <w:rPr>
          <w:rFonts w:eastAsia="Times New Roman"/>
          <w:lang w:val="fr-FR"/>
        </w:rPr>
        <w:t>… ».</w:t>
      </w:r>
    </w:p>
    <w:p w14:paraId="272798BD" w14:textId="77777777" w:rsidR="00184E24" w:rsidRPr="009F3A8C" w:rsidRDefault="00184E24" w:rsidP="00184E24">
      <w:pPr>
        <w:keepNext/>
        <w:keepLines/>
        <w:kinsoku/>
        <w:overflowPunct/>
        <w:autoSpaceDE/>
        <w:autoSpaceDN/>
        <w:adjustRightInd/>
        <w:snapToGrid/>
        <w:spacing w:after="120"/>
        <w:ind w:left="1134" w:right="1134" w:hanging="1134"/>
        <w:jc w:val="both"/>
        <w:rPr>
          <w:rFonts w:eastAsia="Times New Roman"/>
          <w:bCs/>
          <w:lang w:val="fr-FR"/>
        </w:rPr>
      </w:pPr>
      <w:r w:rsidRPr="00BA76DE">
        <w:rPr>
          <w:rFonts w:eastAsia="Times New Roman"/>
          <w:b/>
          <w:lang w:val="fr-FR"/>
        </w:rPr>
        <w:tab/>
      </w:r>
      <w:r w:rsidRPr="00BA76DE">
        <w:rPr>
          <w:rFonts w:eastAsia="Times New Roman"/>
          <w:i/>
          <w:iCs/>
          <w:lang w:val="fr-FR"/>
        </w:rPr>
        <w:t>Ajouter le nouveau paragraphe 4.5.6</w:t>
      </w:r>
      <w:r w:rsidRPr="00BA76DE">
        <w:rPr>
          <w:rFonts w:eastAsia="Times New Roman"/>
          <w:lang w:val="fr-FR"/>
        </w:rPr>
        <w:t>, libellé comme suit :</w:t>
      </w:r>
    </w:p>
    <w:p w14:paraId="351B43AE" w14:textId="77777777" w:rsidR="00184E24" w:rsidRPr="009F3A8C" w:rsidRDefault="00184E24" w:rsidP="00184E24">
      <w:pPr>
        <w:kinsoku/>
        <w:overflowPunct/>
        <w:autoSpaceDE/>
        <w:autoSpaceDN/>
        <w:adjustRightInd/>
        <w:snapToGrid/>
        <w:spacing w:after="120"/>
        <w:ind w:left="2268" w:right="1134" w:hanging="1134"/>
        <w:jc w:val="both"/>
        <w:rPr>
          <w:rFonts w:eastAsia="Times New Roman"/>
          <w:lang w:val="fr-FR"/>
        </w:rPr>
      </w:pPr>
      <w:r w:rsidRPr="00BA76DE">
        <w:rPr>
          <w:rFonts w:eastAsia="Times New Roman"/>
          <w:lang w:val="fr-FR"/>
        </w:rPr>
        <w:t>« 4.5.6</w:t>
      </w:r>
      <w:r w:rsidRPr="00BA76DE">
        <w:rPr>
          <w:rFonts w:eastAsia="Times New Roman"/>
          <w:lang w:val="fr-FR"/>
        </w:rPr>
        <w:tab/>
      </w:r>
      <w:r w:rsidRPr="00BA76DE">
        <w:rPr>
          <w:rFonts w:eastAsia="Times New Roman"/>
          <w:lang w:val="fr-FR"/>
        </w:rPr>
        <w:tab/>
        <w:t>À la requête du demandeur, la structure interne des éléments optiques ou la texture de l’intérieur de la glace extérieure (surface apparente) d’un feu peut arborer uniquement un logo de constructeur composé d’éléments transparents ou non transparents</w:t>
      </w:r>
      <w:r>
        <w:rPr>
          <w:rFonts w:eastAsia="Times New Roman"/>
          <w:lang w:val="fr-FR"/>
        </w:rPr>
        <w:t>,</w:t>
      </w:r>
      <w:r w:rsidRPr="00BA76DE">
        <w:rPr>
          <w:rFonts w:eastAsia="Times New Roman"/>
          <w:lang w:val="fr-FR"/>
        </w:rPr>
        <w:t xml:space="preserve"> sous réserve que toutes les prescriptions applicables à la fonction visée par le présent Règlement et les conditions ci-après soient respectées :</w:t>
      </w:r>
    </w:p>
    <w:p w14:paraId="72004CD0" w14:textId="77777777" w:rsidR="00184E24" w:rsidRPr="009F3A8C" w:rsidRDefault="00184E24" w:rsidP="00184E24">
      <w:pPr>
        <w:suppressAutoHyphens w:val="0"/>
        <w:kinsoku/>
        <w:overflowPunct/>
        <w:autoSpaceDE/>
        <w:autoSpaceDN/>
        <w:adjustRightInd/>
        <w:snapToGrid/>
        <w:spacing w:after="120"/>
        <w:ind w:left="2835" w:right="1134" w:hanging="567"/>
        <w:jc w:val="both"/>
        <w:rPr>
          <w:rFonts w:eastAsia="Times New Roman"/>
          <w:lang w:val="fr-FR"/>
        </w:rPr>
      </w:pPr>
      <w:r w:rsidRPr="00BA76DE">
        <w:rPr>
          <w:rFonts w:eastAsia="Times New Roman"/>
          <w:lang w:val="fr-FR"/>
        </w:rPr>
        <w:t>a)</w:t>
      </w:r>
      <w:r w:rsidRPr="00BA76DE">
        <w:rPr>
          <w:rFonts w:eastAsia="Times New Roman"/>
          <w:lang w:val="fr-FR"/>
        </w:rPr>
        <w:tab/>
        <w:t>Indépendamment des dispositions du paragraphe 3.3 relatives au marquage, seul le logo de l’appellation commerciale du constructeur du véhicule ou du carrossier peut être intégré. Le demandeur doit confirmer par écrit que le logo fait bien partie de ceux autorisés (voir par.</w:t>
      </w:r>
      <w:r>
        <w:rPr>
          <w:rFonts w:eastAsia="Times New Roman"/>
          <w:lang w:val="fr-FR"/>
        </w:rPr>
        <w:t> </w:t>
      </w:r>
      <w:r w:rsidRPr="00BA76DE">
        <w:rPr>
          <w:rFonts w:eastAsia="Times New Roman"/>
          <w:lang w:val="fr-FR"/>
        </w:rPr>
        <w:t>3.1.2.2 e)).</w:t>
      </w:r>
    </w:p>
    <w:p w14:paraId="108FC944" w14:textId="77777777" w:rsidR="00184E24" w:rsidRPr="009F3A8C" w:rsidRDefault="00184E24" w:rsidP="00184E24">
      <w:pPr>
        <w:suppressAutoHyphens w:val="0"/>
        <w:kinsoku/>
        <w:overflowPunct/>
        <w:autoSpaceDE/>
        <w:autoSpaceDN/>
        <w:adjustRightInd/>
        <w:snapToGrid/>
        <w:spacing w:after="120"/>
        <w:ind w:left="2835" w:right="1134" w:hanging="567"/>
        <w:jc w:val="both"/>
        <w:rPr>
          <w:rFonts w:eastAsia="Times New Roman"/>
          <w:lang w:val="fr-FR"/>
        </w:rPr>
      </w:pPr>
      <w:r w:rsidRPr="00BA76DE">
        <w:rPr>
          <w:rFonts w:eastAsia="Times New Roman"/>
          <w:lang w:val="fr-FR"/>
        </w:rPr>
        <w:t>b)</w:t>
      </w:r>
      <w:r w:rsidRPr="00BA76DE">
        <w:rPr>
          <w:rFonts w:eastAsia="Times New Roman"/>
          <w:lang w:val="fr-FR"/>
        </w:rPr>
        <w:tab/>
        <w:t>S’agissant de la taille, l’ensemble de la surface de sortie de la lumière du logo (composée des éléments transparents ou non transparents du logo) dans la direction de l’axe de référence ne doit pas excéder 100</w:t>
      </w:r>
      <w:r>
        <w:rPr>
          <w:rFonts w:eastAsia="Times New Roman"/>
          <w:lang w:val="fr-FR"/>
        </w:rPr>
        <w:t> </w:t>
      </w:r>
      <w:r w:rsidRPr="00BA76DE">
        <w:rPr>
          <w:rFonts w:eastAsia="Times New Roman"/>
          <w:lang w:val="fr-FR"/>
        </w:rPr>
        <w:t>cm</w:t>
      </w:r>
      <w:r w:rsidRPr="00184E24">
        <w:rPr>
          <w:rFonts w:eastAsia="Times New Roman"/>
          <w:vertAlign w:val="superscript"/>
          <w:lang w:val="fr-FR"/>
        </w:rPr>
        <w:t>2</w:t>
      </w:r>
      <w:r>
        <w:rPr>
          <w:rFonts w:eastAsia="Times New Roman"/>
          <w:lang w:val="fr-FR"/>
        </w:rPr>
        <w:t> </w:t>
      </w:r>
      <w:r w:rsidRPr="00BA76DE">
        <w:rPr>
          <w:rFonts w:eastAsia="Times New Roman"/>
          <w:lang w:val="fr-FR"/>
        </w:rPr>
        <w:t xml:space="preserve">; </w:t>
      </w:r>
    </w:p>
    <w:p w14:paraId="7728F95C" w14:textId="77777777" w:rsidR="00184E24" w:rsidRPr="009F3A8C" w:rsidRDefault="00184E24" w:rsidP="00184E24">
      <w:pPr>
        <w:suppressAutoHyphens w:val="0"/>
        <w:kinsoku/>
        <w:overflowPunct/>
        <w:autoSpaceDE/>
        <w:autoSpaceDN/>
        <w:adjustRightInd/>
        <w:snapToGrid/>
        <w:spacing w:after="120"/>
        <w:ind w:left="2835" w:right="1134" w:hanging="567"/>
        <w:jc w:val="both"/>
        <w:rPr>
          <w:rFonts w:eastAsia="Times New Roman"/>
          <w:lang w:val="fr-FR"/>
        </w:rPr>
      </w:pPr>
      <w:r w:rsidRPr="00BA76DE">
        <w:rPr>
          <w:rFonts w:eastAsia="Times New Roman"/>
          <w:lang w:val="fr-FR"/>
        </w:rPr>
        <w:t>c)</w:t>
      </w:r>
      <w:r w:rsidRPr="00BA76DE">
        <w:rPr>
          <w:rFonts w:eastAsia="Times New Roman"/>
          <w:lang w:val="fr-FR"/>
        </w:rPr>
        <w:tab/>
        <w:t xml:space="preserve">S’agissant de la symétrie, il n’est pas nécessaire que la surface de sortie de la lumière du logo en tant que telle soit symétrique, nonobstant les prescriptions de l’article 5.5.2 du Règlement ONU </w:t>
      </w:r>
      <w:r w:rsidRPr="00184E24">
        <w:rPr>
          <w:rFonts w:eastAsia="MS Mincho"/>
          <w:szCs w:val="22"/>
          <w:lang w:val="fr-FR"/>
        </w:rPr>
        <w:t>n</w:t>
      </w:r>
      <w:r w:rsidRPr="00184E24">
        <w:rPr>
          <w:rFonts w:eastAsia="MS Mincho"/>
          <w:szCs w:val="22"/>
          <w:vertAlign w:val="superscript"/>
          <w:lang w:val="fr-FR"/>
        </w:rPr>
        <w:t>o</w:t>
      </w:r>
      <w:r>
        <w:rPr>
          <w:rFonts w:eastAsia="Times New Roman"/>
          <w:lang w:val="fr-FR"/>
        </w:rPr>
        <w:t> </w:t>
      </w:r>
      <w:r w:rsidRPr="00BA76DE">
        <w:rPr>
          <w:rFonts w:eastAsia="Times New Roman"/>
          <w:lang w:val="fr-FR"/>
        </w:rPr>
        <w:t>48</w:t>
      </w:r>
      <w:r>
        <w:rPr>
          <w:rFonts w:eastAsia="Times New Roman"/>
          <w:lang w:val="fr-FR"/>
        </w:rPr>
        <w:t> </w:t>
      </w:r>
      <w:r w:rsidRPr="00BA76DE">
        <w:rPr>
          <w:rFonts w:eastAsia="Times New Roman"/>
          <w:lang w:val="fr-FR"/>
        </w:rPr>
        <w:t>;</w:t>
      </w:r>
    </w:p>
    <w:p w14:paraId="79F33F72" w14:textId="77777777" w:rsidR="00184E24" w:rsidRPr="009F3A8C" w:rsidRDefault="00184E24" w:rsidP="00184E24">
      <w:pPr>
        <w:suppressAutoHyphens w:val="0"/>
        <w:kinsoku/>
        <w:overflowPunct/>
        <w:autoSpaceDE/>
        <w:autoSpaceDN/>
        <w:adjustRightInd/>
        <w:snapToGrid/>
        <w:spacing w:after="120"/>
        <w:ind w:left="2835" w:right="1134" w:hanging="567"/>
        <w:jc w:val="both"/>
        <w:rPr>
          <w:rFonts w:eastAsia="Times New Roman"/>
          <w:lang w:val="fr-FR"/>
        </w:rPr>
      </w:pPr>
      <w:r w:rsidRPr="00BA76DE">
        <w:rPr>
          <w:rFonts w:eastAsia="Times New Roman"/>
          <w:lang w:val="fr-FR"/>
        </w:rPr>
        <w:t>d)</w:t>
      </w:r>
      <w:r w:rsidRPr="00BA76DE">
        <w:rPr>
          <w:rFonts w:eastAsia="Times New Roman"/>
          <w:lang w:val="fr-FR"/>
        </w:rPr>
        <w:tab/>
        <w:t xml:space="preserve">Les feux-stop, les feux indicateurs de direction </w:t>
      </w:r>
      <w:r w:rsidRPr="00BA76DE">
        <w:rPr>
          <w:rFonts w:eastAsia="Times New Roman"/>
          <w:b/>
          <w:bCs/>
          <w:lang w:val="fr-FR"/>
        </w:rPr>
        <w:t xml:space="preserve">et </w:t>
      </w:r>
      <w:r w:rsidRPr="00BA76DE">
        <w:rPr>
          <w:rFonts w:eastAsia="Times New Roman"/>
          <w:lang w:val="fr-FR"/>
        </w:rPr>
        <w:t xml:space="preserve">les feux de marche arrière </w:t>
      </w:r>
      <w:r w:rsidRPr="00BA76DE">
        <w:rPr>
          <w:rFonts w:eastAsia="Times New Roman"/>
          <w:b/>
          <w:bCs/>
          <w:strike/>
          <w:lang w:val="fr-FR"/>
        </w:rPr>
        <w:t>et les feux de manœuvre</w:t>
      </w:r>
      <w:r w:rsidRPr="00BA76DE">
        <w:rPr>
          <w:rFonts w:eastAsia="Times New Roman"/>
          <w:lang w:val="fr-FR"/>
        </w:rPr>
        <w:t xml:space="preserve"> ne doivent pas comporter de logo. ».</w:t>
      </w:r>
    </w:p>
    <w:p w14:paraId="03D5F087" w14:textId="77777777" w:rsidR="00184E24" w:rsidRPr="009F3A8C" w:rsidRDefault="00295E49" w:rsidP="00295E49">
      <w:pPr>
        <w:pStyle w:val="H1G"/>
        <w:rPr>
          <w:rFonts w:eastAsia="SimSun"/>
          <w:lang w:val="fr-FR"/>
        </w:rPr>
      </w:pPr>
      <w:r>
        <w:rPr>
          <w:lang w:val="fr-FR"/>
        </w:rPr>
        <w:tab/>
      </w:r>
      <w:r w:rsidR="00184E24" w:rsidRPr="00BA76DE">
        <w:rPr>
          <w:lang w:val="fr-FR"/>
        </w:rPr>
        <w:t>B.</w:t>
      </w:r>
      <w:r w:rsidR="00184E24" w:rsidRPr="00BA76DE">
        <w:rPr>
          <w:lang w:val="fr-FR"/>
        </w:rPr>
        <w:tab/>
        <w:t xml:space="preserve">Proposition de complément à la série 06 d’amendements au Règlement ONU </w:t>
      </w:r>
      <w:r w:rsidR="00184E24" w:rsidRPr="00184E24">
        <w:rPr>
          <w:rFonts w:eastAsia="MS Mincho"/>
          <w:szCs w:val="22"/>
          <w:lang w:val="fr-FR"/>
        </w:rPr>
        <w:t>n</w:t>
      </w:r>
      <w:r w:rsidR="00184E24" w:rsidRPr="00184E24">
        <w:rPr>
          <w:rFonts w:eastAsia="MS Mincho"/>
          <w:szCs w:val="22"/>
          <w:vertAlign w:val="superscript"/>
          <w:lang w:val="fr-FR"/>
        </w:rPr>
        <w:t>o</w:t>
      </w:r>
      <w:r w:rsidR="00184E24">
        <w:rPr>
          <w:lang w:val="fr-FR"/>
        </w:rPr>
        <w:t> </w:t>
      </w:r>
      <w:r w:rsidR="00184E24" w:rsidRPr="00BA76DE">
        <w:rPr>
          <w:lang w:val="fr-FR"/>
        </w:rPr>
        <w:t>48</w:t>
      </w:r>
    </w:p>
    <w:p w14:paraId="4179251D" w14:textId="77777777" w:rsidR="00184E24" w:rsidRPr="009F3A8C" w:rsidRDefault="00184E24" w:rsidP="00184E24">
      <w:pPr>
        <w:kinsoku/>
        <w:overflowPunct/>
        <w:autoSpaceDE/>
        <w:autoSpaceDN/>
        <w:adjustRightInd/>
        <w:snapToGrid/>
        <w:spacing w:after="120"/>
        <w:ind w:left="2268" w:right="1134" w:hanging="1134"/>
        <w:jc w:val="both"/>
        <w:rPr>
          <w:rFonts w:eastAsia="Times New Roman"/>
          <w:lang w:val="fr-FR"/>
        </w:rPr>
      </w:pPr>
      <w:r w:rsidRPr="00BA76DE">
        <w:rPr>
          <w:rFonts w:eastAsia="Times New Roman"/>
          <w:i/>
          <w:iCs/>
          <w:lang w:val="fr-FR"/>
        </w:rPr>
        <w:t>Ajouter le nouveau paragraphe 2.1.7</w:t>
      </w:r>
      <w:r w:rsidRPr="00BA76DE">
        <w:rPr>
          <w:rFonts w:eastAsia="Times New Roman"/>
          <w:lang w:val="fr-FR"/>
        </w:rPr>
        <w:t>, libellé comme suit</w:t>
      </w:r>
      <w:r w:rsidR="00295E49">
        <w:rPr>
          <w:rFonts w:eastAsia="Times New Roman"/>
          <w:lang w:val="fr-FR"/>
        </w:rPr>
        <w:t> </w:t>
      </w:r>
      <w:r w:rsidRPr="00BA76DE">
        <w:rPr>
          <w:rFonts w:eastAsia="Times New Roman"/>
          <w:lang w:val="fr-FR"/>
        </w:rPr>
        <w:t>:</w:t>
      </w:r>
    </w:p>
    <w:p w14:paraId="5F919A9B" w14:textId="77777777" w:rsidR="00184E24" w:rsidRPr="009F3A8C" w:rsidRDefault="00184E24" w:rsidP="00B10D3C">
      <w:pPr>
        <w:kinsoku/>
        <w:overflowPunct/>
        <w:autoSpaceDE/>
        <w:autoSpaceDN/>
        <w:adjustRightInd/>
        <w:snapToGrid/>
        <w:spacing w:after="120"/>
        <w:ind w:left="2268" w:right="1134" w:hanging="1134"/>
        <w:jc w:val="both"/>
        <w:rPr>
          <w:rFonts w:eastAsia="Times New Roman"/>
          <w:lang w:val="fr-FR"/>
        </w:rPr>
      </w:pPr>
      <w:r w:rsidRPr="00BA76DE">
        <w:rPr>
          <w:rFonts w:eastAsia="Times New Roman"/>
          <w:lang w:val="fr-FR"/>
        </w:rPr>
        <w:t>« 2.1.7</w:t>
      </w:r>
      <w:r w:rsidRPr="00BA76DE">
        <w:rPr>
          <w:rFonts w:eastAsia="Times New Roman"/>
          <w:lang w:val="fr-FR"/>
        </w:rPr>
        <w:tab/>
        <w:t>“</w:t>
      </w:r>
      <w:r w:rsidRPr="00BA76DE">
        <w:rPr>
          <w:rFonts w:eastAsia="Times New Roman"/>
          <w:i/>
          <w:iCs/>
          <w:lang w:val="fr-FR"/>
        </w:rPr>
        <w:t>Logo du constructeur</w:t>
      </w:r>
      <w:r w:rsidRPr="00BA76DE">
        <w:rPr>
          <w:rFonts w:eastAsia="Times New Roman"/>
          <w:lang w:val="fr-FR"/>
        </w:rPr>
        <w:t xml:space="preserve">”, un signe graphique, un emblème, un mot ou une combinaison de ces différents éléments visant à faciliter l’identification et la reconnaissance de la marque d’un constructeur. Ce logo doit </w:t>
      </w:r>
      <w:r w:rsidRPr="00BA76DE">
        <w:rPr>
          <w:rFonts w:eastAsia="Times New Roman"/>
          <w:b/>
          <w:bCs/>
          <w:strike/>
          <w:lang w:val="fr-FR"/>
        </w:rPr>
        <w:t xml:space="preserve">être </w:t>
      </w:r>
      <w:r w:rsidRPr="00BA76DE">
        <w:rPr>
          <w:rFonts w:eastAsia="Times New Roman"/>
          <w:b/>
          <w:bCs/>
          <w:lang w:val="fr-FR"/>
        </w:rPr>
        <w:t>avoir été</w:t>
      </w:r>
      <w:r w:rsidRPr="00BA76DE">
        <w:rPr>
          <w:rFonts w:eastAsia="Times New Roman"/>
          <w:lang w:val="fr-FR"/>
        </w:rPr>
        <w:t xml:space="preserve"> déposé </w:t>
      </w:r>
      <w:r w:rsidRPr="00BA76DE">
        <w:rPr>
          <w:rFonts w:eastAsia="Times New Roman"/>
          <w:b/>
          <w:bCs/>
          <w:lang w:val="fr-FR"/>
        </w:rPr>
        <w:t xml:space="preserve">officiellement </w:t>
      </w:r>
      <w:r w:rsidRPr="00BA76DE">
        <w:rPr>
          <w:rFonts w:eastAsia="Times New Roman"/>
          <w:lang w:val="fr-FR"/>
        </w:rPr>
        <w:t xml:space="preserve">et </w:t>
      </w:r>
      <w:r w:rsidRPr="00BA76DE">
        <w:rPr>
          <w:rFonts w:eastAsia="Times New Roman"/>
          <w:b/>
          <w:bCs/>
          <w:strike/>
          <w:lang w:val="fr-FR"/>
        </w:rPr>
        <w:t>faire partie de</w:t>
      </w:r>
      <w:r w:rsidRPr="00BA76DE">
        <w:rPr>
          <w:rFonts w:eastAsia="Times New Roman"/>
          <w:lang w:val="fr-FR"/>
        </w:rPr>
        <w:t xml:space="preserve"> </w:t>
      </w:r>
      <w:r w:rsidRPr="00BA76DE">
        <w:rPr>
          <w:rFonts w:eastAsia="Times New Roman"/>
          <w:b/>
          <w:bCs/>
          <w:lang w:val="fr-FR"/>
        </w:rPr>
        <w:t xml:space="preserve">défini dans </w:t>
      </w:r>
      <w:r w:rsidRPr="00BA76DE">
        <w:rPr>
          <w:rFonts w:eastAsia="Times New Roman"/>
          <w:lang w:val="fr-FR"/>
        </w:rPr>
        <w:t xml:space="preserve">la charte graphique </w:t>
      </w:r>
      <w:r w:rsidRPr="00BA76DE">
        <w:rPr>
          <w:rFonts w:eastAsia="Times New Roman"/>
          <w:b/>
          <w:bCs/>
          <w:strike/>
          <w:lang w:val="fr-FR"/>
        </w:rPr>
        <w:t xml:space="preserve">officielle </w:t>
      </w:r>
      <w:r w:rsidRPr="00BA76DE">
        <w:rPr>
          <w:rFonts w:eastAsia="Times New Roman"/>
          <w:lang w:val="fr-FR"/>
        </w:rPr>
        <w:t>du constructeur. ».</w:t>
      </w:r>
    </w:p>
    <w:p w14:paraId="6FE51AAD" w14:textId="77777777" w:rsidR="00184E24" w:rsidRPr="009F3A8C" w:rsidRDefault="00184E24" w:rsidP="00295E49">
      <w:pPr>
        <w:keepNext/>
        <w:kinsoku/>
        <w:overflowPunct/>
        <w:autoSpaceDE/>
        <w:autoSpaceDN/>
        <w:adjustRightInd/>
        <w:snapToGrid/>
        <w:spacing w:after="120"/>
        <w:ind w:left="2268" w:right="1134" w:hanging="1134"/>
        <w:jc w:val="both"/>
        <w:rPr>
          <w:rFonts w:eastAsia="Times New Roman"/>
          <w:b/>
          <w:lang w:val="fr-FR"/>
        </w:rPr>
      </w:pPr>
      <w:r w:rsidRPr="00BA76DE">
        <w:rPr>
          <w:rFonts w:eastAsia="Times New Roman"/>
          <w:i/>
          <w:iCs/>
          <w:lang w:val="fr-FR"/>
        </w:rPr>
        <w:lastRenderedPageBreak/>
        <w:t>Ajouter le nouveau paragraphe 5.5.5</w:t>
      </w:r>
      <w:r w:rsidRPr="00BA76DE">
        <w:rPr>
          <w:rFonts w:eastAsia="Times New Roman"/>
          <w:lang w:val="fr-FR"/>
        </w:rPr>
        <w:t>, libellé comme suit</w:t>
      </w:r>
      <w:r w:rsidR="00295E49">
        <w:rPr>
          <w:rFonts w:eastAsia="Times New Roman"/>
          <w:lang w:val="fr-FR"/>
        </w:rPr>
        <w:t> </w:t>
      </w:r>
      <w:r w:rsidRPr="00BA76DE">
        <w:rPr>
          <w:rFonts w:eastAsia="Times New Roman"/>
          <w:lang w:val="fr-FR"/>
        </w:rPr>
        <w:t>:</w:t>
      </w:r>
    </w:p>
    <w:p w14:paraId="433D4E0B" w14:textId="77777777" w:rsidR="00184E24" w:rsidRPr="009F3A8C" w:rsidRDefault="00184E24" w:rsidP="00295E49">
      <w:pPr>
        <w:keepNext/>
        <w:kinsoku/>
        <w:overflowPunct/>
        <w:autoSpaceDE/>
        <w:autoSpaceDN/>
        <w:adjustRightInd/>
        <w:snapToGrid/>
        <w:spacing w:after="120"/>
        <w:ind w:left="2268" w:right="1134" w:hanging="1134"/>
        <w:jc w:val="both"/>
        <w:rPr>
          <w:rFonts w:eastAsia="Times New Roman"/>
          <w:b/>
          <w:lang w:val="fr-FR"/>
        </w:rPr>
      </w:pPr>
      <w:r w:rsidRPr="00BA76DE">
        <w:rPr>
          <w:rFonts w:eastAsia="Times New Roman"/>
          <w:b/>
          <w:bCs/>
          <w:lang w:val="fr-FR"/>
        </w:rPr>
        <w:t>« 5.5.5</w:t>
      </w:r>
      <w:r w:rsidRPr="00BA76DE">
        <w:rPr>
          <w:rFonts w:eastAsia="Times New Roman"/>
          <w:lang w:val="fr-FR"/>
        </w:rPr>
        <w:tab/>
      </w:r>
      <w:r w:rsidRPr="00BA76DE">
        <w:rPr>
          <w:rFonts w:eastAsia="Times New Roman"/>
          <w:b/>
          <w:bCs/>
          <w:lang w:val="fr-FR"/>
        </w:rPr>
        <w:t>Dans le cas de feux arborant un logo de constructeur, seuls deux logos latéraux (un de chaque côté) ou un logo central peuvent être apposés à l’arrière du véhicule et seuls deux logos latéraux (un de chaque côté) ou un logo central peuvent être apposés à l’avant du véhicule.</w:t>
      </w:r>
      <w:r w:rsidRPr="00B10D3C">
        <w:rPr>
          <w:rFonts w:eastAsia="Times New Roman"/>
          <w:bCs/>
          <w:lang w:val="fr-FR"/>
        </w:rPr>
        <w:t> ».</w:t>
      </w:r>
    </w:p>
    <w:p w14:paraId="21E7C4C1" w14:textId="77777777" w:rsidR="00184E24" w:rsidRPr="009F3A8C" w:rsidRDefault="00184E24" w:rsidP="00184E24">
      <w:pPr>
        <w:kinsoku/>
        <w:overflowPunct/>
        <w:autoSpaceDE/>
        <w:autoSpaceDN/>
        <w:adjustRightInd/>
        <w:snapToGrid/>
        <w:spacing w:after="120"/>
        <w:ind w:left="2268" w:right="1134" w:hanging="1134"/>
        <w:jc w:val="both"/>
        <w:rPr>
          <w:rFonts w:eastAsia="Times New Roman"/>
          <w:lang w:val="fr-FR"/>
        </w:rPr>
      </w:pPr>
      <w:r w:rsidRPr="00BA76DE">
        <w:rPr>
          <w:rFonts w:eastAsia="Times New Roman"/>
          <w:i/>
          <w:iCs/>
          <w:lang w:val="fr-FR"/>
        </w:rPr>
        <w:t>Ajouter le nouveau paragraphe 5.30.1</w:t>
      </w:r>
      <w:r w:rsidRPr="00295E49">
        <w:rPr>
          <w:rFonts w:eastAsia="Times New Roman"/>
          <w:iCs/>
          <w:lang w:val="fr-FR"/>
        </w:rPr>
        <w:t>,</w:t>
      </w:r>
      <w:r w:rsidRPr="00295E49">
        <w:rPr>
          <w:rFonts w:eastAsia="Times New Roman"/>
          <w:lang w:val="fr-FR"/>
        </w:rPr>
        <w:t xml:space="preserve"> </w:t>
      </w:r>
      <w:r w:rsidRPr="00BA76DE">
        <w:rPr>
          <w:rFonts w:eastAsia="Times New Roman"/>
          <w:lang w:val="fr-FR"/>
        </w:rPr>
        <w:t>libellé comme suit</w:t>
      </w:r>
      <w:r w:rsidR="00295E49">
        <w:rPr>
          <w:rFonts w:eastAsia="Times New Roman"/>
          <w:lang w:val="fr-FR"/>
        </w:rPr>
        <w:t> </w:t>
      </w:r>
      <w:r w:rsidRPr="00BA76DE">
        <w:rPr>
          <w:rFonts w:eastAsia="Times New Roman"/>
          <w:lang w:val="fr-FR"/>
        </w:rPr>
        <w:t>:</w:t>
      </w:r>
    </w:p>
    <w:p w14:paraId="5373E1E6" w14:textId="77777777" w:rsidR="00184E24" w:rsidRPr="009F3A8C" w:rsidRDefault="00184E24" w:rsidP="00184E24">
      <w:pPr>
        <w:kinsoku/>
        <w:overflowPunct/>
        <w:autoSpaceDE/>
        <w:autoSpaceDN/>
        <w:adjustRightInd/>
        <w:snapToGrid/>
        <w:spacing w:after="120"/>
        <w:ind w:left="2268" w:right="1134" w:hanging="1134"/>
        <w:jc w:val="both"/>
        <w:rPr>
          <w:rFonts w:eastAsia="Times New Roman"/>
          <w:i/>
          <w:iCs/>
          <w:lang w:val="fr-FR"/>
        </w:rPr>
      </w:pPr>
      <w:r w:rsidRPr="00BA76DE">
        <w:rPr>
          <w:rFonts w:eastAsia="Times New Roman"/>
          <w:lang w:val="fr-FR"/>
        </w:rPr>
        <w:t>« 5.30.1</w:t>
      </w:r>
      <w:r w:rsidRPr="00BA76DE">
        <w:rPr>
          <w:rFonts w:eastAsia="Times New Roman"/>
          <w:lang w:val="fr-FR"/>
        </w:rPr>
        <w:tab/>
        <w:t>Tout particulièrement dans le cas des feux de signalisation lumineuse arborant un logo de constructeur, les feux doivent être homologués conformément aux prescriptions du Règlement ONU n</w:t>
      </w:r>
      <w:r w:rsidRPr="00BA76DE">
        <w:rPr>
          <w:rFonts w:eastAsia="Times New Roman"/>
          <w:vertAlign w:val="superscript"/>
          <w:lang w:val="fr-FR"/>
        </w:rPr>
        <w:t>o</w:t>
      </w:r>
      <w:r w:rsidRPr="00BA76DE">
        <w:rPr>
          <w:rFonts w:eastAsia="Times New Roman"/>
          <w:lang w:val="fr-FR"/>
        </w:rPr>
        <w:t> 148. ».</w:t>
      </w:r>
    </w:p>
    <w:p w14:paraId="1FAE20D4" w14:textId="77777777" w:rsidR="00184E24" w:rsidRPr="009F3A8C" w:rsidRDefault="00295E49" w:rsidP="00295E49">
      <w:pPr>
        <w:pStyle w:val="HChG"/>
        <w:rPr>
          <w:lang w:val="fr-FR"/>
        </w:rPr>
      </w:pPr>
      <w:r>
        <w:rPr>
          <w:lang w:val="fr-FR"/>
        </w:rPr>
        <w:tab/>
      </w:r>
      <w:r w:rsidR="00184E24" w:rsidRPr="00BA76DE">
        <w:rPr>
          <w:lang w:val="fr-FR"/>
        </w:rPr>
        <w:t>II.</w:t>
      </w:r>
      <w:r w:rsidR="00184E24" w:rsidRPr="00BA76DE">
        <w:rPr>
          <w:lang w:val="fr-FR"/>
        </w:rPr>
        <w:tab/>
        <w:t>Justification</w:t>
      </w:r>
    </w:p>
    <w:p w14:paraId="762E2A8C" w14:textId="45D348FF" w:rsidR="00184E24" w:rsidRPr="009F3A8C" w:rsidRDefault="00184E24" w:rsidP="00184E24">
      <w:pPr>
        <w:kinsoku/>
        <w:overflowPunct/>
        <w:autoSpaceDE/>
        <w:autoSpaceDN/>
        <w:adjustRightInd/>
        <w:snapToGrid/>
        <w:spacing w:after="120"/>
        <w:ind w:left="1134" w:right="1134"/>
        <w:jc w:val="both"/>
        <w:rPr>
          <w:rFonts w:eastAsia="Times New Roman"/>
          <w:lang w:val="fr-FR"/>
        </w:rPr>
      </w:pPr>
      <w:r w:rsidRPr="00BA76DE">
        <w:rPr>
          <w:rFonts w:eastAsia="Times New Roman"/>
          <w:lang w:val="fr-FR"/>
        </w:rPr>
        <w:t>1.</w:t>
      </w:r>
      <w:r w:rsidRPr="00BA76DE">
        <w:rPr>
          <w:rFonts w:eastAsia="Times New Roman"/>
          <w:lang w:val="fr-FR"/>
        </w:rPr>
        <w:tab/>
      </w:r>
      <w:r w:rsidRPr="00B10D3C">
        <w:rPr>
          <w:rFonts w:eastAsia="Times New Roman"/>
          <w:spacing w:val="-2"/>
          <w:lang w:val="fr-FR"/>
        </w:rPr>
        <w:t>Ces dernières années, des feux ayant des surfaces apparentes susceptibles d’avoir</w:t>
      </w:r>
      <w:r w:rsidRPr="00BA76DE">
        <w:rPr>
          <w:rFonts w:eastAsia="Times New Roman"/>
          <w:lang w:val="fr-FR"/>
        </w:rPr>
        <w:t xml:space="preserve"> une forme évocatrice, suggestive ou figurative ont été homologués. À la soixante-dix-huitième session du GRE, les experts de la France et de l’Allemagne se sont interrogés à cet égard (GRE-78-</w:t>
      </w:r>
      <w:r>
        <w:rPr>
          <w:rFonts w:eastAsia="Times New Roman"/>
          <w:lang w:val="fr-FR"/>
        </w:rPr>
        <w:t>0</w:t>
      </w:r>
      <w:r w:rsidRPr="00BA76DE">
        <w:rPr>
          <w:rFonts w:eastAsia="Times New Roman"/>
          <w:lang w:val="fr-FR"/>
        </w:rPr>
        <w:t>3). Pour donner suite à ces échanges, un questionnaire a été établi et envoyé à toutes les Parties contractantes. Les résultats ont été présentés à la quatre-vingtième session du GRE (GRE-80-28). Une proposition officielle (ECE/TRANS/WP.29/</w:t>
      </w:r>
      <w:r w:rsidR="00295E49">
        <w:rPr>
          <w:rFonts w:eastAsia="Times New Roman"/>
          <w:lang w:val="fr-FR"/>
        </w:rPr>
        <w:t xml:space="preserve"> </w:t>
      </w:r>
      <w:r w:rsidRPr="00BA76DE">
        <w:rPr>
          <w:rFonts w:eastAsia="Times New Roman"/>
          <w:lang w:val="fr-FR"/>
        </w:rPr>
        <w:t>GRE/2019/6) a été soumise par les experts de la France et de l’Allemagne à la quatre-vingt-unième session du GRE. À la quatre-vingt-deuxième session du GRE, la France et l’Allemagne ont présenté un nouveau document de travail (ECE/TRANS/WP.29/</w:t>
      </w:r>
      <w:r w:rsidR="00295E49">
        <w:rPr>
          <w:rFonts w:eastAsia="Times New Roman"/>
          <w:lang w:val="fr-FR"/>
        </w:rPr>
        <w:t xml:space="preserve"> </w:t>
      </w:r>
      <w:r w:rsidRPr="00BA76DE">
        <w:rPr>
          <w:rFonts w:eastAsia="Times New Roman"/>
          <w:lang w:val="fr-FR"/>
        </w:rPr>
        <w:t xml:space="preserve">GRE/2019/28) et un document informel en portant modification (GRE-82-32). La présente proposition révisée tient compte des observations reçues </w:t>
      </w:r>
      <w:r>
        <w:rPr>
          <w:rFonts w:eastAsia="Times New Roman"/>
          <w:lang w:val="fr-FR"/>
        </w:rPr>
        <w:t xml:space="preserve">à </w:t>
      </w:r>
      <w:r w:rsidRPr="00BA76DE">
        <w:rPr>
          <w:rFonts w:eastAsia="Times New Roman"/>
          <w:lang w:val="fr-FR"/>
        </w:rPr>
        <w:t>cette session du GRE et intègre certaines des modifications proposées dans les documents informels GRE-82-20 et GRE</w:t>
      </w:r>
      <w:r w:rsidR="00295E49">
        <w:rPr>
          <w:rFonts w:eastAsia="Times New Roman"/>
          <w:lang w:val="fr-FR"/>
        </w:rPr>
        <w:noBreakHyphen/>
      </w:r>
      <w:r w:rsidRPr="00BA76DE">
        <w:rPr>
          <w:rFonts w:eastAsia="Times New Roman"/>
          <w:lang w:val="fr-FR"/>
        </w:rPr>
        <w:t>82-36.</w:t>
      </w:r>
    </w:p>
    <w:p w14:paraId="64232C47" w14:textId="77777777" w:rsidR="00184E24" w:rsidRPr="009F3A8C" w:rsidRDefault="00184E24" w:rsidP="00184E24">
      <w:pPr>
        <w:kinsoku/>
        <w:overflowPunct/>
        <w:autoSpaceDE/>
        <w:autoSpaceDN/>
        <w:adjustRightInd/>
        <w:snapToGrid/>
        <w:spacing w:after="120"/>
        <w:ind w:left="1134" w:right="1134"/>
        <w:jc w:val="both"/>
        <w:rPr>
          <w:rFonts w:eastAsia="Times New Roman"/>
          <w:lang w:val="fr-FR"/>
        </w:rPr>
      </w:pPr>
      <w:r w:rsidRPr="00BA76DE">
        <w:rPr>
          <w:rFonts w:eastAsia="Times New Roman"/>
          <w:lang w:val="fr-FR"/>
        </w:rPr>
        <w:t>2.</w:t>
      </w:r>
      <w:r w:rsidRPr="00BA76DE">
        <w:rPr>
          <w:rFonts w:eastAsia="Times New Roman"/>
          <w:lang w:val="fr-FR"/>
        </w:rPr>
        <w:tab/>
        <w:t>Les principes énoncés ci-après ont été débattus en vue de parvenir facilement à un compromis concernant les logos autorisés</w:t>
      </w:r>
      <w:r>
        <w:rPr>
          <w:rFonts w:eastAsia="Times New Roman"/>
          <w:lang w:val="fr-FR"/>
        </w:rPr>
        <w:t> </w:t>
      </w:r>
      <w:r w:rsidRPr="00BA76DE">
        <w:rPr>
          <w:rFonts w:eastAsia="Times New Roman"/>
          <w:lang w:val="fr-FR"/>
        </w:rPr>
        <w:t>:</w:t>
      </w:r>
    </w:p>
    <w:p w14:paraId="34667D87" w14:textId="77777777" w:rsidR="00184E24" w:rsidRPr="009F3A8C" w:rsidRDefault="00184E24" w:rsidP="00184E24">
      <w:pPr>
        <w:pStyle w:val="Bullet1G"/>
        <w:rPr>
          <w:lang w:val="fr-FR"/>
        </w:rPr>
      </w:pPr>
      <w:r w:rsidRPr="00BA76DE">
        <w:rPr>
          <w:lang w:val="fr-FR"/>
        </w:rPr>
        <w:t>Ajout de la définition du terme « logo du constructeur »</w:t>
      </w:r>
      <w:r>
        <w:rPr>
          <w:lang w:val="fr-FR"/>
        </w:rPr>
        <w:t> </w:t>
      </w:r>
      <w:r w:rsidRPr="00BA76DE">
        <w:rPr>
          <w:lang w:val="fr-FR"/>
        </w:rPr>
        <w:t>;</w:t>
      </w:r>
    </w:p>
    <w:p w14:paraId="5AEA86CC" w14:textId="77777777" w:rsidR="00184E24" w:rsidRPr="009F3A8C" w:rsidRDefault="00184E24" w:rsidP="00184E24">
      <w:pPr>
        <w:pStyle w:val="Bullet1G"/>
        <w:rPr>
          <w:lang w:val="fr-FR"/>
        </w:rPr>
      </w:pPr>
      <w:r w:rsidRPr="00BA76DE">
        <w:rPr>
          <w:lang w:val="fr-FR"/>
        </w:rPr>
        <w:t>Seul le logo du constructeur du véhicule est autorisé (même dans le cas de l’homologation de type du véhicule en plusieurs étapes). Les logos des équipementiers ne sont pas autorisés ;</w:t>
      </w:r>
    </w:p>
    <w:p w14:paraId="72422962" w14:textId="77777777" w:rsidR="00184E24" w:rsidRPr="009F3A8C" w:rsidRDefault="00184E24" w:rsidP="00184E24">
      <w:pPr>
        <w:pStyle w:val="Bullet1G"/>
        <w:rPr>
          <w:lang w:val="fr-FR"/>
        </w:rPr>
      </w:pPr>
      <w:r w:rsidRPr="00BA76DE">
        <w:rPr>
          <w:lang w:val="fr-FR"/>
        </w:rPr>
        <w:t>Le logo doit faire l’objet d’une homologation de type en tant qu’élément d’un feu de signalisation existant (à savoir un feu de position avant ou arrière)</w:t>
      </w:r>
      <w:r w:rsidR="00B10D3C">
        <w:rPr>
          <w:lang w:val="fr-FR"/>
        </w:rPr>
        <w:t>.</w:t>
      </w:r>
      <w:r w:rsidRPr="00BA76DE">
        <w:rPr>
          <w:lang w:val="fr-FR"/>
        </w:rPr>
        <w:t xml:space="preserve"> Il en découle qu’il est également possible de le positionner dans une zone satisfaisant aux prescriptions du Règlement ONU n</w:t>
      </w:r>
      <w:r w:rsidRPr="00BA76DE">
        <w:rPr>
          <w:vertAlign w:val="superscript"/>
          <w:lang w:val="fr-FR"/>
        </w:rPr>
        <w:t>o</w:t>
      </w:r>
      <w:r w:rsidRPr="00BA76DE">
        <w:rPr>
          <w:lang w:val="fr-FR"/>
        </w:rPr>
        <w:t> 48</w:t>
      </w:r>
      <w:r w:rsidR="00295E49">
        <w:rPr>
          <w:lang w:val="fr-FR"/>
        </w:rPr>
        <w:t> ;</w:t>
      </w:r>
    </w:p>
    <w:p w14:paraId="6F3A764E" w14:textId="77777777" w:rsidR="00184E24" w:rsidRPr="009F3A8C" w:rsidRDefault="00184E24" w:rsidP="00184E24">
      <w:pPr>
        <w:pStyle w:val="Bullet1G"/>
        <w:rPr>
          <w:lang w:val="fr-FR"/>
        </w:rPr>
      </w:pPr>
      <w:r w:rsidRPr="00BA76DE">
        <w:rPr>
          <w:lang w:val="fr-FR"/>
        </w:rPr>
        <w:t>Le logo doit être placé à l’avant ou à l’arrière du véhicule ;</w:t>
      </w:r>
    </w:p>
    <w:p w14:paraId="30D98925" w14:textId="77777777" w:rsidR="00184E24" w:rsidRPr="009F3A8C" w:rsidRDefault="00184E24" w:rsidP="00184E24">
      <w:pPr>
        <w:pStyle w:val="Bullet1G"/>
        <w:rPr>
          <w:bCs/>
          <w:strike/>
          <w:lang w:val="fr-FR"/>
        </w:rPr>
      </w:pPr>
      <w:r w:rsidRPr="00BA76DE">
        <w:rPr>
          <w:lang w:val="fr-FR"/>
        </w:rPr>
        <w:t>Nombre de logos: dans le cas des feux arborant un logo, seuls deux logos latéraux (un de chaque côté) ou un logo central peuvent être apposés, respectivement, à l’arrière et à l’avant du véhicule</w:t>
      </w:r>
      <w:r w:rsidR="00295E49">
        <w:rPr>
          <w:lang w:val="fr-FR"/>
        </w:rPr>
        <w:t> ;</w:t>
      </w:r>
    </w:p>
    <w:p w14:paraId="246F1F31" w14:textId="77777777" w:rsidR="00184E24" w:rsidRPr="009F3A8C" w:rsidRDefault="00184E24" w:rsidP="00184E24">
      <w:pPr>
        <w:pStyle w:val="Bullet1G"/>
        <w:rPr>
          <w:lang w:val="fr-FR"/>
        </w:rPr>
      </w:pPr>
      <w:r w:rsidRPr="00BA76DE">
        <w:rPr>
          <w:lang w:val="fr-FR"/>
        </w:rPr>
        <w:t>Les dimensions maximales de la surface de sortie de la lumière du logo ne devraient pas excéder 100 cm</w:t>
      </w:r>
      <w:r w:rsidRPr="00BA76DE">
        <w:rPr>
          <w:vertAlign w:val="superscript"/>
          <w:lang w:val="fr-FR"/>
        </w:rPr>
        <w:t>2</w:t>
      </w:r>
      <w:r w:rsidRPr="00BA76DE">
        <w:rPr>
          <w:lang w:val="fr-FR"/>
        </w:rPr>
        <w:t xml:space="preserve"> afin d’éviter que le feu ne soit considéré comme une publicité lumineuse (au regard des lois nationales en vigueur) ;</w:t>
      </w:r>
    </w:p>
    <w:p w14:paraId="560C70F8" w14:textId="77777777" w:rsidR="00184E24" w:rsidRPr="009F3A8C" w:rsidRDefault="00184E24" w:rsidP="00184E24">
      <w:pPr>
        <w:pStyle w:val="Bullet1G"/>
        <w:rPr>
          <w:lang w:val="fr-FR"/>
        </w:rPr>
      </w:pPr>
      <w:r w:rsidRPr="00BA76DE">
        <w:rPr>
          <w:lang w:val="fr-FR"/>
        </w:rPr>
        <w:t>S’agissant de la symétrie, il n’est pas nécessaire que la surface de sortie de la lumière du logo en tant que telle soit symétrique, pour autant que les dimensions maximales n’excèdent pas 100 cm</w:t>
      </w:r>
      <w:r w:rsidRPr="00BA76DE">
        <w:rPr>
          <w:vertAlign w:val="superscript"/>
          <w:lang w:val="fr-FR"/>
        </w:rPr>
        <w:t>2</w:t>
      </w:r>
      <w:r w:rsidRPr="00BA76DE">
        <w:rPr>
          <w:lang w:val="fr-FR"/>
        </w:rPr>
        <w:t>.</w:t>
      </w:r>
    </w:p>
    <w:p w14:paraId="3656AF96" w14:textId="77777777" w:rsidR="00184E24" w:rsidRPr="009F3A8C" w:rsidRDefault="00184E24" w:rsidP="00184E24">
      <w:pPr>
        <w:kinsoku/>
        <w:overflowPunct/>
        <w:autoSpaceDE/>
        <w:autoSpaceDN/>
        <w:adjustRightInd/>
        <w:snapToGrid/>
        <w:spacing w:after="120"/>
        <w:ind w:left="1134" w:right="1134"/>
        <w:jc w:val="both"/>
        <w:rPr>
          <w:rFonts w:eastAsia="Times New Roman"/>
          <w:lang w:val="fr-FR"/>
        </w:rPr>
      </w:pPr>
      <w:r w:rsidRPr="00BA76DE">
        <w:rPr>
          <w:rFonts w:eastAsia="Times New Roman"/>
          <w:lang w:val="fr-FR"/>
        </w:rPr>
        <w:t>3.</w:t>
      </w:r>
      <w:r w:rsidRPr="00BA76DE">
        <w:rPr>
          <w:rFonts w:eastAsia="Times New Roman"/>
          <w:lang w:val="fr-FR"/>
        </w:rPr>
        <w:tab/>
        <w:t xml:space="preserve">Grâce aux prescriptions relatives au logo énoncées dans la présente proposition, l’attention des usagers de la route, troublée par l’utilisation intentionnelle de logos, devrait retrouver un niveau acceptable. Il faudrait, autant que faire se peut, éviter que les usagers soient soumis à des distractions. C’est pourquoi les feux-stop (même pour les feux S1/S2), les feux indicateurs de direction et les feux de recul ne devraient pas arborer de logo pour des raisons évidentes de sécurité, car les signaux qu’ils émettent exigent une réaction </w:t>
      </w:r>
      <w:r w:rsidRPr="00BA76DE">
        <w:rPr>
          <w:rFonts w:eastAsia="Times New Roman"/>
          <w:lang w:val="fr-FR"/>
        </w:rPr>
        <w:lastRenderedPageBreak/>
        <w:t>immédiate de la part des autres usagers de la route et ne doivent pas provoquer de distraction.</w:t>
      </w:r>
    </w:p>
    <w:p w14:paraId="369AF0FF" w14:textId="77777777" w:rsidR="00184E24" w:rsidRPr="009F3A8C" w:rsidRDefault="00184E24" w:rsidP="00184E24">
      <w:pPr>
        <w:kinsoku/>
        <w:overflowPunct/>
        <w:autoSpaceDE/>
        <w:autoSpaceDN/>
        <w:adjustRightInd/>
        <w:snapToGrid/>
        <w:spacing w:after="120"/>
        <w:ind w:left="1134" w:right="1134"/>
        <w:jc w:val="both"/>
        <w:rPr>
          <w:rFonts w:eastAsia="Times New Roman"/>
          <w:bCs/>
          <w:lang w:val="fr-FR"/>
        </w:rPr>
      </w:pPr>
      <w:r w:rsidRPr="00BA76DE">
        <w:rPr>
          <w:rFonts w:eastAsia="Times New Roman"/>
          <w:lang w:val="fr-FR"/>
        </w:rPr>
        <w:t>4.</w:t>
      </w:r>
      <w:r w:rsidRPr="00BA76DE">
        <w:rPr>
          <w:rFonts w:eastAsia="Times New Roman"/>
          <w:lang w:val="fr-FR"/>
        </w:rPr>
        <w:tab/>
        <w:t>La présente proposition, fondée sur les résultats de discussions antérieures sur ces questions, contient la version révisée du projet d’amendements aux Règlements ONU n</w:t>
      </w:r>
      <w:r w:rsidRPr="00BA76DE">
        <w:rPr>
          <w:rFonts w:eastAsia="Times New Roman"/>
          <w:vertAlign w:val="superscript"/>
          <w:lang w:val="fr-FR"/>
        </w:rPr>
        <w:t>os</w:t>
      </w:r>
      <w:r>
        <w:rPr>
          <w:rFonts w:eastAsia="Times New Roman"/>
          <w:lang w:val="fr-FR"/>
        </w:rPr>
        <w:t> </w:t>
      </w:r>
      <w:r w:rsidRPr="00BA76DE">
        <w:rPr>
          <w:rFonts w:eastAsia="Times New Roman"/>
          <w:lang w:val="fr-FR"/>
        </w:rPr>
        <w:t>148 et 48.</w:t>
      </w:r>
    </w:p>
    <w:p w14:paraId="711C48DD" w14:textId="77777777" w:rsidR="00F9573C" w:rsidRPr="00184E24" w:rsidRDefault="00184E24" w:rsidP="00184E24">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184E24" w:rsidSect="00184E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C14B" w14:textId="77777777" w:rsidR="007D3406" w:rsidRDefault="007D3406" w:rsidP="00F95C08">
      <w:pPr>
        <w:spacing w:line="240" w:lineRule="auto"/>
      </w:pPr>
    </w:p>
  </w:endnote>
  <w:endnote w:type="continuationSeparator" w:id="0">
    <w:p w14:paraId="00213CA4" w14:textId="77777777" w:rsidR="007D3406" w:rsidRPr="00AC3823" w:rsidRDefault="007D3406" w:rsidP="00AC3823">
      <w:pPr>
        <w:pStyle w:val="Pieddepage"/>
      </w:pPr>
    </w:p>
  </w:endnote>
  <w:endnote w:type="continuationNotice" w:id="1">
    <w:p w14:paraId="675F9391" w14:textId="77777777" w:rsidR="007D3406" w:rsidRDefault="007D34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DC8" w14:textId="77777777" w:rsidR="00184E24" w:rsidRPr="00184E24" w:rsidRDefault="00184E24" w:rsidP="00184E24">
    <w:pPr>
      <w:pStyle w:val="Pieddepage"/>
      <w:tabs>
        <w:tab w:val="right" w:pos="9638"/>
      </w:tabs>
    </w:pPr>
    <w:r w:rsidRPr="00184E24">
      <w:rPr>
        <w:b/>
        <w:sz w:val="18"/>
      </w:rPr>
      <w:fldChar w:fldCharType="begin"/>
    </w:r>
    <w:r w:rsidRPr="00184E24">
      <w:rPr>
        <w:b/>
        <w:sz w:val="18"/>
      </w:rPr>
      <w:instrText xml:space="preserve"> PAGE  \* MERGEFORMAT </w:instrText>
    </w:r>
    <w:r w:rsidRPr="00184E24">
      <w:rPr>
        <w:b/>
        <w:sz w:val="18"/>
      </w:rPr>
      <w:fldChar w:fldCharType="separate"/>
    </w:r>
    <w:r w:rsidRPr="00184E24">
      <w:rPr>
        <w:b/>
        <w:noProof/>
        <w:sz w:val="18"/>
      </w:rPr>
      <w:t>2</w:t>
    </w:r>
    <w:r w:rsidRPr="00184E24">
      <w:rPr>
        <w:b/>
        <w:sz w:val="18"/>
      </w:rPr>
      <w:fldChar w:fldCharType="end"/>
    </w:r>
    <w:r>
      <w:rPr>
        <w:b/>
        <w:sz w:val="18"/>
      </w:rPr>
      <w:tab/>
    </w:r>
    <w:r>
      <w:t>GE.20-01695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BA0D" w14:textId="77777777" w:rsidR="00184E24" w:rsidRPr="00184E24" w:rsidRDefault="00184E24" w:rsidP="00184E24">
    <w:pPr>
      <w:pStyle w:val="Pieddepage"/>
      <w:tabs>
        <w:tab w:val="right" w:pos="9638"/>
      </w:tabs>
      <w:rPr>
        <w:b/>
        <w:sz w:val="18"/>
      </w:rPr>
    </w:pPr>
    <w:r>
      <w:t>GE.20-01695</w:t>
    </w:r>
    <w:r>
      <w:tab/>
    </w:r>
    <w:r w:rsidRPr="00184E24">
      <w:rPr>
        <w:b/>
        <w:sz w:val="18"/>
      </w:rPr>
      <w:fldChar w:fldCharType="begin"/>
    </w:r>
    <w:r w:rsidRPr="00184E24">
      <w:rPr>
        <w:b/>
        <w:sz w:val="18"/>
      </w:rPr>
      <w:instrText xml:space="preserve"> PAGE  \* MERGEFORMAT </w:instrText>
    </w:r>
    <w:r w:rsidRPr="00184E24">
      <w:rPr>
        <w:b/>
        <w:sz w:val="18"/>
      </w:rPr>
      <w:fldChar w:fldCharType="separate"/>
    </w:r>
    <w:r w:rsidRPr="00184E24">
      <w:rPr>
        <w:b/>
        <w:noProof/>
        <w:sz w:val="18"/>
      </w:rPr>
      <w:t>3</w:t>
    </w:r>
    <w:r w:rsidRPr="00184E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4152" w14:textId="77777777" w:rsidR="007F20FA" w:rsidRPr="00184E24" w:rsidRDefault="00184E24" w:rsidP="00184E24">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8B441BD" wp14:editId="364ADA2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20-01695  (F)</w:t>
    </w:r>
    <w:r w:rsidR="00D77329">
      <w:rPr>
        <w:sz w:val="20"/>
      </w:rPr>
      <w:t xml:space="preserve">    030320    030320</w:t>
    </w:r>
    <w:r>
      <w:rPr>
        <w:sz w:val="20"/>
      </w:rPr>
      <w:br/>
    </w:r>
    <w:r w:rsidRPr="00184E24">
      <w:rPr>
        <w:rFonts w:ascii="C39T30Lfz" w:hAnsi="C39T30Lfz"/>
        <w:sz w:val="56"/>
      </w:rPr>
      <w:t></w:t>
    </w:r>
    <w:r w:rsidRPr="00184E24">
      <w:rPr>
        <w:rFonts w:ascii="C39T30Lfz" w:hAnsi="C39T30Lfz"/>
        <w:sz w:val="56"/>
      </w:rPr>
      <w:t></w:t>
    </w:r>
    <w:r w:rsidRPr="00184E24">
      <w:rPr>
        <w:rFonts w:ascii="C39T30Lfz" w:hAnsi="C39T30Lfz"/>
        <w:sz w:val="56"/>
      </w:rPr>
      <w:t></w:t>
    </w:r>
    <w:r w:rsidRPr="00184E24">
      <w:rPr>
        <w:rFonts w:ascii="C39T30Lfz" w:hAnsi="C39T30Lfz"/>
        <w:sz w:val="56"/>
      </w:rPr>
      <w:t></w:t>
    </w:r>
    <w:r w:rsidRPr="00184E24">
      <w:rPr>
        <w:rFonts w:ascii="C39T30Lfz" w:hAnsi="C39T30Lfz"/>
        <w:sz w:val="56"/>
      </w:rPr>
      <w:t></w:t>
    </w:r>
    <w:r w:rsidRPr="00184E24">
      <w:rPr>
        <w:rFonts w:ascii="C39T30Lfz" w:hAnsi="C39T30Lfz"/>
        <w:sz w:val="56"/>
      </w:rPr>
      <w:t></w:t>
    </w:r>
    <w:r w:rsidRPr="00184E24">
      <w:rPr>
        <w:rFonts w:ascii="C39T30Lfz" w:hAnsi="C39T30Lfz"/>
        <w:sz w:val="56"/>
      </w:rPr>
      <w:t></w:t>
    </w:r>
    <w:r w:rsidRPr="00184E24">
      <w:rPr>
        <w:rFonts w:ascii="C39T30Lfz" w:hAnsi="C39T30Lfz"/>
        <w:sz w:val="56"/>
      </w:rPr>
      <w:t></w:t>
    </w:r>
    <w:r w:rsidRPr="00184E24">
      <w:rPr>
        <w:rFonts w:ascii="C39T30Lfz" w:hAnsi="C39T30Lfz"/>
        <w:sz w:val="56"/>
      </w:rPr>
      <w:t></w:t>
    </w:r>
    <w:r>
      <w:rPr>
        <w:noProof/>
        <w:sz w:val="20"/>
      </w:rPr>
      <w:drawing>
        <wp:anchor distT="0" distB="0" distL="114300" distR="114300" simplePos="0" relativeHeight="251658240" behindDoc="0" locked="0" layoutInCell="1" allowOverlap="1" wp14:anchorId="78CAF4C6" wp14:editId="1D1D44A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2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7FCC" w14:textId="77777777" w:rsidR="007D3406" w:rsidRPr="00AC3823" w:rsidRDefault="007D3406" w:rsidP="00AC3823">
      <w:pPr>
        <w:pStyle w:val="Pieddepage"/>
        <w:tabs>
          <w:tab w:val="right" w:pos="2155"/>
        </w:tabs>
        <w:spacing w:after="80" w:line="240" w:lineRule="atLeast"/>
        <w:ind w:left="680"/>
        <w:rPr>
          <w:u w:val="single"/>
        </w:rPr>
      </w:pPr>
      <w:r>
        <w:rPr>
          <w:u w:val="single"/>
        </w:rPr>
        <w:tab/>
      </w:r>
    </w:p>
  </w:footnote>
  <w:footnote w:type="continuationSeparator" w:id="0">
    <w:p w14:paraId="00AA3266" w14:textId="77777777" w:rsidR="007D3406" w:rsidRPr="00AC3823" w:rsidRDefault="007D3406" w:rsidP="00AC3823">
      <w:pPr>
        <w:pStyle w:val="Pieddepage"/>
        <w:tabs>
          <w:tab w:val="right" w:pos="2155"/>
        </w:tabs>
        <w:spacing w:after="80" w:line="240" w:lineRule="atLeast"/>
        <w:ind w:left="680"/>
        <w:rPr>
          <w:u w:val="single"/>
        </w:rPr>
      </w:pPr>
      <w:r>
        <w:rPr>
          <w:u w:val="single"/>
        </w:rPr>
        <w:tab/>
      </w:r>
    </w:p>
  </w:footnote>
  <w:footnote w:type="continuationNotice" w:id="1">
    <w:p w14:paraId="14F74FD3" w14:textId="77777777" w:rsidR="007D3406" w:rsidRPr="00AC3823" w:rsidRDefault="007D3406">
      <w:pPr>
        <w:spacing w:line="240" w:lineRule="auto"/>
        <w:rPr>
          <w:sz w:val="2"/>
          <w:szCs w:val="2"/>
        </w:rPr>
      </w:pPr>
    </w:p>
  </w:footnote>
  <w:footnote w:id="2">
    <w:p w14:paraId="06E02DF7" w14:textId="77777777" w:rsidR="00184E24" w:rsidRPr="00184E24" w:rsidRDefault="00184E24">
      <w:pPr>
        <w:pStyle w:val="Notedebasdepage"/>
      </w:pPr>
      <w:r>
        <w:rPr>
          <w:rStyle w:val="Appelnotedebasdep"/>
        </w:rPr>
        <w:tab/>
      </w:r>
      <w:r w:rsidRPr="00184E2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w:t>
      </w:r>
      <w:r>
        <w:rPr>
          <w:lang w:val="fr-FR"/>
        </w:rPr>
        <w:t> </w:t>
      </w:r>
      <w:r>
        <w:rPr>
          <w:lang w:val="fr-FR"/>
        </w:rPr>
        <w:t>20), par.</w:t>
      </w:r>
      <w:r>
        <w:rPr>
          <w:lang w:val="fr-FR"/>
        </w:rPr>
        <w:t> </w:t>
      </w:r>
      <w:r>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5742" w14:textId="729FF4A3" w:rsidR="00184E24" w:rsidRPr="00184E24" w:rsidRDefault="00184E24">
    <w:pPr>
      <w:pStyle w:val="En-tte"/>
    </w:pPr>
    <w:fldSimple w:instr=" TITLE  \* MERGEFORMAT ">
      <w:r w:rsidR="006A49D0">
        <w:t>ECE/TRANS/WP.29/GRE/2020/5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E5A0" w14:textId="2861AA69" w:rsidR="00184E24" w:rsidRPr="00184E24" w:rsidRDefault="00184E24" w:rsidP="00184E24">
    <w:pPr>
      <w:pStyle w:val="En-tte"/>
      <w:jc w:val="right"/>
    </w:pPr>
    <w:fldSimple w:instr=" TITLE  \* MERGEFORMAT ">
      <w:r w:rsidR="006A49D0">
        <w:t>ECE/TRANS/WP.29/GRE/2020/5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3406"/>
    <w:rsid w:val="00017F94"/>
    <w:rsid w:val="00023842"/>
    <w:rsid w:val="000334F9"/>
    <w:rsid w:val="000412A9"/>
    <w:rsid w:val="00045FEB"/>
    <w:rsid w:val="0007796D"/>
    <w:rsid w:val="000B7790"/>
    <w:rsid w:val="00111F2F"/>
    <w:rsid w:val="0014365E"/>
    <w:rsid w:val="00143C66"/>
    <w:rsid w:val="00176178"/>
    <w:rsid w:val="00184E24"/>
    <w:rsid w:val="001F525A"/>
    <w:rsid w:val="00223272"/>
    <w:rsid w:val="0024779E"/>
    <w:rsid w:val="00257168"/>
    <w:rsid w:val="002724CF"/>
    <w:rsid w:val="002744B8"/>
    <w:rsid w:val="002832AC"/>
    <w:rsid w:val="00295E49"/>
    <w:rsid w:val="002D7C93"/>
    <w:rsid w:val="00305801"/>
    <w:rsid w:val="003563B4"/>
    <w:rsid w:val="003916DE"/>
    <w:rsid w:val="00406463"/>
    <w:rsid w:val="00421996"/>
    <w:rsid w:val="00441C3B"/>
    <w:rsid w:val="00446FE5"/>
    <w:rsid w:val="00452396"/>
    <w:rsid w:val="004837D8"/>
    <w:rsid w:val="004E2EED"/>
    <w:rsid w:val="004E468C"/>
    <w:rsid w:val="005505B7"/>
    <w:rsid w:val="00573BE5"/>
    <w:rsid w:val="00586ED3"/>
    <w:rsid w:val="00596AA9"/>
    <w:rsid w:val="006A49D0"/>
    <w:rsid w:val="0071601D"/>
    <w:rsid w:val="007A62E6"/>
    <w:rsid w:val="007D340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10D3C"/>
    <w:rsid w:val="00B45F2E"/>
    <w:rsid w:val="00B765F7"/>
    <w:rsid w:val="00BA0CA9"/>
    <w:rsid w:val="00C02897"/>
    <w:rsid w:val="00C97039"/>
    <w:rsid w:val="00D3439C"/>
    <w:rsid w:val="00D77329"/>
    <w:rsid w:val="00DB1831"/>
    <w:rsid w:val="00DD3BFD"/>
    <w:rsid w:val="00DF6678"/>
    <w:rsid w:val="00E0299A"/>
    <w:rsid w:val="00E85C74"/>
    <w:rsid w:val="00EA6547"/>
    <w:rsid w:val="00EF2E22"/>
    <w:rsid w:val="00F061A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82333"/>
  <w15:docId w15:val="{E6DCDC09-55B6-437F-873F-6F4B4753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957</Words>
  <Characters>6700</Characters>
  <Application>Microsoft Office Word</Application>
  <DocSecurity>0</DocSecurity>
  <Lines>558</Lines>
  <Paragraphs>306</Paragraphs>
  <ScaleCrop>false</ScaleCrop>
  <HeadingPairs>
    <vt:vector size="2" baseType="variant">
      <vt:variant>
        <vt:lpstr>Titre</vt:lpstr>
      </vt:variant>
      <vt:variant>
        <vt:i4>1</vt:i4>
      </vt:variant>
    </vt:vector>
  </HeadingPairs>
  <TitlesOfParts>
    <vt:vector size="1" baseType="lpstr">
      <vt:lpstr>ECE/TRANS/WP.29/GRE/2020/5</vt:lpstr>
    </vt:vector>
  </TitlesOfParts>
  <Company>DCM</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ECE/TRANS/WP.29/GRE/2020/5</dc:title>
  <dc:subject/>
  <dc:creator>Fabienne CRELIER</dc:creator>
  <cp:keywords/>
  <cp:lastModifiedBy>Fabienne CRELIER</cp:lastModifiedBy>
  <cp:revision>2</cp:revision>
  <cp:lastPrinted>2020-03-03T10:32:00Z</cp:lastPrinted>
  <dcterms:created xsi:type="dcterms:W3CDTF">2020-03-03T10:34:00Z</dcterms:created>
  <dcterms:modified xsi:type="dcterms:W3CDTF">2020-03-03T10:34:00Z</dcterms:modified>
</cp:coreProperties>
</file>