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065B4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065B4F" w:rsidP="00065B4F">
            <w:pPr>
              <w:jc w:val="right"/>
            </w:pPr>
            <w:r w:rsidRPr="00065B4F">
              <w:rPr>
                <w:sz w:val="40"/>
              </w:rPr>
              <w:t>ECE</w:t>
            </w:r>
            <w:r>
              <w:t>/TRANS/WP.29/GRE/2020/3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065B4F" w:rsidP="00C97039">
            <w:pPr>
              <w:spacing w:before="240"/>
            </w:pPr>
            <w:r>
              <w:t>Distr. générale</w:t>
            </w:r>
          </w:p>
          <w:p w:rsidR="00065B4F" w:rsidRDefault="00E14E41" w:rsidP="00065B4F">
            <w:pPr>
              <w:spacing w:line="240" w:lineRule="exact"/>
            </w:pPr>
            <w:r>
              <w:t>5</w:t>
            </w:r>
            <w:r w:rsidR="00065B4F">
              <w:t xml:space="preserve"> février 2020</w:t>
            </w:r>
          </w:p>
          <w:p w:rsidR="00065B4F" w:rsidRDefault="00065B4F" w:rsidP="00065B4F">
            <w:pPr>
              <w:spacing w:line="240" w:lineRule="exact"/>
            </w:pPr>
            <w:r>
              <w:t>Français</w:t>
            </w:r>
          </w:p>
          <w:p w:rsidR="00065B4F" w:rsidRPr="00DB58B5" w:rsidRDefault="00065B4F" w:rsidP="00065B4F">
            <w:pPr>
              <w:spacing w:line="240" w:lineRule="exact"/>
            </w:pPr>
            <w:r>
              <w:t>Original</w:t>
            </w:r>
            <w:r w:rsidR="000D5B07">
              <w:t> :</w:t>
            </w:r>
            <w:r>
              <w:t xml:space="preserve"> anglais</w:t>
            </w:r>
            <w:r w:rsidR="000D5B07">
              <w:t xml:space="preserve"> et russe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EF1ED9" w:rsidRPr="000D5B07" w:rsidRDefault="00EF1ED9" w:rsidP="00EF1ED9">
      <w:pPr>
        <w:kinsoku/>
        <w:overflowPunct/>
        <w:autoSpaceDE/>
        <w:autoSpaceDN/>
        <w:adjustRightInd/>
        <w:snapToGrid/>
        <w:spacing w:before="120"/>
        <w:rPr>
          <w:rFonts w:eastAsia="Times New Roman"/>
          <w:b/>
          <w:sz w:val="24"/>
          <w:szCs w:val="24"/>
          <w:lang w:val="fr-FR" w:eastAsia="fr-FR"/>
        </w:rPr>
      </w:pPr>
      <w:r w:rsidRPr="000D5B07">
        <w:rPr>
          <w:rFonts w:eastAsia="Times New Roman"/>
          <w:b/>
          <w:bCs/>
          <w:sz w:val="24"/>
          <w:szCs w:val="24"/>
          <w:lang w:val="fr-FR" w:eastAsia="fr-FR"/>
        </w:rPr>
        <w:t xml:space="preserve">Forum mondial de l’harmonisation </w:t>
      </w:r>
      <w:r w:rsidR="000D5B07">
        <w:rPr>
          <w:rFonts w:eastAsia="Times New Roman"/>
          <w:b/>
          <w:bCs/>
          <w:sz w:val="24"/>
          <w:szCs w:val="24"/>
          <w:lang w:val="fr-FR" w:eastAsia="fr-FR"/>
        </w:rPr>
        <w:br/>
      </w:r>
      <w:r w:rsidRPr="000D5B07">
        <w:rPr>
          <w:rFonts w:eastAsia="Times New Roman"/>
          <w:b/>
          <w:bCs/>
          <w:sz w:val="24"/>
          <w:szCs w:val="24"/>
          <w:lang w:val="fr-FR" w:eastAsia="fr-FR"/>
        </w:rPr>
        <w:t>des Règlements concernant les véhicules</w:t>
      </w:r>
    </w:p>
    <w:p w:rsidR="00EF1ED9" w:rsidRPr="000D5B07" w:rsidRDefault="00EF1ED9" w:rsidP="00EF1ED9">
      <w:pPr>
        <w:kinsoku/>
        <w:overflowPunct/>
        <w:autoSpaceDE/>
        <w:autoSpaceDN/>
        <w:adjustRightInd/>
        <w:snapToGrid/>
        <w:spacing w:before="120" w:after="120"/>
        <w:rPr>
          <w:rFonts w:eastAsia="Times New Roman"/>
          <w:b/>
          <w:sz w:val="24"/>
          <w:szCs w:val="24"/>
          <w:lang w:val="fr-FR" w:eastAsia="fr-FR"/>
        </w:rPr>
      </w:pPr>
      <w:r w:rsidRPr="000D5B07">
        <w:rPr>
          <w:rFonts w:eastAsia="Times New Roman"/>
          <w:b/>
          <w:bCs/>
          <w:sz w:val="24"/>
          <w:szCs w:val="24"/>
          <w:lang w:val="fr-FR" w:eastAsia="fr-FR"/>
        </w:rPr>
        <w:t xml:space="preserve">Groupe de travail de l’éclairage </w:t>
      </w:r>
      <w:r w:rsidR="000D5B07">
        <w:rPr>
          <w:rFonts w:eastAsia="Times New Roman"/>
          <w:b/>
          <w:bCs/>
          <w:sz w:val="24"/>
          <w:szCs w:val="24"/>
          <w:lang w:val="fr-FR" w:eastAsia="fr-FR"/>
        </w:rPr>
        <w:br/>
      </w:r>
      <w:r w:rsidRPr="000D5B07">
        <w:rPr>
          <w:rFonts w:eastAsia="Times New Roman"/>
          <w:b/>
          <w:bCs/>
          <w:sz w:val="24"/>
          <w:szCs w:val="24"/>
          <w:lang w:val="fr-FR" w:eastAsia="fr-FR"/>
        </w:rPr>
        <w:t>et de la signalisation lumineuse</w:t>
      </w:r>
    </w:p>
    <w:p w:rsidR="00EF1ED9" w:rsidRPr="008F1828" w:rsidRDefault="00EF1ED9" w:rsidP="00EF1ED9">
      <w:pPr>
        <w:kinsoku/>
        <w:overflowPunct/>
        <w:autoSpaceDE/>
        <w:autoSpaceDN/>
        <w:adjustRightInd/>
        <w:snapToGrid/>
        <w:ind w:right="1134"/>
        <w:rPr>
          <w:rFonts w:eastAsia="Times New Roman"/>
          <w:b/>
          <w:lang w:val="fr-FR" w:eastAsia="fr-FR"/>
        </w:rPr>
      </w:pPr>
      <w:r w:rsidRPr="008B72A8">
        <w:rPr>
          <w:rFonts w:eastAsia="Times New Roman"/>
          <w:b/>
          <w:bCs/>
          <w:lang w:val="fr-FR" w:eastAsia="fr-FR"/>
        </w:rPr>
        <w:t>Quatre-vingt-troisième session</w:t>
      </w:r>
    </w:p>
    <w:p w:rsidR="00EF1ED9" w:rsidRPr="008F1828" w:rsidRDefault="00EF1ED9" w:rsidP="00EF1ED9">
      <w:pPr>
        <w:kinsoku/>
        <w:overflowPunct/>
        <w:autoSpaceDE/>
        <w:autoSpaceDN/>
        <w:adjustRightInd/>
        <w:snapToGrid/>
        <w:ind w:right="1134"/>
        <w:rPr>
          <w:rFonts w:eastAsia="Times New Roman"/>
          <w:lang w:val="fr-FR" w:eastAsia="fr-FR"/>
        </w:rPr>
      </w:pPr>
      <w:r w:rsidRPr="008B72A8">
        <w:rPr>
          <w:rFonts w:eastAsia="Times New Roman"/>
          <w:lang w:val="fr-FR" w:eastAsia="fr-FR"/>
        </w:rPr>
        <w:t>Genève, 21-24 avril 2020</w:t>
      </w:r>
    </w:p>
    <w:p w:rsidR="00EF1ED9" w:rsidRPr="008F1828" w:rsidRDefault="00EF1ED9" w:rsidP="00EF1ED9">
      <w:pPr>
        <w:kinsoku/>
        <w:overflowPunct/>
        <w:autoSpaceDE/>
        <w:autoSpaceDN/>
        <w:adjustRightInd/>
        <w:snapToGrid/>
        <w:ind w:right="1134"/>
        <w:rPr>
          <w:rFonts w:eastAsia="Times New Roman"/>
          <w:bCs/>
          <w:lang w:val="fr-FR" w:eastAsia="fr-FR"/>
        </w:rPr>
      </w:pPr>
      <w:r w:rsidRPr="008B72A8">
        <w:rPr>
          <w:rFonts w:eastAsia="Times New Roman"/>
          <w:lang w:val="fr-FR" w:eastAsia="fr-FR"/>
        </w:rPr>
        <w:t>Point 6 a) de l</w:t>
      </w:r>
      <w:r>
        <w:rPr>
          <w:rFonts w:eastAsia="Times New Roman"/>
          <w:lang w:val="fr-FR" w:eastAsia="fr-FR"/>
        </w:rPr>
        <w:t>’</w:t>
      </w:r>
      <w:r w:rsidRPr="008B72A8">
        <w:rPr>
          <w:rFonts w:eastAsia="Times New Roman"/>
          <w:lang w:val="fr-FR" w:eastAsia="fr-FR"/>
        </w:rPr>
        <w:t>ordre du jour provisoire</w:t>
      </w:r>
    </w:p>
    <w:p w:rsidR="00EF1ED9" w:rsidRPr="000D5B07" w:rsidRDefault="00EF1ED9" w:rsidP="000D5B07">
      <w:pPr>
        <w:rPr>
          <w:b/>
          <w:bCs/>
          <w:lang w:val="fr-FR" w:eastAsia="fr-FR"/>
        </w:rPr>
      </w:pPr>
      <w:r w:rsidRPr="000D5B07">
        <w:rPr>
          <w:b/>
          <w:bCs/>
          <w:lang w:val="fr-FR" w:eastAsia="fr-FR"/>
        </w:rPr>
        <w:t xml:space="preserve">Règlement ONU </w:t>
      </w:r>
      <w:r w:rsidR="000D5B07" w:rsidRPr="000D5B07">
        <w:rPr>
          <w:rFonts w:eastAsia="MS Mincho"/>
          <w:b/>
          <w:bCs/>
          <w:lang w:val="fr-FR" w:eastAsia="fr-FR"/>
        </w:rPr>
        <w:t>n</w:t>
      </w:r>
      <w:r w:rsidR="000D5B07" w:rsidRPr="000D5B07">
        <w:rPr>
          <w:rFonts w:eastAsia="MS Mincho"/>
          <w:b/>
          <w:bCs/>
          <w:vertAlign w:val="superscript"/>
          <w:lang w:val="fr-FR" w:eastAsia="fr-FR"/>
        </w:rPr>
        <w:t>o</w:t>
      </w:r>
      <w:r w:rsidR="000D5B07" w:rsidRPr="000D5B07">
        <w:rPr>
          <w:b/>
          <w:bCs/>
          <w:lang w:val="fr-FR" w:eastAsia="fr-FR"/>
        </w:rPr>
        <w:t> </w:t>
      </w:r>
      <w:r w:rsidRPr="000D5B07">
        <w:rPr>
          <w:b/>
          <w:bCs/>
          <w:lang w:val="fr-FR" w:eastAsia="fr-FR"/>
        </w:rPr>
        <w:t xml:space="preserve">48 (Installation des dispositifs d’éclairage </w:t>
      </w:r>
      <w:r w:rsidR="000D5B07" w:rsidRPr="000D5B07">
        <w:rPr>
          <w:b/>
          <w:bCs/>
          <w:lang w:val="fr-FR" w:eastAsia="fr-FR"/>
        </w:rPr>
        <w:br/>
      </w:r>
      <w:r w:rsidRPr="000D5B07">
        <w:rPr>
          <w:b/>
          <w:bCs/>
          <w:lang w:val="fr-FR" w:eastAsia="fr-FR"/>
        </w:rPr>
        <w:t>et de signalisation lumineuse)</w:t>
      </w:r>
      <w:r w:rsidR="000D5B07">
        <w:rPr>
          <w:b/>
          <w:bCs/>
          <w:lang w:val="fr-FR" w:eastAsia="fr-FR"/>
        </w:rPr>
        <w:t> :</w:t>
      </w:r>
    </w:p>
    <w:p w:rsidR="00EF1ED9" w:rsidRPr="000D5B07" w:rsidRDefault="00EF1ED9" w:rsidP="000D5B07">
      <w:pPr>
        <w:rPr>
          <w:rFonts w:eastAsia="Times New Roman"/>
          <w:b/>
          <w:bCs/>
          <w:lang w:val="fr-FR" w:eastAsia="fr-FR"/>
        </w:rPr>
      </w:pPr>
      <w:r w:rsidRPr="000D5B07">
        <w:rPr>
          <w:rFonts w:eastAsia="Times New Roman"/>
          <w:b/>
          <w:bCs/>
          <w:lang w:val="fr-FR" w:eastAsia="fr-FR"/>
        </w:rPr>
        <w:t>Propositions d’amendements aux séries 05 et 06 d’amendements</w:t>
      </w:r>
    </w:p>
    <w:p w:rsidR="00EF1ED9" w:rsidRPr="008F1828" w:rsidRDefault="00EF1ED9" w:rsidP="00EF1ED9">
      <w:pPr>
        <w:pStyle w:val="HChG"/>
        <w:rPr>
          <w:szCs w:val="28"/>
          <w:lang w:val="fr-FR" w:eastAsia="fr-FR"/>
        </w:rPr>
      </w:pPr>
      <w:r w:rsidRPr="008B72A8">
        <w:rPr>
          <w:lang w:val="fr-FR" w:eastAsia="fr-FR"/>
        </w:rPr>
        <w:tab/>
      </w:r>
      <w:r w:rsidRPr="008B72A8">
        <w:rPr>
          <w:lang w:val="fr-FR" w:eastAsia="fr-FR"/>
        </w:rPr>
        <w:tab/>
        <w:t>Proposition d</w:t>
      </w:r>
      <w:r>
        <w:rPr>
          <w:lang w:val="fr-FR" w:eastAsia="fr-FR"/>
        </w:rPr>
        <w:t>’</w:t>
      </w:r>
      <w:r w:rsidRPr="008B72A8">
        <w:rPr>
          <w:lang w:val="fr-FR" w:eastAsia="fr-FR"/>
        </w:rPr>
        <w:t>amendements aux séries 04, 05 et 06 d</w:t>
      </w:r>
      <w:r>
        <w:rPr>
          <w:lang w:val="fr-FR" w:eastAsia="fr-FR"/>
        </w:rPr>
        <w:t>’</w:t>
      </w:r>
      <w:r w:rsidRPr="008B72A8">
        <w:rPr>
          <w:lang w:val="fr-FR" w:eastAsia="fr-FR"/>
        </w:rPr>
        <w:t>amendements au Règlement ONU n</w:t>
      </w:r>
      <w:r w:rsidRPr="008B72A8">
        <w:rPr>
          <w:vertAlign w:val="superscript"/>
          <w:lang w:val="fr-FR" w:eastAsia="fr-FR"/>
        </w:rPr>
        <w:t>o</w:t>
      </w:r>
      <w:r w:rsidRPr="00EF1ED9">
        <w:rPr>
          <w:lang w:val="fr-FR" w:eastAsia="fr-FR"/>
        </w:rPr>
        <w:t> </w:t>
      </w:r>
      <w:r w:rsidRPr="008B72A8">
        <w:rPr>
          <w:lang w:val="fr-FR" w:eastAsia="fr-FR"/>
        </w:rPr>
        <w:t>48 (Installation des</w:t>
      </w:r>
      <w:r>
        <w:rPr>
          <w:lang w:val="fr-FR" w:eastAsia="fr-FR"/>
        </w:rPr>
        <w:t> </w:t>
      </w:r>
      <w:r w:rsidRPr="008B72A8">
        <w:rPr>
          <w:lang w:val="fr-FR" w:eastAsia="fr-FR"/>
        </w:rPr>
        <w:t>dispositifs d</w:t>
      </w:r>
      <w:r>
        <w:rPr>
          <w:lang w:val="fr-FR" w:eastAsia="fr-FR"/>
        </w:rPr>
        <w:t>’</w:t>
      </w:r>
      <w:r w:rsidRPr="008B72A8">
        <w:rPr>
          <w:lang w:val="fr-FR" w:eastAsia="fr-FR"/>
        </w:rPr>
        <w:t>éclairage et de signalisation lumineuse)</w:t>
      </w:r>
    </w:p>
    <w:p w:rsidR="00EF1ED9" w:rsidRPr="008F1828" w:rsidRDefault="00EF1ED9" w:rsidP="00EF1ED9">
      <w:pPr>
        <w:pStyle w:val="H1G"/>
        <w:rPr>
          <w:lang w:val="fr-FR" w:eastAsia="fr-FR"/>
        </w:rPr>
      </w:pPr>
      <w:r w:rsidRPr="008B72A8">
        <w:rPr>
          <w:lang w:val="fr-FR" w:eastAsia="fr-FR"/>
        </w:rPr>
        <w:tab/>
      </w:r>
      <w:r w:rsidRPr="008B72A8">
        <w:rPr>
          <w:lang w:val="fr-FR" w:eastAsia="fr-FR"/>
        </w:rPr>
        <w:tab/>
        <w:t>Communication de l</w:t>
      </w:r>
      <w:r>
        <w:rPr>
          <w:lang w:val="fr-FR" w:eastAsia="fr-FR"/>
        </w:rPr>
        <w:t>’</w:t>
      </w:r>
      <w:r w:rsidRPr="008B72A8">
        <w:rPr>
          <w:lang w:val="fr-FR" w:eastAsia="fr-FR"/>
        </w:rPr>
        <w:t>expert de la Fédération de Russie</w:t>
      </w:r>
      <w:r w:rsidRPr="00EF1ED9">
        <w:rPr>
          <w:b w:val="0"/>
          <w:bCs/>
          <w:sz w:val="20"/>
          <w:lang w:val="fr-FR" w:eastAsia="fr-FR"/>
        </w:rPr>
        <w:footnoteReference w:customMarkFollows="1" w:id="2"/>
        <w:t>*</w:t>
      </w:r>
    </w:p>
    <w:p w:rsidR="00EF1ED9" w:rsidRPr="008F1828" w:rsidRDefault="00EF1ED9" w:rsidP="00EF1ED9">
      <w:pPr>
        <w:pStyle w:val="SingleTxtG"/>
        <w:ind w:firstLine="567"/>
        <w:rPr>
          <w:lang w:val="fr-FR" w:eastAsia="fr-FR"/>
        </w:rPr>
      </w:pPr>
      <w:r w:rsidRPr="008B72A8">
        <w:rPr>
          <w:lang w:val="fr-FR" w:eastAsia="fr-FR"/>
        </w:rPr>
        <w:t>Le texte reproduit ci-après, établi par l</w:t>
      </w:r>
      <w:r>
        <w:rPr>
          <w:lang w:val="fr-FR" w:eastAsia="fr-FR"/>
        </w:rPr>
        <w:t>’</w:t>
      </w:r>
      <w:r w:rsidRPr="008B72A8">
        <w:rPr>
          <w:lang w:val="fr-FR" w:eastAsia="fr-FR"/>
        </w:rPr>
        <w:t xml:space="preserve">expert de la Fédération de Russie, vise à préciser les prescriptions relatives à la hauteur </w:t>
      </w:r>
      <w:r>
        <w:rPr>
          <w:lang w:val="fr-FR" w:eastAsia="fr-FR"/>
        </w:rPr>
        <w:t>à laquelle sont montés le</w:t>
      </w:r>
      <w:r w:rsidRPr="008B72A8">
        <w:rPr>
          <w:lang w:val="fr-FR" w:eastAsia="fr-FR"/>
        </w:rPr>
        <w:t xml:space="preserve">s feux de croisement, </w:t>
      </w:r>
      <w:r>
        <w:rPr>
          <w:lang w:val="fr-FR" w:eastAsia="fr-FR"/>
        </w:rPr>
        <w:t>l</w:t>
      </w:r>
      <w:r w:rsidRPr="008B72A8">
        <w:rPr>
          <w:lang w:val="fr-FR" w:eastAsia="fr-FR"/>
        </w:rPr>
        <w:t xml:space="preserve">es feux de recul et </w:t>
      </w:r>
      <w:r>
        <w:rPr>
          <w:lang w:val="fr-FR" w:eastAsia="fr-FR"/>
        </w:rPr>
        <w:t>l</w:t>
      </w:r>
      <w:r w:rsidRPr="008B72A8">
        <w:rPr>
          <w:lang w:val="fr-FR" w:eastAsia="fr-FR"/>
        </w:rPr>
        <w:t>es feux de brouillard arrière sur les véhicules de la catégorie G (conçus pour une utilisation tout-terrain). Les modifications qu</w:t>
      </w:r>
      <w:r>
        <w:rPr>
          <w:lang w:val="fr-FR" w:eastAsia="fr-FR"/>
        </w:rPr>
        <w:t>’</w:t>
      </w:r>
      <w:r w:rsidRPr="008B72A8">
        <w:rPr>
          <w:lang w:val="fr-FR" w:eastAsia="fr-FR"/>
        </w:rPr>
        <w:t>il est proposé d</w:t>
      </w:r>
      <w:r>
        <w:rPr>
          <w:lang w:val="fr-FR" w:eastAsia="fr-FR"/>
        </w:rPr>
        <w:t>’</w:t>
      </w:r>
      <w:r w:rsidRPr="008B72A8">
        <w:rPr>
          <w:lang w:val="fr-FR" w:eastAsia="fr-FR"/>
        </w:rPr>
        <w:t>apporter aux séries 04, 05 et 06 d</w:t>
      </w:r>
      <w:r>
        <w:rPr>
          <w:lang w:val="fr-FR" w:eastAsia="fr-FR"/>
        </w:rPr>
        <w:t>’</w:t>
      </w:r>
      <w:r w:rsidRPr="008B72A8">
        <w:rPr>
          <w:lang w:val="fr-FR" w:eastAsia="fr-FR"/>
        </w:rPr>
        <w:t xml:space="preserve">amendements au Règlement ONU </w:t>
      </w:r>
      <w:r w:rsidR="007461C8" w:rsidRPr="007461C8">
        <w:rPr>
          <w:rFonts w:eastAsia="MS Mincho"/>
          <w:lang w:val="fr-FR" w:eastAsia="fr-FR"/>
        </w:rPr>
        <w:t>n</w:t>
      </w:r>
      <w:r w:rsidR="007461C8" w:rsidRPr="007461C8">
        <w:rPr>
          <w:rFonts w:eastAsia="MS Mincho"/>
          <w:vertAlign w:val="superscript"/>
          <w:lang w:val="fr-FR" w:eastAsia="fr-FR"/>
        </w:rPr>
        <w:t>o</w:t>
      </w:r>
      <w:r w:rsidR="007461C8">
        <w:rPr>
          <w:lang w:val="fr-FR" w:eastAsia="fr-FR"/>
        </w:rPr>
        <w:t> </w:t>
      </w:r>
      <w:r w:rsidRPr="008B72A8">
        <w:rPr>
          <w:lang w:val="fr-FR" w:eastAsia="fr-FR"/>
        </w:rPr>
        <w:t>48 figurent en caractères gras pour les ajouts et biffés pour les suppressions.</w:t>
      </w:r>
    </w:p>
    <w:p w:rsidR="00EF1ED9" w:rsidRPr="008F1828" w:rsidRDefault="00EF1ED9" w:rsidP="00EF1ED9">
      <w:pPr>
        <w:pStyle w:val="HChG"/>
        <w:rPr>
          <w:lang w:val="fr-FR" w:eastAsia="fr-FR"/>
        </w:rPr>
      </w:pPr>
      <w:r w:rsidRPr="008F1828">
        <w:rPr>
          <w:rFonts w:eastAsia="Times New Roman"/>
          <w:lang w:val="fr-FR" w:eastAsia="fr-FR"/>
        </w:rPr>
        <w:br w:type="page"/>
      </w:r>
      <w:r>
        <w:rPr>
          <w:lang w:val="fr-FR" w:eastAsia="fr-FR"/>
        </w:rPr>
        <w:lastRenderedPageBreak/>
        <w:tab/>
      </w:r>
      <w:r w:rsidRPr="008B72A8">
        <w:rPr>
          <w:lang w:val="fr-FR" w:eastAsia="fr-FR"/>
        </w:rPr>
        <w:t>I.</w:t>
      </w:r>
      <w:r w:rsidRPr="008B72A8">
        <w:rPr>
          <w:lang w:val="fr-FR" w:eastAsia="fr-FR"/>
        </w:rPr>
        <w:tab/>
        <w:t>Proposition</w:t>
      </w:r>
    </w:p>
    <w:p w:rsidR="00EF1ED9" w:rsidRPr="008F1828" w:rsidRDefault="00EF1ED9" w:rsidP="00EF1ED9">
      <w:pPr>
        <w:pStyle w:val="SingleTxtG"/>
        <w:rPr>
          <w:bCs/>
          <w:lang w:val="fr-FR" w:eastAsia="fr-FR"/>
        </w:rPr>
      </w:pPr>
      <w:r w:rsidRPr="00EF1ED9">
        <w:rPr>
          <w:i/>
          <w:iCs/>
          <w:lang w:val="fr-FR" w:eastAsia="fr-FR"/>
        </w:rPr>
        <w:t>Paragraphe 6.2.4.2</w:t>
      </w:r>
      <w:r w:rsidRPr="008B72A8">
        <w:rPr>
          <w:lang w:val="fr-FR" w:eastAsia="fr-FR"/>
        </w:rPr>
        <w:t>, lire</w:t>
      </w:r>
      <w:r w:rsidR="000D5B07">
        <w:rPr>
          <w:lang w:val="fr-FR" w:eastAsia="fr-FR"/>
        </w:rPr>
        <w:t> :</w:t>
      </w:r>
    </w:p>
    <w:p w:rsidR="00EF1ED9" w:rsidRPr="008F1828" w:rsidRDefault="00EF1ED9" w:rsidP="000D5B07">
      <w:pPr>
        <w:pStyle w:val="SingleTxtG"/>
        <w:ind w:left="2268" w:hanging="1134"/>
        <w:rPr>
          <w:rFonts w:eastAsia="Times New Roman"/>
          <w:bCs/>
          <w:lang w:val="fr-FR" w:eastAsia="fr-FR"/>
        </w:rPr>
      </w:pPr>
      <w:r w:rsidRPr="008B72A8">
        <w:rPr>
          <w:rFonts w:eastAsia="Times New Roman"/>
          <w:lang w:val="fr-FR" w:eastAsia="fr-FR"/>
        </w:rPr>
        <w:t>« 6.2.4.2</w:t>
      </w:r>
      <w:r w:rsidRPr="008B72A8">
        <w:rPr>
          <w:rFonts w:eastAsia="Times New Roman"/>
          <w:lang w:val="fr-FR" w:eastAsia="fr-FR"/>
        </w:rPr>
        <w:tab/>
        <w:t>En hauteur</w:t>
      </w:r>
      <w:r w:rsidR="000D5B07">
        <w:rPr>
          <w:rFonts w:eastAsia="Times New Roman"/>
          <w:lang w:val="fr-FR" w:eastAsia="fr-FR"/>
        </w:rPr>
        <w:t> :</w:t>
      </w:r>
      <w:r w:rsidRPr="008B72A8">
        <w:rPr>
          <w:rFonts w:eastAsia="Times New Roman"/>
          <w:lang w:val="fr-FR" w:eastAsia="fr-FR"/>
        </w:rPr>
        <w:t xml:space="preserve"> minimum 500</w:t>
      </w:r>
      <w:r w:rsidR="000D5B07">
        <w:rPr>
          <w:rFonts w:eastAsia="Times New Roman"/>
          <w:lang w:val="fr-FR" w:eastAsia="fr-FR"/>
        </w:rPr>
        <w:t> </w:t>
      </w:r>
      <w:r w:rsidRPr="008B72A8">
        <w:rPr>
          <w:rFonts w:eastAsia="Times New Roman"/>
          <w:lang w:val="fr-FR" w:eastAsia="fr-FR"/>
        </w:rPr>
        <w:t>mm, maximum 1</w:t>
      </w:r>
      <w:r w:rsidR="000D5B07">
        <w:rPr>
          <w:rFonts w:eastAsia="Times New Roman"/>
          <w:lang w:val="fr-FR" w:eastAsia="fr-FR"/>
        </w:rPr>
        <w:t> </w:t>
      </w:r>
      <w:r w:rsidRPr="008B72A8">
        <w:rPr>
          <w:rFonts w:eastAsia="Times New Roman"/>
          <w:lang w:val="fr-FR" w:eastAsia="fr-FR"/>
        </w:rPr>
        <w:t>200</w:t>
      </w:r>
      <w:r w:rsidR="000D5B07">
        <w:rPr>
          <w:rFonts w:eastAsia="Times New Roman"/>
          <w:lang w:val="fr-FR" w:eastAsia="fr-FR"/>
        </w:rPr>
        <w:t> </w:t>
      </w:r>
      <w:r w:rsidRPr="008B72A8">
        <w:rPr>
          <w:rFonts w:eastAsia="Times New Roman"/>
          <w:lang w:val="fr-FR" w:eastAsia="fr-FR"/>
        </w:rPr>
        <w:t xml:space="preserve">mm au-dessus du sol. Pour les véhicules </w:t>
      </w:r>
      <w:proofErr w:type="spellStart"/>
      <w:r w:rsidRPr="008B72A8">
        <w:rPr>
          <w:rFonts w:eastAsia="Times New Roman"/>
          <w:lang w:val="fr-FR" w:eastAsia="fr-FR"/>
        </w:rPr>
        <w:t>de</w:t>
      </w:r>
      <w:r w:rsidRPr="008B72A8">
        <w:rPr>
          <w:rFonts w:eastAsia="Times New Roman"/>
          <w:b/>
          <w:bCs/>
          <w:lang w:val="fr-FR" w:eastAsia="fr-FR"/>
        </w:rPr>
        <w:t>s</w:t>
      </w:r>
      <w:proofErr w:type="spellEnd"/>
      <w:r w:rsidRPr="008B72A8">
        <w:rPr>
          <w:rFonts w:eastAsia="Times New Roman"/>
          <w:lang w:val="fr-FR" w:eastAsia="fr-FR"/>
        </w:rPr>
        <w:t xml:space="preserve"> </w:t>
      </w:r>
      <w:r w:rsidRPr="008B72A8">
        <w:rPr>
          <w:rFonts w:eastAsia="Times New Roman"/>
          <w:strike/>
          <w:lang w:val="fr-FR" w:eastAsia="fr-FR"/>
        </w:rPr>
        <w:t xml:space="preserve">la </w:t>
      </w:r>
      <w:r w:rsidRPr="008B72A8">
        <w:rPr>
          <w:rFonts w:eastAsia="Times New Roman"/>
          <w:lang w:val="fr-FR" w:eastAsia="fr-FR"/>
        </w:rPr>
        <w:t>catégorie</w:t>
      </w:r>
      <w:r w:rsidRPr="008B72A8">
        <w:rPr>
          <w:rFonts w:eastAsia="Times New Roman"/>
          <w:b/>
          <w:bCs/>
          <w:lang w:val="fr-FR" w:eastAsia="fr-FR"/>
        </w:rPr>
        <w:t>s</w:t>
      </w:r>
      <w:r w:rsidRPr="008B72A8">
        <w:rPr>
          <w:rFonts w:eastAsia="Times New Roman"/>
          <w:lang w:val="fr-FR" w:eastAsia="fr-FR"/>
        </w:rPr>
        <w:t xml:space="preserve"> </w:t>
      </w:r>
      <w:r w:rsidRPr="008B72A8">
        <w:rPr>
          <w:rFonts w:eastAsia="Times New Roman"/>
          <w:b/>
          <w:bCs/>
          <w:lang w:val="fr-FR" w:eastAsia="fr-FR"/>
        </w:rPr>
        <w:t>N</w:t>
      </w:r>
      <w:r w:rsidRPr="008B72A8">
        <w:rPr>
          <w:rFonts w:eastAsia="Times New Roman"/>
          <w:b/>
          <w:bCs/>
          <w:vertAlign w:val="subscript"/>
          <w:lang w:val="fr-FR" w:eastAsia="fr-FR"/>
        </w:rPr>
        <w:t>2</w:t>
      </w:r>
      <w:r w:rsidRPr="008B72A8">
        <w:rPr>
          <w:rFonts w:eastAsia="Times New Roman"/>
          <w:b/>
          <w:bCs/>
          <w:lang w:val="fr-FR" w:eastAsia="fr-FR"/>
        </w:rPr>
        <w:t xml:space="preserve">G, </w:t>
      </w:r>
      <w:r w:rsidRPr="008B72A8">
        <w:rPr>
          <w:rFonts w:eastAsia="Times New Roman"/>
          <w:lang w:val="fr-FR" w:eastAsia="fr-FR"/>
        </w:rPr>
        <w:t>N</w:t>
      </w:r>
      <w:r w:rsidRPr="008B72A8">
        <w:rPr>
          <w:rFonts w:eastAsia="Times New Roman"/>
          <w:vertAlign w:val="subscript"/>
          <w:lang w:val="fr-FR" w:eastAsia="fr-FR"/>
        </w:rPr>
        <w:t>3</w:t>
      </w:r>
      <w:r w:rsidRPr="008B72A8">
        <w:rPr>
          <w:rFonts w:eastAsia="Times New Roman"/>
          <w:lang w:val="fr-FR" w:eastAsia="fr-FR"/>
        </w:rPr>
        <w:t>G</w:t>
      </w:r>
      <w:r w:rsidRPr="008B72A8">
        <w:rPr>
          <w:rFonts w:eastAsia="Times New Roman"/>
          <w:b/>
          <w:bCs/>
          <w:lang w:val="fr-FR" w:eastAsia="fr-FR"/>
        </w:rPr>
        <w:t>, M</w:t>
      </w:r>
      <w:r w:rsidRPr="008B72A8">
        <w:rPr>
          <w:rFonts w:eastAsia="Times New Roman"/>
          <w:b/>
          <w:bCs/>
          <w:vertAlign w:val="subscript"/>
          <w:lang w:val="fr-FR" w:eastAsia="fr-FR"/>
        </w:rPr>
        <w:t>2</w:t>
      </w:r>
      <w:r w:rsidRPr="008B72A8">
        <w:rPr>
          <w:rFonts w:eastAsia="Times New Roman"/>
          <w:b/>
          <w:bCs/>
          <w:lang w:val="fr-FR" w:eastAsia="fr-FR"/>
        </w:rPr>
        <w:t>G et M</w:t>
      </w:r>
      <w:r w:rsidRPr="008B72A8">
        <w:rPr>
          <w:rFonts w:eastAsia="Times New Roman"/>
          <w:b/>
          <w:bCs/>
          <w:vertAlign w:val="subscript"/>
          <w:lang w:val="fr-FR" w:eastAsia="fr-FR"/>
        </w:rPr>
        <w:t>3</w:t>
      </w:r>
      <w:r w:rsidRPr="008B72A8">
        <w:rPr>
          <w:rFonts w:eastAsia="Times New Roman"/>
          <w:b/>
          <w:bCs/>
          <w:lang w:val="fr-FR" w:eastAsia="fr-FR"/>
        </w:rPr>
        <w:t>G</w:t>
      </w:r>
      <w:r w:rsidRPr="008B72A8">
        <w:rPr>
          <w:rFonts w:eastAsia="Times New Roman"/>
          <w:lang w:val="fr-FR" w:eastAsia="fr-FR"/>
        </w:rPr>
        <w:t xml:space="preserve"> (véhicules tout-terrain)</w:t>
      </w:r>
      <w:r w:rsidRPr="008B72A8">
        <w:rPr>
          <w:rFonts w:eastAsia="Times New Roman"/>
          <w:b/>
          <w:bCs/>
          <w:lang w:val="fr-FR" w:eastAsia="fr-FR"/>
        </w:rPr>
        <w:t>,</w:t>
      </w:r>
      <w:r w:rsidRPr="008B72A8">
        <w:rPr>
          <w:rFonts w:eastAsia="Times New Roman"/>
          <w:lang w:val="fr-FR" w:eastAsia="fr-FR"/>
        </w:rPr>
        <w:t xml:space="preserve"> le maximum</w:t>
      </w:r>
      <w:r>
        <w:rPr>
          <w:rFonts w:eastAsia="Times New Roman"/>
          <w:lang w:val="fr-FR" w:eastAsia="fr-FR"/>
        </w:rPr>
        <w:t xml:space="preserve"> </w:t>
      </w:r>
      <w:r w:rsidRPr="008B72A8">
        <w:rPr>
          <w:rFonts w:eastAsia="Times New Roman"/>
          <w:lang w:val="fr-FR" w:eastAsia="fr-FR"/>
        </w:rPr>
        <w:t>en hauteur peut être porté à 1</w:t>
      </w:r>
      <w:r w:rsidR="000D5B07">
        <w:rPr>
          <w:rFonts w:eastAsia="Times New Roman"/>
          <w:lang w:val="fr-FR" w:eastAsia="fr-FR"/>
        </w:rPr>
        <w:t> </w:t>
      </w:r>
      <w:r w:rsidRPr="008B72A8">
        <w:rPr>
          <w:rFonts w:eastAsia="Times New Roman"/>
          <w:lang w:val="fr-FR" w:eastAsia="fr-FR"/>
        </w:rPr>
        <w:t>500</w:t>
      </w:r>
      <w:r w:rsidR="000D5B07">
        <w:rPr>
          <w:rFonts w:eastAsia="Times New Roman"/>
          <w:lang w:val="fr-FR" w:eastAsia="fr-FR"/>
        </w:rPr>
        <w:t xml:space="preserve"> </w:t>
      </w:r>
      <w:proofErr w:type="spellStart"/>
      <w:r w:rsidRPr="008B72A8">
        <w:rPr>
          <w:rFonts w:eastAsia="Times New Roman"/>
          <w:lang w:val="fr-FR" w:eastAsia="fr-FR"/>
        </w:rPr>
        <w:t>mm.</w:t>
      </w:r>
      <w:proofErr w:type="spellEnd"/>
      <w:r w:rsidRPr="008B72A8">
        <w:rPr>
          <w:rFonts w:eastAsia="Times New Roman"/>
          <w:lang w:val="fr-FR" w:eastAsia="fr-FR"/>
        </w:rPr>
        <w:t> ».</w:t>
      </w:r>
    </w:p>
    <w:p w:rsidR="00EF1ED9" w:rsidRPr="008F1828" w:rsidRDefault="00EF1ED9" w:rsidP="00EF1ED9">
      <w:pPr>
        <w:pStyle w:val="SingleTxtG"/>
        <w:rPr>
          <w:bCs/>
          <w:lang w:val="fr-FR" w:eastAsia="fr-FR"/>
        </w:rPr>
      </w:pPr>
      <w:r w:rsidRPr="00EF1ED9">
        <w:rPr>
          <w:i/>
          <w:iCs/>
          <w:lang w:val="fr-FR" w:eastAsia="fr-FR"/>
        </w:rPr>
        <w:t>Paragraphe 6.4.4.2</w:t>
      </w:r>
      <w:r w:rsidRPr="008B72A8">
        <w:rPr>
          <w:lang w:val="fr-FR" w:eastAsia="fr-FR"/>
        </w:rPr>
        <w:t>, lire</w:t>
      </w:r>
      <w:r w:rsidR="000D5B07">
        <w:rPr>
          <w:lang w:val="fr-FR" w:eastAsia="fr-FR"/>
        </w:rPr>
        <w:t> :</w:t>
      </w:r>
    </w:p>
    <w:p w:rsidR="00EF1ED9" w:rsidRPr="008F1828" w:rsidRDefault="00EF1ED9" w:rsidP="000D5B07">
      <w:pPr>
        <w:pStyle w:val="SingleTxtG"/>
        <w:ind w:left="2268" w:hanging="1134"/>
        <w:rPr>
          <w:rFonts w:eastAsia="Times New Roman"/>
          <w:bCs/>
          <w:iCs/>
          <w:lang w:val="fr-FR" w:eastAsia="fr-FR"/>
        </w:rPr>
      </w:pPr>
      <w:r w:rsidRPr="008B72A8">
        <w:rPr>
          <w:rFonts w:eastAsia="Times New Roman"/>
          <w:lang w:val="fr-FR" w:eastAsia="fr-FR"/>
        </w:rPr>
        <w:t>« 6.4.4.2</w:t>
      </w:r>
      <w:r w:rsidRPr="008B72A8">
        <w:rPr>
          <w:rFonts w:eastAsia="Times New Roman"/>
          <w:lang w:val="fr-FR" w:eastAsia="fr-FR"/>
        </w:rPr>
        <w:tab/>
        <w:t>En hauteur</w:t>
      </w:r>
      <w:r w:rsidR="000D5B07">
        <w:rPr>
          <w:rFonts w:eastAsia="Times New Roman"/>
          <w:lang w:val="fr-FR" w:eastAsia="fr-FR"/>
        </w:rPr>
        <w:t> :</w:t>
      </w:r>
      <w:r w:rsidRPr="008B72A8">
        <w:rPr>
          <w:rFonts w:eastAsia="Times New Roman"/>
          <w:lang w:val="fr-FR" w:eastAsia="fr-FR"/>
        </w:rPr>
        <w:t xml:space="preserve"> Au minimum 250</w:t>
      </w:r>
      <w:r w:rsidR="000D5B07">
        <w:rPr>
          <w:rFonts w:eastAsia="Times New Roman"/>
          <w:lang w:val="fr-FR" w:eastAsia="fr-FR"/>
        </w:rPr>
        <w:t> </w:t>
      </w:r>
      <w:r w:rsidRPr="008B72A8">
        <w:rPr>
          <w:rFonts w:eastAsia="Times New Roman"/>
          <w:lang w:val="fr-FR" w:eastAsia="fr-FR"/>
        </w:rPr>
        <w:t>mm, au maximum 1</w:t>
      </w:r>
      <w:r w:rsidR="000D5B07">
        <w:rPr>
          <w:rFonts w:eastAsia="Times New Roman"/>
          <w:lang w:val="fr-FR" w:eastAsia="fr-FR"/>
        </w:rPr>
        <w:t> </w:t>
      </w:r>
      <w:r w:rsidRPr="008B72A8">
        <w:rPr>
          <w:rFonts w:eastAsia="Times New Roman"/>
          <w:lang w:val="fr-FR" w:eastAsia="fr-FR"/>
        </w:rPr>
        <w:t xml:space="preserve">200 mm au-dessus du sol. </w:t>
      </w:r>
      <w:r w:rsidRPr="008B72A8">
        <w:rPr>
          <w:rFonts w:eastAsia="Times New Roman"/>
          <w:b/>
          <w:bCs/>
          <w:lang w:val="fr-FR" w:eastAsia="fr-FR"/>
        </w:rPr>
        <w:t>Pour les véhicules des catégories N</w:t>
      </w:r>
      <w:r w:rsidRPr="008B72A8">
        <w:rPr>
          <w:rFonts w:eastAsia="Times New Roman"/>
          <w:b/>
          <w:bCs/>
          <w:vertAlign w:val="subscript"/>
          <w:lang w:val="fr-FR" w:eastAsia="fr-FR"/>
        </w:rPr>
        <w:t>2</w:t>
      </w:r>
      <w:r w:rsidRPr="008B72A8">
        <w:rPr>
          <w:rFonts w:eastAsia="Times New Roman"/>
          <w:b/>
          <w:bCs/>
          <w:lang w:val="fr-FR" w:eastAsia="fr-FR"/>
        </w:rPr>
        <w:t>G, N</w:t>
      </w:r>
      <w:r w:rsidRPr="008B72A8">
        <w:rPr>
          <w:rFonts w:eastAsia="Times New Roman"/>
          <w:b/>
          <w:bCs/>
          <w:vertAlign w:val="subscript"/>
          <w:lang w:val="fr-FR" w:eastAsia="fr-FR"/>
        </w:rPr>
        <w:t>3</w:t>
      </w:r>
      <w:r w:rsidRPr="008B72A8">
        <w:rPr>
          <w:rFonts w:eastAsia="Times New Roman"/>
          <w:b/>
          <w:bCs/>
          <w:lang w:val="fr-FR" w:eastAsia="fr-FR"/>
        </w:rPr>
        <w:t>G, M</w:t>
      </w:r>
      <w:r w:rsidRPr="008B72A8">
        <w:rPr>
          <w:rFonts w:eastAsia="Times New Roman"/>
          <w:b/>
          <w:bCs/>
          <w:vertAlign w:val="subscript"/>
          <w:lang w:val="fr-FR" w:eastAsia="fr-FR"/>
        </w:rPr>
        <w:t>2</w:t>
      </w:r>
      <w:r w:rsidRPr="008B72A8">
        <w:rPr>
          <w:rFonts w:eastAsia="Times New Roman"/>
          <w:b/>
          <w:bCs/>
          <w:lang w:val="fr-FR" w:eastAsia="fr-FR"/>
        </w:rPr>
        <w:t>G et M</w:t>
      </w:r>
      <w:r w:rsidRPr="008B72A8">
        <w:rPr>
          <w:rFonts w:eastAsia="Times New Roman"/>
          <w:b/>
          <w:bCs/>
          <w:vertAlign w:val="subscript"/>
          <w:lang w:val="fr-FR" w:eastAsia="fr-FR"/>
        </w:rPr>
        <w:t>3</w:t>
      </w:r>
      <w:r w:rsidRPr="008B72A8">
        <w:rPr>
          <w:rFonts w:eastAsia="Times New Roman"/>
          <w:b/>
          <w:bCs/>
          <w:lang w:val="fr-FR" w:eastAsia="fr-FR"/>
        </w:rPr>
        <w:t>G (véhicules tout-terrain), le maximum en hauteur peut être porté à 1</w:t>
      </w:r>
      <w:r w:rsidR="000D5B07">
        <w:rPr>
          <w:rFonts w:eastAsia="Times New Roman"/>
          <w:b/>
          <w:bCs/>
          <w:lang w:val="fr-FR" w:eastAsia="fr-FR"/>
        </w:rPr>
        <w:t> </w:t>
      </w:r>
      <w:r w:rsidRPr="008B72A8">
        <w:rPr>
          <w:rFonts w:eastAsia="Times New Roman"/>
          <w:b/>
          <w:bCs/>
          <w:lang w:val="fr-FR" w:eastAsia="fr-FR"/>
        </w:rPr>
        <w:t>400</w:t>
      </w:r>
      <w:r w:rsidR="000D5B07">
        <w:rPr>
          <w:rFonts w:eastAsia="Times New Roman"/>
          <w:b/>
          <w:bCs/>
          <w:lang w:val="fr-FR" w:eastAsia="fr-FR"/>
        </w:rPr>
        <w:t xml:space="preserve"> </w:t>
      </w:r>
      <w:proofErr w:type="spellStart"/>
      <w:r w:rsidRPr="008B72A8">
        <w:rPr>
          <w:rFonts w:eastAsia="Times New Roman"/>
          <w:b/>
          <w:bCs/>
          <w:lang w:val="fr-FR" w:eastAsia="fr-FR"/>
        </w:rPr>
        <w:t>mm.</w:t>
      </w:r>
      <w:proofErr w:type="spellEnd"/>
      <w:r w:rsidRPr="008B72A8">
        <w:rPr>
          <w:rFonts w:eastAsia="Times New Roman"/>
          <w:lang w:val="fr-FR" w:eastAsia="fr-FR"/>
        </w:rPr>
        <w:t> ».</w:t>
      </w:r>
    </w:p>
    <w:p w:rsidR="00EF1ED9" w:rsidRPr="008F1828" w:rsidRDefault="00EF1ED9" w:rsidP="00EF1ED9">
      <w:pPr>
        <w:pStyle w:val="SingleTxtG"/>
        <w:rPr>
          <w:bCs/>
          <w:lang w:val="fr-FR" w:eastAsia="fr-FR"/>
        </w:rPr>
      </w:pPr>
      <w:r w:rsidRPr="00EF1ED9">
        <w:rPr>
          <w:i/>
          <w:iCs/>
          <w:lang w:val="fr-FR" w:eastAsia="fr-FR"/>
        </w:rPr>
        <w:t>Paragraphe 6.11.4.2</w:t>
      </w:r>
      <w:r w:rsidRPr="008B72A8">
        <w:rPr>
          <w:lang w:val="fr-FR" w:eastAsia="fr-FR"/>
        </w:rPr>
        <w:t>, lire</w:t>
      </w:r>
      <w:r w:rsidR="000D5B07">
        <w:rPr>
          <w:lang w:val="fr-FR" w:eastAsia="fr-FR"/>
        </w:rPr>
        <w:t> :</w:t>
      </w:r>
    </w:p>
    <w:p w:rsidR="00EF1ED9" w:rsidRPr="008F1828" w:rsidRDefault="00EF1ED9" w:rsidP="000D5B07">
      <w:pPr>
        <w:pStyle w:val="SingleTxtG"/>
        <w:ind w:left="2268" w:hanging="1134"/>
        <w:rPr>
          <w:rFonts w:eastAsia="Times New Roman"/>
          <w:u w:val="single"/>
          <w:lang w:val="fr-FR" w:eastAsia="fr-FR"/>
        </w:rPr>
      </w:pPr>
      <w:r w:rsidRPr="008B72A8">
        <w:rPr>
          <w:rFonts w:eastAsia="Times New Roman"/>
          <w:lang w:val="fr-FR" w:eastAsia="fr-FR"/>
        </w:rPr>
        <w:t>« 6.11.4.2</w:t>
      </w:r>
      <w:r w:rsidRPr="008B72A8">
        <w:rPr>
          <w:rFonts w:eastAsia="Times New Roman"/>
          <w:lang w:val="fr-FR" w:eastAsia="fr-FR"/>
        </w:rPr>
        <w:tab/>
        <w:t>En hauteur</w:t>
      </w:r>
      <w:r w:rsidR="000D5B07">
        <w:rPr>
          <w:rFonts w:eastAsia="Times New Roman"/>
          <w:lang w:val="fr-FR" w:eastAsia="fr-FR"/>
        </w:rPr>
        <w:t> :</w:t>
      </w:r>
      <w:r w:rsidRPr="008B72A8">
        <w:rPr>
          <w:rFonts w:eastAsia="Times New Roman"/>
          <w:lang w:val="fr-FR" w:eastAsia="fr-FR"/>
        </w:rPr>
        <w:t xml:space="preserve"> minimum 250</w:t>
      </w:r>
      <w:r w:rsidR="000D5B07">
        <w:rPr>
          <w:rFonts w:eastAsia="Times New Roman"/>
          <w:lang w:val="fr-FR" w:eastAsia="fr-FR"/>
        </w:rPr>
        <w:t> </w:t>
      </w:r>
      <w:r w:rsidRPr="008B72A8">
        <w:rPr>
          <w:rFonts w:eastAsia="Times New Roman"/>
          <w:lang w:val="fr-FR" w:eastAsia="fr-FR"/>
        </w:rPr>
        <w:t>mm, maximum 1</w:t>
      </w:r>
      <w:r w:rsidR="000D5B07">
        <w:rPr>
          <w:rFonts w:eastAsia="Times New Roman"/>
          <w:lang w:val="fr-FR" w:eastAsia="fr-FR"/>
        </w:rPr>
        <w:t> </w:t>
      </w:r>
      <w:r w:rsidRPr="008B72A8">
        <w:rPr>
          <w:rFonts w:eastAsia="Times New Roman"/>
          <w:lang w:val="fr-FR" w:eastAsia="fr-FR"/>
        </w:rPr>
        <w:t>000</w:t>
      </w:r>
      <w:r w:rsidR="000D5B07">
        <w:rPr>
          <w:rFonts w:eastAsia="Times New Roman"/>
          <w:lang w:val="fr-FR" w:eastAsia="fr-FR"/>
        </w:rPr>
        <w:t xml:space="preserve"> </w:t>
      </w:r>
      <w:r w:rsidRPr="008B72A8">
        <w:rPr>
          <w:rFonts w:eastAsia="Times New Roman"/>
          <w:lang w:val="fr-FR" w:eastAsia="fr-FR"/>
        </w:rPr>
        <w:t xml:space="preserve">mm au-dessus du sol. Pour les feux de brouillard arrière groupés avec tout feu arrière ou pour les véhicules </w:t>
      </w:r>
      <w:proofErr w:type="spellStart"/>
      <w:r w:rsidRPr="008B72A8">
        <w:rPr>
          <w:rFonts w:eastAsia="Times New Roman"/>
          <w:lang w:val="fr-FR" w:eastAsia="fr-FR"/>
        </w:rPr>
        <w:t>de</w:t>
      </w:r>
      <w:r w:rsidRPr="008B72A8">
        <w:rPr>
          <w:rFonts w:eastAsia="Times New Roman"/>
          <w:b/>
          <w:bCs/>
          <w:lang w:val="fr-FR" w:eastAsia="fr-FR"/>
        </w:rPr>
        <w:t>s</w:t>
      </w:r>
      <w:proofErr w:type="spellEnd"/>
      <w:r w:rsidRPr="008B72A8">
        <w:rPr>
          <w:rFonts w:eastAsia="Times New Roman"/>
          <w:lang w:val="fr-FR" w:eastAsia="fr-FR"/>
        </w:rPr>
        <w:t xml:space="preserve"> </w:t>
      </w:r>
      <w:r w:rsidRPr="008B72A8">
        <w:rPr>
          <w:rFonts w:eastAsia="Times New Roman"/>
          <w:strike/>
          <w:lang w:val="fr-FR" w:eastAsia="fr-FR"/>
        </w:rPr>
        <w:t xml:space="preserve">la </w:t>
      </w:r>
      <w:r w:rsidRPr="008B72A8">
        <w:rPr>
          <w:rFonts w:eastAsia="Times New Roman"/>
          <w:lang w:val="fr-FR" w:eastAsia="fr-FR"/>
        </w:rPr>
        <w:t>catégorie</w:t>
      </w:r>
      <w:r w:rsidRPr="008B72A8">
        <w:rPr>
          <w:rFonts w:eastAsia="Times New Roman"/>
          <w:b/>
          <w:bCs/>
          <w:lang w:val="fr-FR" w:eastAsia="fr-FR"/>
        </w:rPr>
        <w:t>s</w:t>
      </w:r>
      <w:r w:rsidRPr="008B72A8">
        <w:rPr>
          <w:rFonts w:eastAsia="Times New Roman"/>
          <w:lang w:val="fr-FR" w:eastAsia="fr-FR"/>
        </w:rPr>
        <w:t xml:space="preserve"> </w:t>
      </w:r>
      <w:r w:rsidRPr="008B72A8">
        <w:rPr>
          <w:rFonts w:eastAsia="Times New Roman"/>
          <w:b/>
          <w:bCs/>
          <w:lang w:val="fr-FR" w:eastAsia="fr-FR"/>
        </w:rPr>
        <w:t>N</w:t>
      </w:r>
      <w:r w:rsidRPr="008B72A8">
        <w:rPr>
          <w:rFonts w:eastAsia="Times New Roman"/>
          <w:b/>
          <w:bCs/>
          <w:vertAlign w:val="subscript"/>
          <w:lang w:val="fr-FR" w:eastAsia="fr-FR"/>
        </w:rPr>
        <w:t>2</w:t>
      </w:r>
      <w:r w:rsidRPr="008B72A8">
        <w:rPr>
          <w:rFonts w:eastAsia="Times New Roman"/>
          <w:b/>
          <w:bCs/>
          <w:lang w:val="fr-FR" w:eastAsia="fr-FR"/>
        </w:rPr>
        <w:t>G,</w:t>
      </w:r>
      <w:r w:rsidRPr="008B72A8">
        <w:rPr>
          <w:rFonts w:eastAsia="Times New Roman"/>
          <w:lang w:val="fr-FR" w:eastAsia="fr-FR"/>
        </w:rPr>
        <w:t xml:space="preserve"> N</w:t>
      </w:r>
      <w:r w:rsidRPr="008B72A8">
        <w:rPr>
          <w:rFonts w:eastAsia="Times New Roman"/>
          <w:vertAlign w:val="subscript"/>
          <w:lang w:val="fr-FR" w:eastAsia="fr-FR"/>
        </w:rPr>
        <w:t>3</w:t>
      </w:r>
      <w:r w:rsidRPr="008B72A8">
        <w:rPr>
          <w:rFonts w:eastAsia="Times New Roman"/>
          <w:lang w:val="fr-FR" w:eastAsia="fr-FR"/>
        </w:rPr>
        <w:t>G</w:t>
      </w:r>
      <w:r w:rsidRPr="008B72A8">
        <w:rPr>
          <w:rFonts w:eastAsia="Times New Roman"/>
          <w:b/>
          <w:bCs/>
          <w:lang w:val="fr-FR" w:eastAsia="fr-FR"/>
        </w:rPr>
        <w:t>, M</w:t>
      </w:r>
      <w:r w:rsidRPr="008B72A8">
        <w:rPr>
          <w:rFonts w:eastAsia="Times New Roman"/>
          <w:b/>
          <w:bCs/>
          <w:vertAlign w:val="subscript"/>
          <w:lang w:val="fr-FR" w:eastAsia="fr-FR"/>
        </w:rPr>
        <w:t>2</w:t>
      </w:r>
      <w:r w:rsidRPr="008B72A8">
        <w:rPr>
          <w:rFonts w:eastAsia="Times New Roman"/>
          <w:b/>
          <w:bCs/>
          <w:lang w:val="fr-FR" w:eastAsia="fr-FR"/>
        </w:rPr>
        <w:t>G et M</w:t>
      </w:r>
      <w:r w:rsidRPr="008B72A8">
        <w:rPr>
          <w:rFonts w:eastAsia="Times New Roman"/>
          <w:b/>
          <w:bCs/>
          <w:vertAlign w:val="subscript"/>
          <w:lang w:val="fr-FR" w:eastAsia="fr-FR"/>
        </w:rPr>
        <w:t>3</w:t>
      </w:r>
      <w:r w:rsidRPr="008B72A8">
        <w:rPr>
          <w:rFonts w:eastAsia="Times New Roman"/>
          <w:b/>
          <w:bCs/>
          <w:lang w:val="fr-FR" w:eastAsia="fr-FR"/>
        </w:rPr>
        <w:t>G</w:t>
      </w:r>
      <w:r w:rsidRPr="008B72A8">
        <w:rPr>
          <w:rFonts w:eastAsia="Times New Roman"/>
          <w:lang w:val="fr-FR" w:eastAsia="fr-FR"/>
        </w:rPr>
        <w:t xml:space="preserve"> (véhicules tout-terrain)</w:t>
      </w:r>
      <w:r w:rsidRPr="008B72A8">
        <w:rPr>
          <w:rFonts w:eastAsia="Times New Roman"/>
          <w:b/>
          <w:bCs/>
          <w:lang w:val="fr-FR" w:eastAsia="fr-FR"/>
        </w:rPr>
        <w:t>,</w:t>
      </w:r>
      <w:r w:rsidRPr="008B72A8">
        <w:rPr>
          <w:rFonts w:eastAsia="Times New Roman"/>
          <w:lang w:val="fr-FR" w:eastAsia="fr-FR"/>
        </w:rPr>
        <w:t xml:space="preserve"> la hauteur maximale peut être portée à </w:t>
      </w:r>
      <w:r w:rsidRPr="008B72A8">
        <w:rPr>
          <w:rFonts w:eastAsia="Times New Roman"/>
          <w:strike/>
          <w:lang w:val="fr-FR" w:eastAsia="fr-FR"/>
        </w:rPr>
        <w:t>1</w:t>
      </w:r>
      <w:r w:rsidR="000D5B07">
        <w:rPr>
          <w:rFonts w:eastAsia="Times New Roman"/>
          <w:strike/>
          <w:lang w:val="fr-FR" w:eastAsia="fr-FR"/>
        </w:rPr>
        <w:t> </w:t>
      </w:r>
      <w:r w:rsidRPr="008B72A8">
        <w:rPr>
          <w:rFonts w:eastAsia="Times New Roman"/>
          <w:strike/>
          <w:lang w:val="fr-FR" w:eastAsia="fr-FR"/>
        </w:rPr>
        <w:t xml:space="preserve">200 </w:t>
      </w:r>
      <w:r w:rsidRPr="008B72A8">
        <w:rPr>
          <w:rFonts w:eastAsia="Times New Roman"/>
          <w:b/>
          <w:bCs/>
          <w:lang w:val="fr-FR" w:eastAsia="fr-FR"/>
        </w:rPr>
        <w:t>1 400 </w:t>
      </w:r>
      <w:proofErr w:type="spellStart"/>
      <w:r w:rsidRPr="008B72A8">
        <w:rPr>
          <w:rFonts w:eastAsia="Times New Roman"/>
          <w:lang w:val="fr-FR" w:eastAsia="fr-FR"/>
        </w:rPr>
        <w:t>mm.</w:t>
      </w:r>
      <w:proofErr w:type="spellEnd"/>
      <w:r w:rsidRPr="008B72A8">
        <w:rPr>
          <w:rFonts w:eastAsia="Times New Roman"/>
          <w:lang w:val="fr-FR" w:eastAsia="fr-FR"/>
        </w:rPr>
        <w:t> ».</w:t>
      </w:r>
    </w:p>
    <w:p w:rsidR="00EF1ED9" w:rsidRPr="008F1828" w:rsidRDefault="00EF1ED9" w:rsidP="00EF1ED9">
      <w:pPr>
        <w:pStyle w:val="HChG"/>
        <w:rPr>
          <w:lang w:val="fr-FR" w:eastAsia="fr-FR"/>
        </w:rPr>
      </w:pPr>
      <w:r>
        <w:rPr>
          <w:lang w:val="fr-FR" w:eastAsia="fr-FR"/>
        </w:rPr>
        <w:tab/>
      </w:r>
      <w:r w:rsidRPr="008B72A8">
        <w:rPr>
          <w:lang w:val="fr-FR" w:eastAsia="fr-FR"/>
        </w:rPr>
        <w:t>II.</w:t>
      </w:r>
      <w:r w:rsidRPr="008B72A8">
        <w:rPr>
          <w:lang w:val="fr-FR" w:eastAsia="fr-FR"/>
        </w:rPr>
        <w:tab/>
        <w:t>Justification</w:t>
      </w:r>
    </w:p>
    <w:p w:rsidR="00EF1ED9" w:rsidRPr="008F1828" w:rsidRDefault="00EF1ED9" w:rsidP="00EF1ED9">
      <w:pPr>
        <w:pStyle w:val="SingleTxtG"/>
        <w:rPr>
          <w:lang w:val="fr-FR" w:eastAsia="fr-FR"/>
        </w:rPr>
      </w:pPr>
      <w:r w:rsidRPr="008B72A8">
        <w:rPr>
          <w:lang w:val="fr-FR" w:eastAsia="fr-FR"/>
        </w:rPr>
        <w:t>1.</w:t>
      </w:r>
      <w:r w:rsidRPr="008B72A8">
        <w:rPr>
          <w:lang w:val="fr-FR" w:eastAsia="fr-FR"/>
        </w:rPr>
        <w:tab/>
        <w:t>La présente proposition vise à garantir le fonctionnement fiable et sûr des véhicules de la catégorie G (tout-terrain) sur des trajets qui comprennent, par exemple, des zones accidentées. Les valeurs des angles longitudinaux en tout-terrain, de la garde au sol au</w:t>
      </w:r>
      <w:r w:rsidR="00E14E41">
        <w:rPr>
          <w:lang w:val="fr-FR" w:eastAsia="fr-FR"/>
        </w:rPr>
        <w:noBreakHyphen/>
      </w:r>
      <w:r w:rsidRPr="008B72A8">
        <w:rPr>
          <w:lang w:val="fr-FR" w:eastAsia="fr-FR"/>
        </w:rPr>
        <w:t>dessus de</w:t>
      </w:r>
      <w:r>
        <w:rPr>
          <w:lang w:val="fr-FR" w:eastAsia="fr-FR"/>
        </w:rPr>
        <w:t>s</w:t>
      </w:r>
      <w:r w:rsidRPr="008B72A8">
        <w:rPr>
          <w:lang w:val="fr-FR" w:eastAsia="fr-FR"/>
        </w:rPr>
        <w:t xml:space="preserve"> essieu</w:t>
      </w:r>
      <w:r>
        <w:rPr>
          <w:lang w:val="fr-FR" w:eastAsia="fr-FR"/>
        </w:rPr>
        <w:t>x</w:t>
      </w:r>
      <w:r w:rsidRPr="008B72A8">
        <w:rPr>
          <w:lang w:val="fr-FR" w:eastAsia="fr-FR"/>
        </w:rPr>
        <w:t xml:space="preserve"> avant et arrière, de l</w:t>
      </w:r>
      <w:r>
        <w:rPr>
          <w:lang w:val="fr-FR" w:eastAsia="fr-FR"/>
        </w:rPr>
        <w:t>’</w:t>
      </w:r>
      <w:r w:rsidRPr="008B72A8">
        <w:rPr>
          <w:lang w:val="fr-FR" w:eastAsia="fr-FR"/>
        </w:rPr>
        <w:t>angle de fuite et de l</w:t>
      </w:r>
      <w:r>
        <w:rPr>
          <w:lang w:val="fr-FR" w:eastAsia="fr-FR"/>
        </w:rPr>
        <w:t>’</w:t>
      </w:r>
      <w:r w:rsidRPr="008B72A8">
        <w:rPr>
          <w:lang w:val="fr-FR" w:eastAsia="fr-FR"/>
        </w:rPr>
        <w:t>angle d</w:t>
      </w:r>
      <w:r>
        <w:rPr>
          <w:lang w:val="fr-FR" w:eastAsia="fr-FR"/>
        </w:rPr>
        <w:t>’</w:t>
      </w:r>
      <w:r w:rsidRPr="008B72A8">
        <w:rPr>
          <w:lang w:val="fr-FR" w:eastAsia="fr-FR"/>
        </w:rPr>
        <w:t>attaque et de la garde au sol entre les essieux sont plus élevées sur les véhicules destinés notamment à être utilisés hors route.</w:t>
      </w:r>
    </w:p>
    <w:p w:rsidR="00EF1ED9" w:rsidRPr="008F1828" w:rsidRDefault="00EF1ED9" w:rsidP="00EF1ED9">
      <w:pPr>
        <w:pStyle w:val="SingleTxtG"/>
        <w:rPr>
          <w:lang w:val="fr-FR" w:eastAsia="fr-FR"/>
        </w:rPr>
      </w:pPr>
      <w:r w:rsidRPr="008B72A8">
        <w:rPr>
          <w:lang w:val="fr-FR" w:eastAsia="fr-FR"/>
        </w:rPr>
        <w:t>2.</w:t>
      </w:r>
      <w:bookmarkStart w:id="0" w:name="_GoBack"/>
      <w:bookmarkEnd w:id="0"/>
      <w:r w:rsidRPr="008B72A8">
        <w:rPr>
          <w:lang w:val="fr-FR" w:eastAsia="fr-FR"/>
        </w:rPr>
        <w:tab/>
        <w:t>Des tolérances permettant de tenir compte de ces caractéristiques de conception particulières n</w:t>
      </w:r>
      <w:r>
        <w:rPr>
          <w:lang w:val="fr-FR" w:eastAsia="fr-FR"/>
        </w:rPr>
        <w:t>’</w:t>
      </w:r>
      <w:r w:rsidRPr="008B72A8">
        <w:rPr>
          <w:lang w:val="fr-FR" w:eastAsia="fr-FR"/>
        </w:rPr>
        <w:t>ont été prévues dans la version actuelle du Règlement ONU que pour les véhicules de la catégorie N</w:t>
      </w:r>
      <w:r w:rsidRPr="008B72A8">
        <w:rPr>
          <w:vertAlign w:val="subscript"/>
          <w:lang w:val="fr-FR" w:eastAsia="fr-FR"/>
        </w:rPr>
        <w:t>3</w:t>
      </w:r>
      <w:r w:rsidRPr="008B72A8">
        <w:rPr>
          <w:lang w:val="fr-FR" w:eastAsia="fr-FR"/>
        </w:rPr>
        <w:t>G. Il est proposé de rendre ces tolérances applicables également aux véhicules des catégories N</w:t>
      </w:r>
      <w:r w:rsidRPr="008B72A8">
        <w:rPr>
          <w:vertAlign w:val="subscript"/>
          <w:lang w:val="fr-FR" w:eastAsia="fr-FR"/>
        </w:rPr>
        <w:t>2</w:t>
      </w:r>
      <w:r w:rsidRPr="008B72A8">
        <w:rPr>
          <w:lang w:val="fr-FR" w:eastAsia="fr-FR"/>
        </w:rPr>
        <w:t>G, M</w:t>
      </w:r>
      <w:r w:rsidRPr="008B72A8">
        <w:rPr>
          <w:vertAlign w:val="subscript"/>
          <w:lang w:val="fr-FR" w:eastAsia="fr-FR"/>
        </w:rPr>
        <w:t>2</w:t>
      </w:r>
      <w:r w:rsidRPr="008B72A8">
        <w:rPr>
          <w:lang w:val="fr-FR" w:eastAsia="fr-FR"/>
        </w:rPr>
        <w:t>G et M</w:t>
      </w:r>
      <w:r w:rsidRPr="008B72A8">
        <w:rPr>
          <w:vertAlign w:val="subscript"/>
          <w:lang w:val="fr-FR" w:eastAsia="fr-FR"/>
        </w:rPr>
        <w:t>3</w:t>
      </w:r>
      <w:r w:rsidRPr="008B72A8">
        <w:rPr>
          <w:lang w:val="fr-FR" w:eastAsia="fr-FR"/>
        </w:rPr>
        <w:t>G.</w:t>
      </w:r>
    </w:p>
    <w:p w:rsidR="00F9573C" w:rsidRPr="00EF1ED9" w:rsidRDefault="00EF1ED9" w:rsidP="00EF1ED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EF1ED9" w:rsidSect="00065B4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53D" w:rsidRDefault="00F3653D" w:rsidP="00F95C08">
      <w:pPr>
        <w:spacing w:line="240" w:lineRule="auto"/>
      </w:pPr>
    </w:p>
  </w:endnote>
  <w:endnote w:type="continuationSeparator" w:id="0">
    <w:p w:rsidR="00F3653D" w:rsidRPr="00AC3823" w:rsidRDefault="00F3653D" w:rsidP="00AC3823">
      <w:pPr>
        <w:pStyle w:val="Pieddepage"/>
      </w:pPr>
    </w:p>
  </w:endnote>
  <w:endnote w:type="continuationNotice" w:id="1">
    <w:p w:rsidR="00F3653D" w:rsidRDefault="00F3653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B4F" w:rsidRPr="00065B4F" w:rsidRDefault="00065B4F" w:rsidP="00065B4F">
    <w:pPr>
      <w:pStyle w:val="Pieddepage"/>
      <w:tabs>
        <w:tab w:val="right" w:pos="9638"/>
      </w:tabs>
    </w:pPr>
    <w:r w:rsidRPr="00065B4F">
      <w:rPr>
        <w:b/>
        <w:sz w:val="18"/>
      </w:rPr>
      <w:fldChar w:fldCharType="begin"/>
    </w:r>
    <w:r w:rsidRPr="00065B4F">
      <w:rPr>
        <w:b/>
        <w:sz w:val="18"/>
      </w:rPr>
      <w:instrText xml:space="preserve"> PAGE  \* MERGEFORMAT </w:instrText>
    </w:r>
    <w:r w:rsidRPr="00065B4F">
      <w:rPr>
        <w:b/>
        <w:sz w:val="18"/>
      </w:rPr>
      <w:fldChar w:fldCharType="separate"/>
    </w:r>
    <w:r w:rsidRPr="00065B4F">
      <w:rPr>
        <w:b/>
        <w:noProof/>
        <w:sz w:val="18"/>
      </w:rPr>
      <w:t>2</w:t>
    </w:r>
    <w:r w:rsidRPr="00065B4F">
      <w:rPr>
        <w:b/>
        <w:sz w:val="18"/>
      </w:rPr>
      <w:fldChar w:fldCharType="end"/>
    </w:r>
    <w:r>
      <w:rPr>
        <w:b/>
        <w:sz w:val="18"/>
      </w:rPr>
      <w:tab/>
    </w:r>
    <w:r>
      <w:t>GE.20-01629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B4F" w:rsidRPr="00065B4F" w:rsidRDefault="00065B4F" w:rsidP="00065B4F">
    <w:pPr>
      <w:pStyle w:val="Pieddepage"/>
      <w:tabs>
        <w:tab w:val="right" w:pos="9638"/>
      </w:tabs>
      <w:rPr>
        <w:b/>
        <w:sz w:val="18"/>
      </w:rPr>
    </w:pPr>
    <w:r>
      <w:t>GE.20-01629</w:t>
    </w:r>
    <w:r>
      <w:tab/>
    </w:r>
    <w:r w:rsidRPr="00065B4F">
      <w:rPr>
        <w:b/>
        <w:sz w:val="18"/>
      </w:rPr>
      <w:fldChar w:fldCharType="begin"/>
    </w:r>
    <w:r w:rsidRPr="00065B4F">
      <w:rPr>
        <w:b/>
        <w:sz w:val="18"/>
      </w:rPr>
      <w:instrText xml:space="preserve"> PAGE  \* MERGEFORMAT </w:instrText>
    </w:r>
    <w:r w:rsidRPr="00065B4F">
      <w:rPr>
        <w:b/>
        <w:sz w:val="18"/>
      </w:rPr>
      <w:fldChar w:fldCharType="separate"/>
    </w:r>
    <w:r w:rsidRPr="00065B4F">
      <w:rPr>
        <w:b/>
        <w:noProof/>
        <w:sz w:val="18"/>
      </w:rPr>
      <w:t>3</w:t>
    </w:r>
    <w:r w:rsidRPr="00065B4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065B4F" w:rsidRDefault="00065B4F" w:rsidP="00065B4F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20-01629  (F)    030320    030320</w:t>
    </w:r>
    <w:r>
      <w:rPr>
        <w:sz w:val="20"/>
      </w:rPr>
      <w:br/>
    </w:r>
    <w:r w:rsidRPr="00065B4F">
      <w:rPr>
        <w:rFonts w:ascii="C39T30Lfz" w:hAnsi="C39T30Lfz"/>
        <w:sz w:val="56"/>
      </w:rPr>
      <w:t></w:t>
    </w:r>
    <w:r w:rsidRPr="00065B4F">
      <w:rPr>
        <w:rFonts w:ascii="C39T30Lfz" w:hAnsi="C39T30Lfz"/>
        <w:sz w:val="56"/>
      </w:rPr>
      <w:t></w:t>
    </w:r>
    <w:r w:rsidRPr="00065B4F">
      <w:rPr>
        <w:rFonts w:ascii="C39T30Lfz" w:hAnsi="C39T30Lfz"/>
        <w:sz w:val="56"/>
      </w:rPr>
      <w:t></w:t>
    </w:r>
    <w:r w:rsidRPr="00065B4F">
      <w:rPr>
        <w:rFonts w:ascii="C39T30Lfz" w:hAnsi="C39T30Lfz"/>
        <w:sz w:val="56"/>
      </w:rPr>
      <w:t></w:t>
    </w:r>
    <w:r w:rsidRPr="00065B4F">
      <w:rPr>
        <w:rFonts w:ascii="C39T30Lfz" w:hAnsi="C39T30Lfz"/>
        <w:sz w:val="56"/>
      </w:rPr>
      <w:t></w:t>
    </w:r>
    <w:r w:rsidRPr="00065B4F">
      <w:rPr>
        <w:rFonts w:ascii="C39T30Lfz" w:hAnsi="C39T30Lfz"/>
        <w:sz w:val="56"/>
      </w:rPr>
      <w:t></w:t>
    </w:r>
    <w:r w:rsidRPr="00065B4F">
      <w:rPr>
        <w:rFonts w:ascii="C39T30Lfz" w:hAnsi="C39T30Lfz"/>
        <w:sz w:val="56"/>
      </w:rPr>
      <w:t></w:t>
    </w:r>
    <w:r w:rsidRPr="00065B4F">
      <w:rPr>
        <w:rFonts w:ascii="C39T30Lfz" w:hAnsi="C39T30Lfz"/>
        <w:sz w:val="56"/>
      </w:rPr>
      <w:t></w:t>
    </w:r>
    <w:r w:rsidRPr="00065B4F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E/2020/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20/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53D" w:rsidRPr="00AC3823" w:rsidRDefault="00F3653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3653D" w:rsidRPr="00AC3823" w:rsidRDefault="00F3653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3653D" w:rsidRPr="00AC3823" w:rsidRDefault="00F3653D">
      <w:pPr>
        <w:spacing w:line="240" w:lineRule="auto"/>
        <w:rPr>
          <w:sz w:val="2"/>
          <w:szCs w:val="2"/>
        </w:rPr>
      </w:pPr>
    </w:p>
  </w:footnote>
  <w:footnote w:id="2">
    <w:p w:rsidR="00EF1ED9" w:rsidRPr="00706101" w:rsidRDefault="00EF1ED9" w:rsidP="00EF1ED9">
      <w:pPr>
        <w:pStyle w:val="Notedebasdepage"/>
      </w:pPr>
      <w:r w:rsidRPr="007461C8">
        <w:rPr>
          <w:sz w:val="20"/>
          <w:lang w:val="fr-FR"/>
        </w:rPr>
        <w:tab/>
        <w:t>*</w:t>
      </w:r>
      <w:r w:rsidRPr="007461C8">
        <w:rPr>
          <w:sz w:val="20"/>
          <w:lang w:val="fr-FR"/>
        </w:rPr>
        <w:tab/>
      </w:r>
      <w:r>
        <w:rPr>
          <w:lang w:val="fr-FR"/>
        </w:rPr>
        <w:t>Conformément au programme de travail du Comité des transports intérieurs pour 2020 tel qu’il figure dans le projet de budget-programme pour 2020 (A/74/6 (titre V, chap.</w:t>
      </w:r>
      <w:r w:rsidR="007461C8">
        <w:rPr>
          <w:lang w:val="fr-FR"/>
        </w:rPr>
        <w:t> </w:t>
      </w:r>
      <w:r>
        <w:rPr>
          <w:lang w:val="fr-FR"/>
        </w:rPr>
        <w:t>20), par.</w:t>
      </w:r>
      <w:r w:rsidR="007461C8">
        <w:rPr>
          <w:lang w:val="fr-FR"/>
        </w:rPr>
        <w:t> </w:t>
      </w:r>
      <w:r>
        <w:rPr>
          <w:lang w:val="fr-FR"/>
        </w:rPr>
        <w:t>20.37),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B4F" w:rsidRPr="00065B4F" w:rsidRDefault="00065B4F">
    <w:pPr>
      <w:pStyle w:val="En-tte"/>
    </w:pPr>
    <w:fldSimple w:instr=" TITLE  \* MERGEFORMAT ">
      <w:r>
        <w:t>ECE/TRANS/WP.29/GRE/2020/3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B4F" w:rsidRPr="00065B4F" w:rsidRDefault="00065B4F" w:rsidP="00065B4F">
    <w:pPr>
      <w:pStyle w:val="En-tte"/>
      <w:jc w:val="right"/>
    </w:pPr>
    <w:fldSimple w:instr=" TITLE  \* MERGEFORMAT ">
      <w:r>
        <w:t>ECE/TRANS/WP.29/GRE/2020/3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3653D"/>
    <w:rsid w:val="00017F94"/>
    <w:rsid w:val="00023842"/>
    <w:rsid w:val="000334F9"/>
    <w:rsid w:val="00045FEB"/>
    <w:rsid w:val="00065B4F"/>
    <w:rsid w:val="0007796D"/>
    <w:rsid w:val="000B7790"/>
    <w:rsid w:val="000D5B07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71601D"/>
    <w:rsid w:val="007461C8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D3439C"/>
    <w:rsid w:val="00DB1831"/>
    <w:rsid w:val="00DD3BFD"/>
    <w:rsid w:val="00DF6678"/>
    <w:rsid w:val="00E0299A"/>
    <w:rsid w:val="00E14E41"/>
    <w:rsid w:val="00E85C74"/>
    <w:rsid w:val="00EA6547"/>
    <w:rsid w:val="00EF1ED9"/>
    <w:rsid w:val="00EF2E22"/>
    <w:rsid w:val="00F35BAF"/>
    <w:rsid w:val="00F3653D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BBFDAF"/>
  <w15:docId w15:val="{A4A2B0AA-234A-408D-B6F2-B1F273B7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367</Words>
  <Characters>2569</Characters>
  <Application>Microsoft Office Word</Application>
  <DocSecurity>0</DocSecurity>
  <Lines>214</Lines>
  <Paragraphs>117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ECE/TRANS/WP.29/GRE/2020/3</vt:lpstr>
    </vt:vector>
  </TitlesOfParts>
  <Company>DCM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ECE/TRANS/WP.29/GRE/2020/3</dc:title>
  <dc:subject/>
  <dc:creator>Nicolas MORIN</dc:creator>
  <cp:keywords/>
  <cp:lastModifiedBy>Nicolas Morin</cp:lastModifiedBy>
  <cp:revision>2</cp:revision>
  <cp:lastPrinted>2014-05-14T10:59:00Z</cp:lastPrinted>
  <dcterms:created xsi:type="dcterms:W3CDTF">2020-03-03T10:01:00Z</dcterms:created>
  <dcterms:modified xsi:type="dcterms:W3CDTF">2020-03-03T10:01:00Z</dcterms:modified>
</cp:coreProperties>
</file>