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D354A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911D4A" w14:textId="77777777" w:rsidR="002D5AAC" w:rsidRDefault="002D5AAC" w:rsidP="00FD02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1D870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D328DC" w14:textId="77777777" w:rsidR="002D5AAC" w:rsidRDefault="00FD02F4" w:rsidP="00FD02F4">
            <w:pPr>
              <w:jc w:val="right"/>
            </w:pPr>
            <w:proofErr w:type="spellStart"/>
            <w:r w:rsidRPr="00FD02F4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TRANS</w:t>
            </w:r>
            <w:proofErr w:type="spellEnd"/>
            <w:r>
              <w:t>/WP.29/</w:t>
            </w:r>
            <w:proofErr w:type="spellStart"/>
            <w:r>
              <w:t>GRBP</w:t>
            </w:r>
            <w:proofErr w:type="spellEnd"/>
            <w:r>
              <w:t>/69</w:t>
            </w:r>
          </w:p>
        </w:tc>
      </w:tr>
      <w:tr w:rsidR="002D5AAC" w:rsidRPr="00FD02F4" w14:paraId="51F37F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63E84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D034FE" wp14:editId="3F8DAF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D3DD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E206B2" w14:textId="77777777" w:rsidR="002D5AAC" w:rsidRDefault="00FD02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27B6AC" w14:textId="77777777" w:rsidR="00FD02F4" w:rsidRDefault="00FD02F4" w:rsidP="00FD0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2020</w:t>
            </w:r>
          </w:p>
          <w:p w14:paraId="3297E6C9" w14:textId="77777777" w:rsidR="00FD02F4" w:rsidRDefault="00FD02F4" w:rsidP="00FD0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7D8211" w14:textId="77777777" w:rsidR="00FD02F4" w:rsidRPr="008D53B6" w:rsidRDefault="00FD02F4" w:rsidP="00FD0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7D629C" w14:textId="77777777" w:rsidR="00FD02F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3CB0EC" w14:textId="77777777" w:rsidR="00FD02F4" w:rsidRPr="00FD02F4" w:rsidRDefault="00FD02F4" w:rsidP="00FD02F4">
      <w:pPr>
        <w:spacing w:before="120" w:after="120"/>
        <w:rPr>
          <w:sz w:val="28"/>
          <w:szCs w:val="28"/>
        </w:rPr>
      </w:pPr>
      <w:r w:rsidRPr="00FD02F4">
        <w:rPr>
          <w:sz w:val="28"/>
          <w:szCs w:val="28"/>
        </w:rPr>
        <w:t>Комитет по внутреннему транспорту</w:t>
      </w:r>
    </w:p>
    <w:p w14:paraId="515C14B1" w14:textId="77777777" w:rsidR="00FD02F4" w:rsidRPr="00FD02F4" w:rsidRDefault="00FD02F4" w:rsidP="00FD02F4">
      <w:pPr>
        <w:spacing w:before="120" w:after="120"/>
        <w:rPr>
          <w:b/>
          <w:sz w:val="24"/>
          <w:szCs w:val="24"/>
        </w:rPr>
      </w:pPr>
      <w:r w:rsidRPr="00FD02F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D02F4">
        <w:rPr>
          <w:b/>
          <w:bCs/>
          <w:sz w:val="24"/>
          <w:szCs w:val="24"/>
        </w:rPr>
        <w:t>в области транспортных средств</w:t>
      </w:r>
    </w:p>
    <w:p w14:paraId="5492A4AA" w14:textId="77777777" w:rsidR="00FD02F4" w:rsidRPr="00FD02F4" w:rsidRDefault="00FD02F4" w:rsidP="00FD02F4">
      <w:pPr>
        <w:spacing w:before="120" w:after="120"/>
        <w:rPr>
          <w:b/>
          <w:sz w:val="24"/>
          <w:szCs w:val="24"/>
        </w:rPr>
      </w:pPr>
      <w:r w:rsidRPr="00FD02F4">
        <w:rPr>
          <w:b/>
          <w:bCs/>
          <w:sz w:val="24"/>
          <w:szCs w:val="24"/>
        </w:rPr>
        <w:t>Рабочая группа по вопросам шума</w:t>
      </w:r>
    </w:p>
    <w:p w14:paraId="18C3E9D9" w14:textId="77777777" w:rsidR="00FD02F4" w:rsidRPr="00FD02F4" w:rsidRDefault="00FD02F4" w:rsidP="00FD02F4">
      <w:pPr>
        <w:rPr>
          <w:b/>
        </w:rPr>
      </w:pPr>
      <w:r w:rsidRPr="00FD02F4">
        <w:rPr>
          <w:b/>
          <w:bCs/>
        </w:rPr>
        <w:t>Семьдесят первая сессия</w:t>
      </w:r>
    </w:p>
    <w:p w14:paraId="2EEEE660" w14:textId="77777777" w:rsidR="00FD02F4" w:rsidRPr="00FD02F4" w:rsidRDefault="00FD02F4" w:rsidP="00FD02F4">
      <w:r w:rsidRPr="00FD02F4">
        <w:t>Женева, 28–31 января 2020 года</w:t>
      </w:r>
    </w:p>
    <w:p w14:paraId="1E08C1BA" w14:textId="77777777" w:rsidR="00FD02F4" w:rsidRDefault="00FD02F4" w:rsidP="00FD02F4">
      <w:pPr>
        <w:pStyle w:val="HChG"/>
      </w:pPr>
      <w:r w:rsidRPr="00FD02F4">
        <w:tab/>
      </w:r>
      <w:r w:rsidRPr="00FD02F4">
        <w:tab/>
        <w:t>Доклад Рабочей группы по вопросам шума о работе ее</w:t>
      </w:r>
      <w:r>
        <w:rPr>
          <w:lang w:val="en-US"/>
        </w:rPr>
        <w:t> </w:t>
      </w:r>
      <w:r>
        <w:t>с</w:t>
      </w:r>
      <w:r w:rsidRPr="00FD02F4">
        <w:t>емьдесят первой сессии</w:t>
      </w:r>
    </w:p>
    <w:p w14:paraId="50FCAFAC" w14:textId="77777777" w:rsidR="004C4158" w:rsidRDefault="004C4158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08EC2EAE" w14:textId="77777777" w:rsidR="004C4158" w:rsidRDefault="004C4158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67C790D7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I.</w:t>
      </w:r>
      <w:r w:rsidRPr="004C4158">
        <w:tab/>
        <w:t>Участники</w:t>
      </w:r>
      <w:r>
        <w:tab/>
      </w:r>
      <w:r>
        <w:tab/>
      </w:r>
      <w:r w:rsidRPr="004C4158">
        <w:t>1</w:t>
      </w:r>
      <w:r>
        <w:tab/>
      </w:r>
      <w:r w:rsidR="0081162F" w:rsidRPr="0081162F">
        <w:t>3</w:t>
      </w:r>
    </w:p>
    <w:p w14:paraId="6E0C7AD1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II.</w:t>
      </w:r>
      <w:r w:rsidRPr="004C4158">
        <w:tab/>
        <w:t>Утверждение повестки дня (пункт 1 повестки дня)</w:t>
      </w:r>
      <w:r>
        <w:tab/>
      </w:r>
      <w:r>
        <w:tab/>
      </w:r>
      <w:r w:rsidRPr="004C4158">
        <w:t>2</w:t>
      </w:r>
      <w:r>
        <w:tab/>
      </w:r>
      <w:r w:rsidR="0081162F" w:rsidRPr="0081162F">
        <w:t>3</w:t>
      </w:r>
    </w:p>
    <w:p w14:paraId="6FD0A7A6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III.</w:t>
      </w:r>
      <w:r w:rsidRPr="004C4158">
        <w:tab/>
        <w:t xml:space="preserve">Правила № 41 ООН (шум, производимый мотоциклами) </w:t>
      </w:r>
      <w:r>
        <w:br/>
      </w:r>
      <w:r w:rsidRPr="004C4158">
        <w:t>(пункт 2 повестки дня)</w:t>
      </w:r>
      <w:r>
        <w:tab/>
      </w:r>
      <w:r>
        <w:tab/>
      </w:r>
      <w:r w:rsidRPr="004C4158">
        <w:t>3−5</w:t>
      </w:r>
      <w:r>
        <w:tab/>
      </w:r>
      <w:r w:rsidR="0081162F" w:rsidRPr="0081162F">
        <w:t>3</w:t>
      </w:r>
    </w:p>
    <w:p w14:paraId="32BC71BC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IV.</w:t>
      </w:r>
      <w:r w:rsidRPr="004C4158">
        <w:tab/>
        <w:t xml:space="preserve">Правила № 51 ООН (шум, производимый транспортными средствами </w:t>
      </w:r>
      <w:r>
        <w:br/>
      </w:r>
      <w:r w:rsidRPr="004C4158">
        <w:t>категорий М и N) (пункт 3 повестки дня)</w:t>
      </w:r>
      <w:r>
        <w:tab/>
      </w:r>
      <w:r>
        <w:tab/>
      </w:r>
      <w:r w:rsidRPr="004C4158">
        <w:t>6−10</w:t>
      </w:r>
      <w:r>
        <w:tab/>
      </w:r>
      <w:r w:rsidR="00AA0DF0" w:rsidRPr="00AA0DF0">
        <w:t>4</w:t>
      </w:r>
    </w:p>
    <w:p w14:paraId="0263F877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V.</w:t>
      </w:r>
      <w:r w:rsidRPr="004C4158">
        <w:tab/>
        <w:t xml:space="preserve">Правила № 138 ООН (бесшумные автотранспортные средства) </w:t>
      </w:r>
      <w:r>
        <w:br/>
      </w:r>
      <w:r w:rsidRPr="004C4158">
        <w:t>(пункт 4 повестки дня)</w:t>
      </w:r>
      <w:r>
        <w:tab/>
      </w:r>
      <w:r>
        <w:tab/>
      </w:r>
      <w:r w:rsidRPr="004C4158">
        <w:t>11</w:t>
      </w:r>
      <w:r>
        <w:tab/>
      </w:r>
      <w:r w:rsidR="00AA0DF0" w:rsidRPr="00AA0DF0">
        <w:t>5</w:t>
      </w:r>
    </w:p>
    <w:p w14:paraId="503FA56D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VI.</w:t>
      </w:r>
      <w:r w:rsidRPr="004C4158">
        <w:tab/>
        <w:t>Шины (пункт 5 повестки дня)</w:t>
      </w:r>
      <w:r>
        <w:tab/>
      </w:r>
      <w:r>
        <w:tab/>
      </w:r>
      <w:r w:rsidRPr="004C4158">
        <w:t>12−22</w:t>
      </w:r>
      <w:r>
        <w:tab/>
      </w:r>
      <w:r w:rsidR="00AA0DF0" w:rsidRPr="00AA0DF0">
        <w:t>5</w:t>
      </w:r>
    </w:p>
    <w:p w14:paraId="34BA2948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>
        <w:tab/>
      </w:r>
      <w:r w:rsidRPr="004C4158">
        <w:tab/>
        <w:t>A.</w:t>
      </w:r>
      <w:r w:rsidRPr="004C4158">
        <w:tab/>
        <w:t xml:space="preserve">Правила № 30 ООН (шины для легковых автомобилей </w:t>
      </w:r>
      <w:r w:rsidRPr="004C4158">
        <w:br/>
        <w:t>и их прицепов)</w:t>
      </w:r>
      <w:r>
        <w:tab/>
      </w:r>
      <w:r>
        <w:tab/>
      </w:r>
      <w:r w:rsidRPr="004C4158">
        <w:t>12−14</w:t>
      </w:r>
      <w:r>
        <w:tab/>
      </w:r>
      <w:r w:rsidR="00AA0DF0" w:rsidRPr="00AA0DF0">
        <w:t>5</w:t>
      </w:r>
    </w:p>
    <w:p w14:paraId="64CE821A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>
        <w:tab/>
      </w:r>
      <w:r w:rsidRPr="004C4158">
        <w:tab/>
        <w:t>B.</w:t>
      </w:r>
      <w:r w:rsidRPr="004C4158">
        <w:tab/>
        <w:t xml:space="preserve">Правила № 108 ООН (шины с восстановленным протектором </w:t>
      </w:r>
      <w:r w:rsidRPr="004C4158">
        <w:br/>
        <w:t>для легковых автомобилей и их прицепов)</w:t>
      </w:r>
      <w:r>
        <w:tab/>
      </w:r>
      <w:r>
        <w:tab/>
      </w:r>
      <w:r w:rsidRPr="004C4158">
        <w:t>15</w:t>
      </w:r>
      <w:r>
        <w:tab/>
      </w:r>
      <w:r w:rsidR="00AA0DF0" w:rsidRPr="00AA0DF0">
        <w:t>5</w:t>
      </w:r>
    </w:p>
    <w:p w14:paraId="6161FC34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>
        <w:tab/>
      </w:r>
      <w:r w:rsidRPr="004C4158">
        <w:tab/>
        <w:t>C.</w:t>
      </w:r>
      <w:r w:rsidRPr="004C4158">
        <w:tab/>
        <w:t xml:space="preserve">Правила № 109 ООН (шины с восстановленным протектором </w:t>
      </w:r>
      <w:r w:rsidRPr="004C4158">
        <w:br/>
        <w:t xml:space="preserve">для транспортных средств неиндивидуального пользования </w:t>
      </w:r>
      <w:r w:rsidRPr="004C4158">
        <w:br/>
        <w:t>и их прицепов)</w:t>
      </w:r>
      <w:r>
        <w:tab/>
      </w:r>
      <w:r>
        <w:tab/>
      </w:r>
      <w:r w:rsidRPr="004C4158">
        <w:t>16−17</w:t>
      </w:r>
      <w:r>
        <w:tab/>
      </w:r>
      <w:r w:rsidR="00AA0DF0" w:rsidRPr="00AA0DF0">
        <w:t>6</w:t>
      </w:r>
    </w:p>
    <w:p w14:paraId="07155227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>
        <w:tab/>
      </w:r>
      <w:r w:rsidRPr="004C4158">
        <w:tab/>
        <w:t>D.</w:t>
      </w:r>
      <w:r w:rsidRPr="004C4158">
        <w:tab/>
        <w:t>Правила № 11</w:t>
      </w:r>
      <w:bookmarkStart w:id="0" w:name="_GoBack"/>
      <w:bookmarkEnd w:id="0"/>
      <w:r w:rsidRPr="004C4158">
        <w:t xml:space="preserve">7 ООН (сопротивление шин качению, шум, </w:t>
      </w:r>
      <w:r>
        <w:br/>
      </w:r>
      <w:r w:rsidRPr="004C4158">
        <w:t xml:space="preserve">издаваемый шинами при качении, и их сцепление на мокрой </w:t>
      </w:r>
      <w:r>
        <w:br/>
      </w:r>
      <w:r w:rsidRPr="004C4158">
        <w:t>поверхности)</w:t>
      </w:r>
      <w:r>
        <w:tab/>
      </w:r>
      <w:r>
        <w:tab/>
      </w:r>
      <w:r w:rsidRPr="004C4158">
        <w:t>18−22</w:t>
      </w:r>
      <w:r>
        <w:tab/>
      </w:r>
      <w:r w:rsidR="00AA0DF0" w:rsidRPr="00AA0DF0">
        <w:t>6</w:t>
      </w:r>
    </w:p>
    <w:p w14:paraId="57FD4DED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VII.</w:t>
      </w:r>
      <w:r w:rsidRPr="004C4158">
        <w:tab/>
        <w:t xml:space="preserve">Проект правил ООН, касающихся сигнализации заднего хода </w:t>
      </w:r>
      <w:r>
        <w:br/>
      </w:r>
      <w:r w:rsidRPr="004C4158">
        <w:t>(пункт 6 повестки дня)</w:t>
      </w:r>
      <w:r>
        <w:tab/>
      </w:r>
      <w:r>
        <w:tab/>
      </w:r>
      <w:r w:rsidRPr="004C4158">
        <w:t>23</w:t>
      </w:r>
      <w:r>
        <w:tab/>
      </w:r>
      <w:r w:rsidR="00AA0DF0" w:rsidRPr="00AA0DF0">
        <w:t>7</w:t>
      </w:r>
    </w:p>
    <w:p w14:paraId="2BA359EF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lastRenderedPageBreak/>
        <w:tab/>
        <w:t>VIII.</w:t>
      </w:r>
      <w:r w:rsidRPr="004C4158">
        <w:tab/>
        <w:t xml:space="preserve">Обмен информацией о национальных и международных требованиях, </w:t>
      </w:r>
      <w:r>
        <w:br/>
      </w:r>
      <w:r w:rsidRPr="004C4158">
        <w:t>касающихся уровней шума (пункт 7 повестки дня)</w:t>
      </w:r>
      <w:r>
        <w:tab/>
      </w:r>
      <w:r>
        <w:tab/>
      </w:r>
      <w:r w:rsidRPr="004C4158">
        <w:t>24</w:t>
      </w:r>
      <w:r>
        <w:tab/>
      </w:r>
      <w:r w:rsidR="00AA0DF0" w:rsidRPr="00AA0DF0">
        <w:t>7</w:t>
      </w:r>
    </w:p>
    <w:p w14:paraId="34BE01B0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IX.</w:t>
      </w:r>
      <w:r w:rsidRPr="004C4158">
        <w:tab/>
        <w:t xml:space="preserve">Влияние поверхности дороги на уровень звука, издаваемого шинами </w:t>
      </w:r>
      <w:r>
        <w:br/>
      </w:r>
      <w:r w:rsidRPr="004C4158">
        <w:t>при качении (пункт 8 повестки дня)</w:t>
      </w:r>
      <w:r>
        <w:tab/>
      </w:r>
      <w:r>
        <w:tab/>
      </w:r>
      <w:r w:rsidRPr="004C4158">
        <w:t>25</w:t>
      </w:r>
      <w:r>
        <w:tab/>
      </w:r>
      <w:r w:rsidR="00AA0DF0" w:rsidRPr="00AA0DF0">
        <w:t>8</w:t>
      </w:r>
    </w:p>
    <w:p w14:paraId="78538AEF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X.</w:t>
      </w:r>
      <w:r w:rsidRPr="004C4158">
        <w:tab/>
        <w:t xml:space="preserve">Предложение по поправкам к Сводной резолюции о конструкции </w:t>
      </w:r>
      <w:r>
        <w:br/>
      </w:r>
      <w:r w:rsidRPr="004C4158">
        <w:t>транспортных средств (пункт 9 повестки дня)</w:t>
      </w:r>
      <w:r>
        <w:tab/>
      </w:r>
      <w:r>
        <w:tab/>
      </w:r>
      <w:r w:rsidRPr="004C4158">
        <w:t>26</w:t>
      </w:r>
      <w:r>
        <w:tab/>
      </w:r>
      <w:r w:rsidR="00AA0DF0" w:rsidRPr="00AA0DF0">
        <w:t>8</w:t>
      </w:r>
    </w:p>
    <w:p w14:paraId="3805F666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XI.</w:t>
      </w:r>
      <w:r w:rsidRPr="004C4158">
        <w:tab/>
        <w:t xml:space="preserve">Разработка международной системы официального утверждения </w:t>
      </w:r>
      <w:r>
        <w:br/>
      </w:r>
      <w:r w:rsidRPr="004C4158">
        <w:t>комплектного транспортного средства (пункт 10 повестки дня)</w:t>
      </w:r>
      <w:r>
        <w:tab/>
      </w:r>
      <w:r>
        <w:tab/>
      </w:r>
      <w:r w:rsidRPr="004C4158">
        <w:t>27−28</w:t>
      </w:r>
      <w:r>
        <w:tab/>
      </w:r>
      <w:r w:rsidR="00AA0DF0" w:rsidRPr="00AA0DF0">
        <w:t>8</w:t>
      </w:r>
    </w:p>
    <w:p w14:paraId="57CA7F65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XII.</w:t>
      </w:r>
      <w:r w:rsidRPr="004C4158">
        <w:tab/>
        <w:t xml:space="preserve">Основные вопросы, рассмотренные на недавних сессиях Всемирного </w:t>
      </w:r>
      <w:r>
        <w:br/>
      </w:r>
      <w:r w:rsidRPr="004C4158">
        <w:t xml:space="preserve">форума для согласования правил в области транспортных средств </w:t>
      </w:r>
      <w:r>
        <w:br/>
      </w:r>
      <w:r w:rsidRPr="004C4158">
        <w:t>(пункт 11 повестки дня)</w:t>
      </w:r>
      <w:r>
        <w:tab/>
      </w:r>
      <w:r>
        <w:tab/>
      </w:r>
      <w:r w:rsidRPr="004C4158">
        <w:t>29</w:t>
      </w:r>
      <w:r>
        <w:tab/>
      </w:r>
      <w:r w:rsidR="00AA0DF0" w:rsidRPr="00AA0DF0">
        <w:t>8</w:t>
      </w:r>
    </w:p>
    <w:p w14:paraId="0E862574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XIII.</w:t>
      </w:r>
      <w:r w:rsidRPr="004C4158">
        <w:tab/>
        <w:t xml:space="preserve">Обмен мнениями о будущей деятельности Рабочей группы по вопросам </w:t>
      </w:r>
      <w:r>
        <w:br/>
      </w:r>
      <w:r w:rsidRPr="004C4158">
        <w:t>шума и шин (пункт 12 повестки дня)</w:t>
      </w:r>
      <w:r>
        <w:tab/>
      </w:r>
      <w:r>
        <w:tab/>
      </w:r>
      <w:r w:rsidRPr="004C4158">
        <w:t>30</w:t>
      </w:r>
      <w:r>
        <w:tab/>
      </w:r>
      <w:r w:rsidR="00AA0DF0" w:rsidRPr="00AA0DF0">
        <w:t>8</w:t>
      </w:r>
    </w:p>
    <w:p w14:paraId="4B578BDC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XIV.</w:t>
      </w:r>
      <w:r w:rsidRPr="004C4158">
        <w:tab/>
        <w:t>Прочие вопросы (пункт 13 повестки дня)</w:t>
      </w:r>
      <w:r>
        <w:tab/>
      </w:r>
      <w:r>
        <w:tab/>
      </w:r>
      <w:r w:rsidRPr="004C4158">
        <w:t>31−34</w:t>
      </w:r>
      <w:r>
        <w:tab/>
      </w:r>
      <w:r w:rsidR="00AA0DF0" w:rsidRPr="00AA0DF0">
        <w:t>9</w:t>
      </w:r>
    </w:p>
    <w:p w14:paraId="789D6404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ab/>
        <w:t>XV.</w:t>
      </w:r>
      <w:r w:rsidRPr="004C4158">
        <w:tab/>
        <w:t xml:space="preserve">Предварительная повестка дня следующей сессии </w:t>
      </w:r>
      <w:r w:rsidRPr="004C4158">
        <w:br/>
        <w:t>(пункт 14 повестки дня)</w:t>
      </w:r>
      <w:r>
        <w:tab/>
      </w:r>
      <w:r>
        <w:tab/>
      </w:r>
      <w:r w:rsidRPr="004C4158">
        <w:t>35</w:t>
      </w:r>
      <w:r>
        <w:tab/>
      </w:r>
      <w:r w:rsidR="00AA0DF0" w:rsidRPr="00AA0DF0">
        <w:t>9</w:t>
      </w:r>
    </w:p>
    <w:p w14:paraId="4912D946" w14:textId="77777777" w:rsid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C4158">
        <w:t>Приложени</w:t>
      </w:r>
      <w:r>
        <w:t>я</w:t>
      </w:r>
    </w:p>
    <w:p w14:paraId="73263AF4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I</w:t>
      </w:r>
      <w:r>
        <w:t>.</w:t>
      </w:r>
      <w:r>
        <w:tab/>
      </w:r>
      <w:r w:rsidRPr="004C4158">
        <w:t xml:space="preserve">Перечень неофициальных документов (GRBP-71-…), распространенных </w:t>
      </w:r>
      <w:r>
        <w:br/>
      </w:r>
      <w:r w:rsidRPr="004C4158">
        <w:t>в ходе сессии</w:t>
      </w:r>
      <w:r>
        <w:tab/>
      </w:r>
      <w:r>
        <w:tab/>
      </w:r>
      <w:r>
        <w:tab/>
      </w:r>
      <w:r w:rsidR="00AA0DF0" w:rsidRPr="00AA0DF0">
        <w:t>10</w:t>
      </w:r>
    </w:p>
    <w:p w14:paraId="1CB08B65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II</w:t>
      </w:r>
      <w:r>
        <w:t>.</w:t>
      </w:r>
      <w:r w:rsidRPr="004C4158">
        <w:tab/>
        <w:t xml:space="preserve">Принятые поправки к Правилам № 41 ООН (на основе документов </w:t>
      </w:r>
      <w:proofErr w:type="spellStart"/>
      <w:r w:rsidRPr="004C4158">
        <w:t>ECE</w:t>
      </w:r>
      <w:proofErr w:type="spellEnd"/>
      <w:r w:rsidRPr="004C4158">
        <w:t>/</w:t>
      </w:r>
      <w:proofErr w:type="spellStart"/>
      <w:r w:rsidRPr="004C4158">
        <w:t>TRANS</w:t>
      </w:r>
      <w:proofErr w:type="spellEnd"/>
      <w:r w:rsidRPr="004C4158">
        <w:t>/WP.29/</w:t>
      </w:r>
      <w:proofErr w:type="spellStart"/>
      <w:r w:rsidRPr="004C4158">
        <w:t>GRBP</w:t>
      </w:r>
      <w:proofErr w:type="spellEnd"/>
      <w:r w:rsidRPr="004C4158">
        <w:t>/2019/25/Rev.1 и GRBP-71-18-Rev.2)</w:t>
      </w:r>
      <w:r>
        <w:tab/>
      </w:r>
      <w:r>
        <w:tab/>
      </w:r>
      <w:r>
        <w:tab/>
      </w:r>
      <w:r w:rsidR="00AA0DF0" w:rsidRPr="00AA0DF0">
        <w:t>12</w:t>
      </w:r>
    </w:p>
    <w:p w14:paraId="3BE052C5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III</w:t>
      </w:r>
      <w:r>
        <w:t>.</w:t>
      </w:r>
      <w:r w:rsidRPr="004C4158">
        <w:tab/>
        <w:t>Принятые поправки к Правилам № 41 ООН (на основе документа GRBP-71-10)</w:t>
      </w:r>
      <w:r>
        <w:tab/>
      </w:r>
      <w:r>
        <w:tab/>
      </w:r>
      <w:r>
        <w:tab/>
      </w:r>
      <w:r w:rsidR="00AA0DF0" w:rsidRPr="00AA0DF0">
        <w:t>15</w:t>
      </w:r>
    </w:p>
    <w:p w14:paraId="27D4286F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IV</w:t>
      </w:r>
      <w:r>
        <w:t>.</w:t>
      </w:r>
      <w:r>
        <w:tab/>
      </w:r>
      <w:r w:rsidRPr="004C4158">
        <w:t>Круг ведения Неофициальной рабочей группы по неопределенностям измерений</w:t>
      </w:r>
      <w:r>
        <w:tab/>
      </w:r>
      <w:r>
        <w:tab/>
      </w:r>
      <w:r>
        <w:tab/>
      </w:r>
      <w:r w:rsidR="00AA0DF0" w:rsidRPr="00AA0DF0">
        <w:t>17</w:t>
      </w:r>
    </w:p>
    <w:p w14:paraId="111FEE23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V</w:t>
      </w:r>
      <w:r>
        <w:t>.</w:t>
      </w:r>
      <w:r>
        <w:tab/>
      </w:r>
      <w:r w:rsidRPr="004C4158">
        <w:t xml:space="preserve">Принятые поправки к Правилам № 138 ООН </w:t>
      </w:r>
      <w:r>
        <w:br/>
      </w:r>
      <w:r w:rsidRPr="004C4158">
        <w:t>(на основе документа GRBP-71-28-Rev.1)</w:t>
      </w:r>
      <w:r>
        <w:tab/>
      </w:r>
      <w:r>
        <w:tab/>
      </w:r>
      <w:r>
        <w:tab/>
      </w:r>
      <w:r w:rsidR="00AA0DF0" w:rsidRPr="00AA0DF0">
        <w:t>19</w:t>
      </w:r>
    </w:p>
    <w:p w14:paraId="10FF76F4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VI</w:t>
      </w:r>
      <w:r>
        <w:t>.</w:t>
      </w:r>
      <w:r>
        <w:tab/>
      </w:r>
      <w:r w:rsidRPr="004C4158">
        <w:t xml:space="preserve">Принятые поправки к Правилам № 30 ООН (на основе документов </w:t>
      </w:r>
      <w:proofErr w:type="spellStart"/>
      <w:r w:rsidRPr="004C4158">
        <w:t>ECE</w:t>
      </w:r>
      <w:proofErr w:type="spellEnd"/>
      <w:r w:rsidRPr="004C4158">
        <w:t>/</w:t>
      </w:r>
      <w:proofErr w:type="spellStart"/>
      <w:r w:rsidRPr="004C4158">
        <w:t>TRANS</w:t>
      </w:r>
      <w:proofErr w:type="spellEnd"/>
      <w:r w:rsidRPr="004C4158">
        <w:t>/WP.29/</w:t>
      </w:r>
      <w:proofErr w:type="spellStart"/>
      <w:r w:rsidRPr="004C4158">
        <w:t>GRBP</w:t>
      </w:r>
      <w:proofErr w:type="spellEnd"/>
      <w:r w:rsidRPr="004C4158">
        <w:t>/2020/3 и GRBP-71-30)</w:t>
      </w:r>
      <w:r>
        <w:tab/>
      </w:r>
      <w:r>
        <w:tab/>
      </w:r>
      <w:r>
        <w:tab/>
      </w:r>
      <w:r w:rsidR="00AA0DF0" w:rsidRPr="00AA0DF0">
        <w:t>20</w:t>
      </w:r>
    </w:p>
    <w:p w14:paraId="338337FF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</w:pPr>
      <w:r>
        <w:tab/>
      </w:r>
      <w:r w:rsidRPr="004C4158">
        <w:t>VII</w:t>
      </w:r>
      <w:r>
        <w:t>.</w:t>
      </w:r>
      <w:r w:rsidRPr="004C4158">
        <w:tab/>
        <w:t xml:space="preserve">Принятые поправки к Правилам № 117 ООН (на основе документов </w:t>
      </w:r>
      <w:proofErr w:type="spellStart"/>
      <w:r w:rsidRPr="004C4158">
        <w:t>ECE</w:t>
      </w:r>
      <w:proofErr w:type="spellEnd"/>
      <w:r w:rsidRPr="004C4158">
        <w:t>/</w:t>
      </w:r>
      <w:proofErr w:type="spellStart"/>
      <w:r w:rsidRPr="004C4158">
        <w:t>TRANS</w:t>
      </w:r>
      <w:proofErr w:type="spellEnd"/>
      <w:r w:rsidRPr="004C4158">
        <w:t>/WP.29/</w:t>
      </w:r>
      <w:proofErr w:type="spellStart"/>
      <w:r w:rsidRPr="004C4158">
        <w:t>GRBP</w:t>
      </w:r>
      <w:proofErr w:type="spellEnd"/>
      <w:r w:rsidRPr="004C4158">
        <w:t>/2020/6 и GRBP-71-29)</w:t>
      </w:r>
      <w:r>
        <w:tab/>
      </w:r>
      <w:r>
        <w:tab/>
      </w:r>
      <w:r>
        <w:tab/>
      </w:r>
      <w:r w:rsidR="00AA0DF0" w:rsidRPr="00AA0DF0">
        <w:t>21</w:t>
      </w:r>
    </w:p>
    <w:p w14:paraId="4C0804CF" w14:textId="77777777" w:rsidR="004C4158" w:rsidRPr="004C4158" w:rsidRDefault="004C4158" w:rsidP="004C4158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  <w:rPr>
          <w:lang w:val="en-US"/>
        </w:rPr>
      </w:pPr>
      <w:r>
        <w:tab/>
      </w:r>
      <w:r w:rsidRPr="004C4158">
        <w:t>VIII</w:t>
      </w:r>
      <w:r>
        <w:t>.</w:t>
      </w:r>
      <w:r w:rsidRPr="004C4158">
        <w:tab/>
        <w:t xml:space="preserve">Неофициальные группы </w:t>
      </w:r>
      <w:proofErr w:type="spellStart"/>
      <w:r w:rsidRPr="004C4158">
        <w:t>GRBP</w:t>
      </w:r>
      <w:proofErr w:type="spellEnd"/>
      <w:r>
        <w:tab/>
      </w:r>
      <w:r>
        <w:tab/>
      </w:r>
      <w:r>
        <w:tab/>
      </w:r>
      <w:r w:rsidR="00AA0DF0">
        <w:rPr>
          <w:lang w:val="en-US"/>
        </w:rPr>
        <w:t>22</w:t>
      </w:r>
    </w:p>
    <w:p w14:paraId="6AAD4480" w14:textId="77777777" w:rsidR="00FD02F4" w:rsidRDefault="00FD02F4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1429D166" w14:textId="77777777" w:rsidR="00FD02F4" w:rsidRPr="00FD02F4" w:rsidRDefault="00FD02F4" w:rsidP="00FD02F4">
      <w:pPr>
        <w:pStyle w:val="HChG"/>
      </w:pPr>
      <w:r w:rsidRPr="00FD02F4">
        <w:lastRenderedPageBreak/>
        <w:tab/>
        <w:t>I.</w:t>
      </w:r>
      <w:r w:rsidRPr="00FD02F4">
        <w:tab/>
        <w:t>Участники</w:t>
      </w:r>
    </w:p>
    <w:p w14:paraId="2352E2F0" w14:textId="77777777" w:rsidR="00FD02F4" w:rsidRPr="00FD02F4" w:rsidRDefault="00FD02F4" w:rsidP="00FD02F4">
      <w:pPr>
        <w:pStyle w:val="SingleTxtG"/>
      </w:pPr>
      <w:r w:rsidRPr="00FD02F4">
        <w:t>1.</w:t>
      </w:r>
      <w:r w:rsidRPr="00FD02F4">
        <w:tab/>
        <w:t>Рабочая группа по вопросам шума и шин (</w:t>
      </w:r>
      <w:proofErr w:type="spellStart"/>
      <w:r w:rsidRPr="00FD02F4">
        <w:t>GRBP</w:t>
      </w:r>
      <w:proofErr w:type="spellEnd"/>
      <w:r w:rsidRPr="00FD02F4">
        <w:t>) провела свою семьдесят первую сессию 28</w:t>
      </w:r>
      <w:r w:rsidR="00AD23CC">
        <w:rPr>
          <w:lang w:val="en-US"/>
        </w:rPr>
        <w:t>−</w:t>
      </w:r>
      <w:r w:rsidRPr="00FD02F4">
        <w:t xml:space="preserve">31 января 2020 года в Женеве. Сессия проходила под председательством г-на С. </w:t>
      </w:r>
      <w:proofErr w:type="spellStart"/>
      <w:r w:rsidRPr="00FD02F4">
        <w:t>Фишё</w:t>
      </w:r>
      <w:proofErr w:type="spellEnd"/>
      <w:r w:rsidRPr="00FD02F4">
        <w:t xml:space="preserve"> (Франция). В соответствии с правилом 1 а) Правил процедуры Всемирного форума для согласования правил в области транспортных средств (WP.29) (</w:t>
      </w:r>
      <w:proofErr w:type="spellStart"/>
      <w:r w:rsidRPr="00FD02F4">
        <w:t>TRANS</w:t>
      </w:r>
      <w:proofErr w:type="spellEnd"/>
      <w:r w:rsidRPr="00FD02F4">
        <w:t>/WP.29/710/Rev.1) в работе сессии приняли участие эксперты от следующих стран: Венгрии, Германии, Индии, Испании, Италии, Нидерландов, Норвегии, Польши, Республики Корея, Российской Федерации, Соединенного Королевства Великобритании и Северной Ирландии, Соединенных Штатов Америки, Финляндии, Франции, Швейцарии, Швеции и Японии. В ней участвовал также эксперт от Европейской комиссии (</w:t>
      </w:r>
      <w:proofErr w:type="spellStart"/>
      <w:r w:rsidRPr="00FD02F4">
        <w:t>ЕК</w:t>
      </w:r>
      <w:proofErr w:type="spellEnd"/>
      <w:r w:rsidRPr="00FD02F4">
        <w:t>). В работе сессии приняли участие эксперты от следующих неправительственных организаций: Ассоциации европейских производителей колес (</w:t>
      </w:r>
      <w:proofErr w:type="spellStart"/>
      <w:r w:rsidRPr="00FD02F4">
        <w:t>АЕПК</w:t>
      </w:r>
      <w:proofErr w:type="spellEnd"/>
      <w:r w:rsidRPr="00FD02F4">
        <w:t>), Постоянного международного бюро ассоциаций дистрибьюторских компаний и предприятий по восстановлению шин (</w:t>
      </w:r>
      <w:proofErr w:type="spellStart"/>
      <w:r w:rsidRPr="00FD02F4">
        <w:t>БИПАВЕР</w:t>
      </w:r>
      <w:proofErr w:type="spellEnd"/>
      <w:r w:rsidRPr="00FD02F4">
        <w:t>), Международного комитета по техническому осмотру механических транспортных средств (</w:t>
      </w:r>
      <w:proofErr w:type="spellStart"/>
      <w:r w:rsidRPr="00FD02F4">
        <w:t>МКТОТ</w:t>
      </w:r>
      <w:proofErr w:type="spellEnd"/>
      <w:r w:rsidRPr="00FD02F4">
        <w:t>), Европейской ассоциации поставщиков автомобильных деталей (</w:t>
      </w:r>
      <w:proofErr w:type="spellStart"/>
      <w:r w:rsidRPr="00FD02F4">
        <w:t>КСАОД</w:t>
      </w:r>
      <w:proofErr w:type="spellEnd"/>
      <w:r w:rsidRPr="00FD02F4">
        <w:t>), Европейской технической организации по вопросам пневматических шин и ободьев колес (</w:t>
      </w:r>
      <w:proofErr w:type="spellStart"/>
      <w:r w:rsidRPr="00FD02F4">
        <w:t>ЕТОПОК</w:t>
      </w:r>
      <w:proofErr w:type="spellEnd"/>
      <w:r w:rsidRPr="00FD02F4">
        <w:t>), Международной ассоциации заводов-изготовителей мотоциклов (</w:t>
      </w:r>
      <w:proofErr w:type="spellStart"/>
      <w:r w:rsidRPr="00FD02F4">
        <w:t>МАЗМ</w:t>
      </w:r>
      <w:proofErr w:type="spellEnd"/>
      <w:r w:rsidRPr="00FD02F4">
        <w:t>), Международной организации по стандартизации (ИСО), Ассоциации изготовителей импортируемых шин (</w:t>
      </w:r>
      <w:proofErr w:type="spellStart"/>
      <w:r w:rsidRPr="00FD02F4">
        <w:t>АИИШ</w:t>
      </w:r>
      <w:proofErr w:type="spellEnd"/>
      <w:r w:rsidRPr="00FD02F4">
        <w:t>), Международной организации предприятий автомобильной промышленности (</w:t>
      </w:r>
      <w:proofErr w:type="spellStart"/>
      <w:r w:rsidRPr="00FD02F4">
        <w:t>МОПАП</w:t>
      </w:r>
      <w:proofErr w:type="spellEnd"/>
      <w:r w:rsidRPr="00FD02F4">
        <w:t>) и Ассоциации изготовителей импортируемых шин (США).</w:t>
      </w:r>
      <w:bookmarkStart w:id="1" w:name="_Hlk33170788"/>
      <w:bookmarkStart w:id="2" w:name="_Hlk948339"/>
      <w:bookmarkEnd w:id="1"/>
      <w:bookmarkEnd w:id="2"/>
    </w:p>
    <w:p w14:paraId="3DD8E376" w14:textId="77777777" w:rsidR="00FD02F4" w:rsidRPr="00FD02F4" w:rsidRDefault="00FD02F4" w:rsidP="00FD02F4">
      <w:pPr>
        <w:pStyle w:val="HChG"/>
      </w:pPr>
      <w:r w:rsidRPr="00FD02F4">
        <w:tab/>
        <w:t>II.</w:t>
      </w:r>
      <w:r w:rsidRPr="00FD02F4">
        <w:tab/>
        <w:t>Утверждение повестки дня (пункт 1 повестки дня)</w:t>
      </w:r>
    </w:p>
    <w:p w14:paraId="449AEA47" w14:textId="77777777" w:rsidR="00FD02F4" w:rsidRPr="00FD02F4" w:rsidRDefault="00FD02F4" w:rsidP="00FD02F4">
      <w:pPr>
        <w:pStyle w:val="SingleTxtG"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/2020/1, </w:t>
      </w:r>
      <w:r>
        <w:br/>
      </w:r>
      <w:r w:rsidRPr="00FD02F4">
        <w:t>неофициальные документы GRBP-71-01 и GRBP-71-02-Rev.1</w:t>
      </w:r>
    </w:p>
    <w:p w14:paraId="061A796B" w14:textId="77777777" w:rsidR="00FD02F4" w:rsidRPr="00FD02F4" w:rsidRDefault="00FD02F4" w:rsidP="00FD02F4">
      <w:pPr>
        <w:pStyle w:val="SingleTxtG"/>
      </w:pPr>
      <w:r w:rsidRPr="00FD02F4">
        <w:t>2.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рассмотрела и утвердила повестку дня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/2020/1 с поправками, содержащимися в документе GRBP-71-01). </w:t>
      </w:r>
      <w:proofErr w:type="spellStart"/>
      <w:r w:rsidRPr="00FD02F4">
        <w:t>GRBP</w:t>
      </w:r>
      <w:proofErr w:type="spellEnd"/>
      <w:r w:rsidRPr="00FD02F4">
        <w:t xml:space="preserve"> приняла к сведению порядок работы, предложенный Председателем (GRBP-71-02-Rev.1). Перечень неофициальных документов содержится в приложении I. Перечень неофициальных групп </w:t>
      </w:r>
      <w:proofErr w:type="spellStart"/>
      <w:r w:rsidRPr="00FD02F4">
        <w:t>GRBP</w:t>
      </w:r>
      <w:proofErr w:type="spellEnd"/>
      <w:r w:rsidRPr="00FD02F4">
        <w:t xml:space="preserve"> воспроизведен в приложении VIII.</w:t>
      </w:r>
    </w:p>
    <w:p w14:paraId="40B0A642" w14:textId="77777777" w:rsidR="00FD02F4" w:rsidRPr="00FD02F4" w:rsidRDefault="00FD02F4" w:rsidP="00FD02F4">
      <w:pPr>
        <w:pStyle w:val="HChG"/>
      </w:pPr>
      <w:r w:rsidRPr="00FD02F4">
        <w:tab/>
        <w:t>III.</w:t>
      </w:r>
      <w:r w:rsidRPr="00FD02F4">
        <w:tab/>
        <w:t xml:space="preserve">Правила </w:t>
      </w:r>
      <w:r>
        <w:t>№ </w:t>
      </w:r>
      <w:r w:rsidRPr="00FD02F4">
        <w:t>41 ООН (шум, производимый мотоциклами) (пункт 2 повестки дня)</w:t>
      </w:r>
    </w:p>
    <w:p w14:paraId="53E70825" w14:textId="77777777" w:rsidR="00FD02F4" w:rsidRPr="00FD02F4" w:rsidRDefault="00FD02F4" w:rsidP="00FD02F4">
      <w:pPr>
        <w:pStyle w:val="SingleTxtG"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/2019/24,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/2019/25/Rev.1, </w:t>
      </w:r>
      <w:r>
        <w:br/>
      </w:r>
      <w:r w:rsidRPr="00FD02F4">
        <w:t xml:space="preserve">неофициальные документы GRBP-71-09, GRBP-71-10, </w:t>
      </w:r>
      <w:r>
        <w:br/>
      </w:r>
      <w:r w:rsidRPr="00FD02F4">
        <w:t xml:space="preserve">GRBP-71-18-Rev.2 </w:t>
      </w:r>
    </w:p>
    <w:p w14:paraId="613048EF" w14:textId="77777777" w:rsidR="00FD02F4" w:rsidRPr="00FD02F4" w:rsidRDefault="00FD02F4" w:rsidP="00FD02F4">
      <w:pPr>
        <w:pStyle w:val="SingleTxtG"/>
      </w:pPr>
      <w:r w:rsidRPr="00FD02F4">
        <w:t>3.</w:t>
      </w:r>
      <w:r w:rsidRPr="00FD02F4">
        <w:tab/>
        <w:t xml:space="preserve">Эксперт от </w:t>
      </w:r>
      <w:proofErr w:type="spellStart"/>
      <w:r w:rsidRPr="00FD02F4">
        <w:t>МАЗМ</w:t>
      </w:r>
      <w:proofErr w:type="spellEnd"/>
      <w:r w:rsidRPr="00FD02F4">
        <w:t xml:space="preserve"> представил пересмотренное предложение, которое направлено на предотвращение чрезмерного увеличения числа номеров официальных утверждений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/2019/25/Rev.1 и GRBP-71-18-Rev.2). После подробного обсуждения </w:t>
      </w:r>
      <w:proofErr w:type="spellStart"/>
      <w:r w:rsidRPr="00FD02F4">
        <w:t>GRBP</w:t>
      </w:r>
      <w:proofErr w:type="spellEnd"/>
      <w:r w:rsidRPr="00FD02F4">
        <w:t xml:space="preserve"> приняла это предложение в том виде, в каком оно изложено в приложении II. </w:t>
      </w:r>
      <w:proofErr w:type="spellStart"/>
      <w:r w:rsidRPr="00FD02F4">
        <w:t>GRBP</w:t>
      </w:r>
      <w:proofErr w:type="spellEnd"/>
      <w:r w:rsidRPr="00FD02F4">
        <w:t xml:space="preserve"> поручила секретариату передать его WP.29 и Административному комитету (АС.1) для рассмотрения и проведения голосования на их сессиях в июне 2020 года в качестве проекта дополнения 8 к поправкам серии 04 к Правилам </w:t>
      </w:r>
      <w:r>
        <w:t>№ </w:t>
      </w:r>
      <w:r w:rsidRPr="00FD02F4">
        <w:t xml:space="preserve">41 ООН вместе с документом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/2019/24, принятым на предыдущей сессии. </w:t>
      </w:r>
    </w:p>
    <w:p w14:paraId="146ADC55" w14:textId="77777777" w:rsidR="00FD02F4" w:rsidRPr="00FD02F4" w:rsidRDefault="00FD02F4" w:rsidP="00FD02F4">
      <w:pPr>
        <w:pStyle w:val="SingleTxtG"/>
      </w:pPr>
      <w:r w:rsidRPr="00FD02F4">
        <w:t>4.</w:t>
      </w:r>
      <w:r w:rsidRPr="00FD02F4">
        <w:tab/>
        <w:t xml:space="preserve">Эксперт от </w:t>
      </w:r>
      <w:proofErr w:type="spellStart"/>
      <w:r w:rsidRPr="00FD02F4">
        <w:t>МАЗМ</w:t>
      </w:r>
      <w:proofErr w:type="spellEnd"/>
      <w:r w:rsidRPr="00FD02F4">
        <w:t xml:space="preserve"> предложил уточнить спецификации испытательной площадки в приложении 4 на этапе после завершения переходного периода, предусмотренного в пункте 12.9 (GRBP-71-09). Эксперты от Германии, ИСО и </w:t>
      </w:r>
      <w:proofErr w:type="spellStart"/>
      <w:r w:rsidRPr="00FD02F4">
        <w:t>МОПАП</w:t>
      </w:r>
      <w:proofErr w:type="spellEnd"/>
      <w:r w:rsidRPr="00FD02F4">
        <w:t xml:space="preserve"> задались вопросами о цели этого предложения. </w:t>
      </w:r>
      <w:proofErr w:type="spellStart"/>
      <w:r w:rsidRPr="00FD02F4">
        <w:t>GRBP</w:t>
      </w:r>
      <w:proofErr w:type="spellEnd"/>
      <w:r w:rsidRPr="00FD02F4">
        <w:t xml:space="preserve"> предложила </w:t>
      </w:r>
      <w:proofErr w:type="spellStart"/>
      <w:r w:rsidRPr="00FD02F4">
        <w:t>МАЗМ</w:t>
      </w:r>
      <w:proofErr w:type="spellEnd"/>
      <w:r w:rsidRPr="00FD02F4">
        <w:t xml:space="preserve"> обсудить этот момент с экспертами названных стран и подготовить пересмотренное предложение к следующей сессии. </w:t>
      </w:r>
    </w:p>
    <w:p w14:paraId="629364BF" w14:textId="77777777" w:rsidR="00FD02F4" w:rsidRPr="00FD02F4" w:rsidRDefault="00FD02F4" w:rsidP="00FD02F4">
      <w:pPr>
        <w:pStyle w:val="SingleTxtG"/>
      </w:pPr>
      <w:r w:rsidRPr="00FD02F4">
        <w:lastRenderedPageBreak/>
        <w:t>5.</w:t>
      </w:r>
      <w:r w:rsidRPr="00FD02F4">
        <w:tab/>
        <w:t xml:space="preserve">Эксперт от </w:t>
      </w:r>
      <w:proofErr w:type="spellStart"/>
      <w:r w:rsidRPr="00FD02F4">
        <w:t>МАЗМ</w:t>
      </w:r>
      <w:proofErr w:type="spellEnd"/>
      <w:r w:rsidRPr="00FD02F4">
        <w:t xml:space="preserve"> предложил изменить положение микрофона для измерения шума, производимого транспортным средством в неподвижном состоянии, когда имеется несколько выходов для отработавших газов (GRBP-71-10). </w:t>
      </w:r>
      <w:proofErr w:type="spellStart"/>
      <w:r w:rsidRPr="00FD02F4">
        <w:t>GRBP</w:t>
      </w:r>
      <w:proofErr w:type="spellEnd"/>
      <w:r w:rsidRPr="00FD02F4">
        <w:t xml:space="preserve"> приняла это предложение, содержащееся в приложении III, и поручила секретариату передать его WP.29 и AC.1 для рассмотрения и проведения голосования на их сессиях в июне 2020</w:t>
      </w:r>
      <w:r w:rsidR="00AD23CC">
        <w:t> </w:t>
      </w:r>
      <w:r w:rsidRPr="00FD02F4">
        <w:t>года в качестве части проекта дополнения 8 к поправкам серии 04 к Правилам</w:t>
      </w:r>
      <w:r w:rsidR="00AD23CC">
        <w:t> </w:t>
      </w:r>
      <w:r>
        <w:t>№ </w:t>
      </w:r>
      <w:r w:rsidRPr="00FD02F4">
        <w:t xml:space="preserve">41 ООН. </w:t>
      </w:r>
    </w:p>
    <w:p w14:paraId="4B8CD23F" w14:textId="77777777" w:rsidR="00FD02F4" w:rsidRPr="00FD02F4" w:rsidRDefault="00FD02F4" w:rsidP="00FD02F4">
      <w:pPr>
        <w:pStyle w:val="HChG"/>
      </w:pPr>
      <w:r w:rsidRPr="00FD02F4">
        <w:tab/>
        <w:t>IV.</w:t>
      </w:r>
      <w:r w:rsidRPr="00FD02F4">
        <w:tab/>
        <w:t xml:space="preserve">Правила </w:t>
      </w:r>
      <w:r>
        <w:t>№ </w:t>
      </w:r>
      <w:r w:rsidRPr="00FD02F4">
        <w:t xml:space="preserve">51 ООН (шум, производимый транспортными средствами категорий М и N) </w:t>
      </w:r>
      <w:r>
        <w:br/>
      </w:r>
      <w:r w:rsidRPr="00FD02F4">
        <w:t>(пункт 3 повестки дня)</w:t>
      </w:r>
    </w:p>
    <w:p w14:paraId="746A9313" w14:textId="77777777" w:rsidR="00FD02F4" w:rsidRPr="00FD02F4" w:rsidRDefault="00FD02F4" w:rsidP="00FD02F4">
      <w:pPr>
        <w:pStyle w:val="SingleTxtG"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 xml:space="preserve">еофициальные документы GRBP-71-04, GRBP-71-05, </w:t>
      </w:r>
      <w:r>
        <w:br/>
      </w:r>
      <w:r w:rsidRPr="00FD02F4">
        <w:t>GRBP-71-11, GRBP-71-17, GRBP-71-19-Rev.1, GRBP-71-21, GRBP-71-24, GRBP-71-25, GRBP-71-31-Rev.1</w:t>
      </w:r>
    </w:p>
    <w:p w14:paraId="37993817" w14:textId="77777777" w:rsidR="00FD02F4" w:rsidRPr="00FD02F4" w:rsidRDefault="00FD02F4" w:rsidP="00FD02F4">
      <w:pPr>
        <w:pStyle w:val="SingleTxtG"/>
      </w:pPr>
      <w:r w:rsidRPr="00FD02F4">
        <w:t>6.</w:t>
      </w:r>
      <w:r w:rsidRPr="00FD02F4">
        <w:tab/>
        <w:t>От имени Неофициальной рабочей группы по дополнительным положениям об уровне звука (</w:t>
      </w:r>
      <w:proofErr w:type="spellStart"/>
      <w:r w:rsidRPr="00FD02F4">
        <w:t>НРГ</w:t>
      </w:r>
      <w:proofErr w:type="spellEnd"/>
      <w:r w:rsidRPr="00FD02F4">
        <w:t xml:space="preserve"> по </w:t>
      </w:r>
      <w:proofErr w:type="spellStart"/>
      <w:r w:rsidRPr="00FD02F4">
        <w:t>ДПУЗ</w:t>
      </w:r>
      <w:proofErr w:type="spellEnd"/>
      <w:r w:rsidRPr="00FD02F4">
        <w:t xml:space="preserve">) эксперт от Германии сообщил о деятельности </w:t>
      </w:r>
      <w:proofErr w:type="spellStart"/>
      <w:r w:rsidRPr="00FD02F4">
        <w:t>НРГ</w:t>
      </w:r>
      <w:proofErr w:type="spellEnd"/>
      <w:r w:rsidRPr="00FD02F4">
        <w:t xml:space="preserve"> по </w:t>
      </w:r>
      <w:proofErr w:type="spellStart"/>
      <w:r w:rsidRPr="00FD02F4">
        <w:t>ДПУЗ</w:t>
      </w:r>
      <w:proofErr w:type="spellEnd"/>
      <w:r w:rsidRPr="00FD02F4">
        <w:t xml:space="preserve"> (GRBP-71-25). Он также подробно остановился на будущем пересмотре </w:t>
      </w:r>
      <w:proofErr w:type="spellStart"/>
      <w:r w:rsidRPr="00FD02F4">
        <w:t>ДПУЗ</w:t>
      </w:r>
      <w:proofErr w:type="spellEnd"/>
      <w:r w:rsidRPr="00FD02F4">
        <w:t xml:space="preserve"> в Правилах </w:t>
      </w:r>
      <w:r>
        <w:t>№ </w:t>
      </w:r>
      <w:r w:rsidRPr="00FD02F4">
        <w:t xml:space="preserve">51 ООН на основе концепции вождения в реальных условиях и модели прогнозирования уровней звука (GRBP-71-24). </w:t>
      </w:r>
    </w:p>
    <w:p w14:paraId="0C098B52" w14:textId="77777777" w:rsidR="00FD02F4" w:rsidRPr="00FD02F4" w:rsidRDefault="00FD02F4" w:rsidP="00FD02F4">
      <w:pPr>
        <w:pStyle w:val="SingleTxtG"/>
      </w:pPr>
      <w:r w:rsidRPr="00FD02F4">
        <w:t>7.</w:t>
      </w:r>
      <w:r w:rsidRPr="00FD02F4">
        <w:tab/>
        <w:t xml:space="preserve">Эксперт от </w:t>
      </w:r>
      <w:proofErr w:type="spellStart"/>
      <w:r w:rsidRPr="00FD02F4">
        <w:t>МАЗМ</w:t>
      </w:r>
      <w:proofErr w:type="spellEnd"/>
      <w:r w:rsidRPr="00FD02F4">
        <w:t xml:space="preserve"> указал на различия между Правилами </w:t>
      </w:r>
      <w:r>
        <w:t>№ </w:t>
      </w:r>
      <w:r w:rsidRPr="00FD02F4">
        <w:t>41 и 51 ООН в том, что касается применения концепции вождения в реальных условиях (GRBP-71-19-Rev.1)</w:t>
      </w:r>
      <w:r w:rsidR="00AD23CC">
        <w:t>,</w:t>
      </w:r>
      <w:r w:rsidRPr="00FD02F4">
        <w:t xml:space="preserve"> и представил проект пересмотренных положений о </w:t>
      </w:r>
      <w:proofErr w:type="spellStart"/>
      <w:r w:rsidRPr="00FD02F4">
        <w:t>ДПУЗ</w:t>
      </w:r>
      <w:proofErr w:type="spellEnd"/>
      <w:r w:rsidRPr="00FD02F4">
        <w:t xml:space="preserve"> в Правилах </w:t>
      </w:r>
      <w:r>
        <w:t>№ </w:t>
      </w:r>
      <w:r w:rsidRPr="00FD02F4">
        <w:t xml:space="preserve">41 ООН (GRBP-71-17). Председатель предложил </w:t>
      </w:r>
      <w:proofErr w:type="spellStart"/>
      <w:r w:rsidRPr="00FD02F4">
        <w:t>МАЗМ</w:t>
      </w:r>
      <w:proofErr w:type="spellEnd"/>
      <w:r w:rsidRPr="00FD02F4">
        <w:t xml:space="preserve"> продолжить работу над этим предложением в рамках </w:t>
      </w:r>
      <w:proofErr w:type="spellStart"/>
      <w:r w:rsidRPr="00FD02F4">
        <w:t>НРГ</w:t>
      </w:r>
      <w:proofErr w:type="spellEnd"/>
      <w:r w:rsidRPr="00FD02F4">
        <w:t xml:space="preserve"> по </w:t>
      </w:r>
      <w:proofErr w:type="spellStart"/>
      <w:r w:rsidRPr="00FD02F4">
        <w:t>ДПУЗ</w:t>
      </w:r>
      <w:proofErr w:type="spellEnd"/>
      <w:r w:rsidRPr="00FD02F4">
        <w:t xml:space="preserve">, с тем чтобы представить официальный документ на следующей сессии </w:t>
      </w:r>
      <w:proofErr w:type="spellStart"/>
      <w:r w:rsidRPr="00FD02F4">
        <w:t>GRBP</w:t>
      </w:r>
      <w:proofErr w:type="spellEnd"/>
      <w:r w:rsidRPr="00FD02F4">
        <w:t xml:space="preserve">. </w:t>
      </w:r>
    </w:p>
    <w:p w14:paraId="65328EC5" w14:textId="77777777" w:rsidR="00FD02F4" w:rsidRPr="00FD02F4" w:rsidRDefault="00FD02F4" w:rsidP="00FD02F4">
      <w:pPr>
        <w:pStyle w:val="SingleTxtG"/>
      </w:pPr>
      <w:r w:rsidRPr="00FD02F4">
        <w:t>8.</w:t>
      </w:r>
      <w:r w:rsidRPr="00FD02F4">
        <w:tab/>
        <w:t xml:space="preserve">Эксперт от </w:t>
      </w:r>
      <w:proofErr w:type="spellStart"/>
      <w:r w:rsidRPr="00FD02F4">
        <w:t>ЕК</w:t>
      </w:r>
      <w:proofErr w:type="spellEnd"/>
      <w:r w:rsidRPr="00FD02F4">
        <w:t xml:space="preserve"> проинформировал </w:t>
      </w:r>
      <w:proofErr w:type="spellStart"/>
      <w:r w:rsidRPr="00FD02F4">
        <w:t>GRBP</w:t>
      </w:r>
      <w:proofErr w:type="spellEnd"/>
      <w:r w:rsidRPr="00FD02F4">
        <w:t xml:space="preserve"> об исследовании пределов уровня звука для транспортных средств категорий М и N, которое началось в декабре 2019 года и, как ожидается, будет завершено к июню 2021 года (GRBP-71-11). Цель исследования состояла в том, чтобы предложить усовершенствованные предельные уровни звука для следующих фаз Регламента </w:t>
      </w:r>
      <w:r>
        <w:t>№ </w:t>
      </w:r>
      <w:r w:rsidRPr="00FD02F4">
        <w:t xml:space="preserve">540/2014 Европейского союза в ближайшие годы. Эксперты от Германии, </w:t>
      </w:r>
      <w:proofErr w:type="spellStart"/>
      <w:r w:rsidRPr="00FD02F4">
        <w:t>ЕТОПОК</w:t>
      </w:r>
      <w:proofErr w:type="spellEnd"/>
      <w:r w:rsidRPr="00FD02F4">
        <w:t xml:space="preserve"> и </w:t>
      </w:r>
      <w:proofErr w:type="spellStart"/>
      <w:r w:rsidRPr="00FD02F4">
        <w:t>МОПАП</w:t>
      </w:r>
      <w:proofErr w:type="spellEnd"/>
      <w:r w:rsidRPr="00FD02F4">
        <w:t xml:space="preserve"> рекомендовали проводившему исследование подрядчику придерживаться целостного подхода и принимать во внимание различные факторы, влияющие на уровень звука, производимого транспортными средствами. </w:t>
      </w:r>
      <w:proofErr w:type="spellStart"/>
      <w:r w:rsidRPr="00FD02F4">
        <w:t>GRBP</w:t>
      </w:r>
      <w:proofErr w:type="spellEnd"/>
      <w:r w:rsidRPr="00FD02F4">
        <w:t xml:space="preserve"> предложила этим экспертам направить свои замечания подрядчику и просила эксперта от </w:t>
      </w:r>
      <w:proofErr w:type="spellStart"/>
      <w:r w:rsidRPr="00FD02F4">
        <w:t>ЕК</w:t>
      </w:r>
      <w:proofErr w:type="spellEnd"/>
      <w:r w:rsidRPr="00FD02F4">
        <w:t xml:space="preserve"> регулярно информировать </w:t>
      </w:r>
      <w:proofErr w:type="spellStart"/>
      <w:r w:rsidRPr="00FD02F4">
        <w:t>GRBP</w:t>
      </w:r>
      <w:proofErr w:type="spellEnd"/>
      <w:r w:rsidRPr="00FD02F4">
        <w:t xml:space="preserve"> о ходе исследования. Эксперт от Японии отметил, что его страна вскоре приступит к проведению аналогичного исследования и что рекомендации обоих исследований должны быть согласованы на международном уровне. </w:t>
      </w:r>
    </w:p>
    <w:p w14:paraId="5F9C0E6E" w14:textId="77777777" w:rsidR="00FD02F4" w:rsidRPr="00FD02F4" w:rsidRDefault="00FD02F4" w:rsidP="00FD02F4">
      <w:pPr>
        <w:pStyle w:val="SingleTxtG"/>
      </w:pPr>
      <w:r w:rsidRPr="00FD02F4">
        <w:t>9.</w:t>
      </w:r>
      <w:r w:rsidRPr="00FD02F4">
        <w:tab/>
        <w:t xml:space="preserve">Эксперт от </w:t>
      </w:r>
      <w:proofErr w:type="spellStart"/>
      <w:r w:rsidRPr="00FD02F4">
        <w:t>МОПАП</w:t>
      </w:r>
      <w:proofErr w:type="spellEnd"/>
      <w:r w:rsidRPr="00FD02F4">
        <w:t xml:space="preserve"> сообщил о ходе работы Целевой группы по неопределенностям измерений (</w:t>
      </w:r>
      <w:proofErr w:type="spellStart"/>
      <w:r w:rsidRPr="00FD02F4">
        <w:t>ЦГ</w:t>
      </w:r>
      <w:proofErr w:type="spellEnd"/>
      <w:r w:rsidRPr="00FD02F4">
        <w:t xml:space="preserve"> НИ) (GRBP-71-04) и представил стратегию учета неопределенностей при измерениях в правилах ООН (GRBP-71-21). </w:t>
      </w:r>
      <w:proofErr w:type="spellStart"/>
      <w:r w:rsidRPr="00FD02F4">
        <w:t>GRBP</w:t>
      </w:r>
      <w:proofErr w:type="spellEnd"/>
      <w:r w:rsidRPr="00FD02F4">
        <w:t xml:space="preserve"> отметила, что предложенный подход можно сначала применить к правилам </w:t>
      </w:r>
      <w:r>
        <w:t>№ </w:t>
      </w:r>
      <w:r w:rsidRPr="00FD02F4">
        <w:t>51 и 117 ООН, а</w:t>
      </w:r>
      <w:r w:rsidR="00AD23CC">
        <w:t> </w:t>
      </w:r>
      <w:r w:rsidRPr="00FD02F4">
        <w:t>на более позднем этапе</w:t>
      </w:r>
      <w:r w:rsidR="00576943">
        <w:t xml:space="preserve"> – </w:t>
      </w:r>
      <w:r w:rsidRPr="00FD02F4">
        <w:t xml:space="preserve">и к другим правилам ООН. </w:t>
      </w:r>
    </w:p>
    <w:p w14:paraId="00E27D43" w14:textId="77777777" w:rsidR="00FD02F4" w:rsidRPr="00FD02F4" w:rsidRDefault="00FD02F4" w:rsidP="00FD02F4">
      <w:pPr>
        <w:pStyle w:val="SingleTxtG"/>
        <w:rPr>
          <w:i/>
        </w:rPr>
      </w:pPr>
      <w:r w:rsidRPr="00FD02F4">
        <w:t>10.</w:t>
      </w:r>
      <w:r w:rsidRPr="00FD02F4">
        <w:tab/>
        <w:t xml:space="preserve">Учитывая важность этой темы, </w:t>
      </w:r>
      <w:proofErr w:type="spellStart"/>
      <w:r w:rsidRPr="00FD02F4">
        <w:t>GRBP</w:t>
      </w:r>
      <w:proofErr w:type="spellEnd"/>
      <w:r w:rsidRPr="00FD02F4">
        <w:t xml:space="preserve"> решила преобразовать </w:t>
      </w:r>
      <w:proofErr w:type="spellStart"/>
      <w:r w:rsidRPr="00FD02F4">
        <w:t>ЦГ</w:t>
      </w:r>
      <w:proofErr w:type="spellEnd"/>
      <w:r w:rsidRPr="00FD02F4">
        <w:t xml:space="preserve"> НИ в Неофициальную рабочую группу по неопределенностям измерений (</w:t>
      </w:r>
      <w:proofErr w:type="spellStart"/>
      <w:r w:rsidRPr="00FD02F4">
        <w:t>НРГ</w:t>
      </w:r>
      <w:proofErr w:type="spellEnd"/>
      <w:r w:rsidRPr="00FD02F4">
        <w:t xml:space="preserve"> НИ) и утвердила положения о круге ее ведения (GRBP-71-05, GRBP-71-31-Rev.1), представленные в приложении IV. </w:t>
      </w:r>
      <w:proofErr w:type="spellStart"/>
      <w:r w:rsidRPr="00FD02F4">
        <w:t>GRBP</w:t>
      </w:r>
      <w:proofErr w:type="spellEnd"/>
      <w:r w:rsidRPr="00FD02F4">
        <w:t xml:space="preserve"> отметила, что председателем </w:t>
      </w:r>
      <w:proofErr w:type="spellStart"/>
      <w:r w:rsidRPr="00FD02F4">
        <w:t>НРГ</w:t>
      </w:r>
      <w:proofErr w:type="spellEnd"/>
      <w:r w:rsidRPr="00FD02F4">
        <w:t xml:space="preserve"> НИ будет Норвегия, а </w:t>
      </w:r>
      <w:proofErr w:type="spellStart"/>
      <w:r w:rsidRPr="00FD02F4">
        <w:t>МОПАП</w:t>
      </w:r>
      <w:proofErr w:type="spellEnd"/>
      <w:r w:rsidRPr="00FD02F4">
        <w:t xml:space="preserve"> будет выполнять функции секретаря. </w:t>
      </w:r>
      <w:bookmarkStart w:id="3" w:name="_Hlk33174754"/>
      <w:bookmarkEnd w:id="3"/>
    </w:p>
    <w:p w14:paraId="0BEC2B04" w14:textId="77777777" w:rsidR="00FD02F4" w:rsidRPr="00FD02F4" w:rsidRDefault="00FD02F4" w:rsidP="00FD02F4">
      <w:pPr>
        <w:pStyle w:val="HChG"/>
      </w:pPr>
      <w:r w:rsidRPr="00FD02F4">
        <w:lastRenderedPageBreak/>
        <w:tab/>
        <w:t>V.</w:t>
      </w:r>
      <w:r w:rsidRPr="00FD02F4">
        <w:tab/>
        <w:t xml:space="preserve">Правила </w:t>
      </w:r>
      <w:r>
        <w:t>№ </w:t>
      </w:r>
      <w:r w:rsidRPr="00FD02F4">
        <w:t>138 ООН (бесшумные автотранспортные средства) (пункт 4 повестки дня)</w:t>
      </w:r>
    </w:p>
    <w:p w14:paraId="7E3AEA5A" w14:textId="77777777" w:rsidR="00FD02F4" w:rsidRPr="00FD02F4" w:rsidRDefault="00FD02F4" w:rsidP="00FD02F4">
      <w:pPr>
        <w:pStyle w:val="SingleTxtG"/>
        <w:keepNext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еофициальный документ GRBP-71-28-Rev.1</w:t>
      </w:r>
    </w:p>
    <w:p w14:paraId="353D895A" w14:textId="77777777" w:rsidR="00FD02F4" w:rsidRPr="00FD02F4" w:rsidRDefault="00FD02F4" w:rsidP="00FD02F4">
      <w:pPr>
        <w:pStyle w:val="SingleTxtG"/>
      </w:pPr>
      <w:r w:rsidRPr="00FD02F4">
        <w:t>11.</w:t>
      </w:r>
      <w:r w:rsidRPr="00FD02F4">
        <w:tab/>
        <w:t xml:space="preserve">Эксперт от Польши предложил разрешить проведение измерений в неподвижном состоянии на поверхностях, отличных от предусмотренных стандартом </w:t>
      </w:r>
      <w:proofErr w:type="spellStart"/>
      <w:r w:rsidRPr="00FD02F4">
        <w:t>ISO</w:t>
      </w:r>
      <w:proofErr w:type="spellEnd"/>
      <w:r w:rsidRPr="00FD02F4">
        <w:t xml:space="preserve"> 10844 (GRBP-71-28-Rev.1). </w:t>
      </w:r>
      <w:proofErr w:type="spellStart"/>
      <w:r w:rsidRPr="00FD02F4">
        <w:t>GRBP</w:t>
      </w:r>
      <w:proofErr w:type="spellEnd"/>
      <w:r w:rsidRPr="00FD02F4">
        <w:t xml:space="preserve"> приняла это предложение, содержащееся в приложении V, и поручила секретариату передать его WP.29 и AC.1 для рассмотрения и проведения голосования на их сессиях в июне 2020 года в качестве проекта дополнения 2 к поправкам серии 01 к Правилам </w:t>
      </w:r>
      <w:r>
        <w:t>№ </w:t>
      </w:r>
      <w:r w:rsidRPr="00FD02F4">
        <w:t>138 ООН.</w:t>
      </w:r>
    </w:p>
    <w:p w14:paraId="14CB0D4D" w14:textId="77777777" w:rsidR="00FD02F4" w:rsidRPr="00FD02F4" w:rsidRDefault="00FD02F4" w:rsidP="00FD02F4">
      <w:pPr>
        <w:pStyle w:val="HChG"/>
      </w:pPr>
      <w:r w:rsidRPr="00FD02F4">
        <w:tab/>
        <w:t>VI.</w:t>
      </w:r>
      <w:r w:rsidRPr="00FD02F4">
        <w:tab/>
      </w:r>
      <w:r w:rsidRPr="00FD02F4">
        <w:tab/>
        <w:t>Шины (пункт 5 повестки дня)</w:t>
      </w:r>
    </w:p>
    <w:p w14:paraId="4CCA0103" w14:textId="77777777" w:rsidR="00FD02F4" w:rsidRPr="00FD02F4" w:rsidRDefault="00FD02F4" w:rsidP="00FD02F4">
      <w:pPr>
        <w:pStyle w:val="H1G"/>
      </w:pPr>
      <w:r w:rsidRPr="00FD02F4">
        <w:tab/>
        <w:t>A.</w:t>
      </w:r>
      <w:r w:rsidRPr="00FD02F4">
        <w:tab/>
        <w:t xml:space="preserve">Правила </w:t>
      </w:r>
      <w:r>
        <w:t>№ </w:t>
      </w:r>
      <w:r w:rsidRPr="00FD02F4">
        <w:t xml:space="preserve">30 ООН (шины для легковых автомобилей </w:t>
      </w:r>
      <w:r>
        <w:br/>
      </w:r>
      <w:r w:rsidRPr="00FD02F4">
        <w:t>и их прицепов)</w:t>
      </w:r>
    </w:p>
    <w:p w14:paraId="7C95B936" w14:textId="77777777" w:rsidR="00FD02F4" w:rsidRPr="00FD02F4" w:rsidRDefault="00FD02F4" w:rsidP="00FD02F4">
      <w:pPr>
        <w:pStyle w:val="SingleTxtG"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/2020/3, </w:t>
      </w:r>
      <w:r>
        <w:br/>
      </w:r>
      <w:r w:rsidRPr="00FD02F4">
        <w:t xml:space="preserve">неофициальные документы GRBP-71-07, GRBP-71-08, </w:t>
      </w:r>
      <w:r>
        <w:br/>
      </w:r>
      <w:r w:rsidRPr="00FD02F4">
        <w:t>GRBP-71-30</w:t>
      </w:r>
    </w:p>
    <w:p w14:paraId="16EF46C1" w14:textId="77777777" w:rsidR="00FD02F4" w:rsidRPr="00FD02F4" w:rsidRDefault="00FD02F4" w:rsidP="00FD02F4">
      <w:pPr>
        <w:pStyle w:val="SingleTxtG"/>
      </w:pPr>
      <w:r w:rsidRPr="00FD02F4">
        <w:t>12.</w:t>
      </w:r>
      <w:r w:rsidRPr="00FD02F4">
        <w:tab/>
        <w:t xml:space="preserve">Эксперт от </w:t>
      </w:r>
      <w:proofErr w:type="spellStart"/>
      <w:r w:rsidR="00AD23CC">
        <w:t>ЕТОПОК</w:t>
      </w:r>
      <w:proofErr w:type="spellEnd"/>
      <w:r w:rsidRPr="00FD02F4">
        <w:t xml:space="preserve"> представил новое дополнение к Правилам </w:t>
      </w:r>
      <w:r>
        <w:t>№ </w:t>
      </w:r>
      <w:r w:rsidRPr="00FD02F4">
        <w:t>30 ООН и сопровождающее его переходное положение (пункт 11.4), в соответствии с которым обязательное применение этого дополнения откладывается на три месяца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/2020/3). В частности, он предложил исключить радиальные шины и шины, пригодные для использования в спущенном состоянии, из требований к размерам после проведения испытания на прочность в зависимости от нагрузки/скорости (GRBP-71-07). Различные эксперты высказали замечания по этому предложению и рекомендовали внести в него изменения (GRBP-71-30). </w:t>
      </w:r>
      <w:proofErr w:type="spellStart"/>
      <w:r w:rsidRPr="00FD02F4">
        <w:t>GRBP</w:t>
      </w:r>
      <w:proofErr w:type="spellEnd"/>
      <w:r w:rsidRPr="00FD02F4">
        <w:t xml:space="preserve"> приняла это предложение, содержащееся в приложении VI, и поручила секретариату передать его WP.29 и AC.1 для рассмотрения и проведения голосования на их сессиях в июне 2020 года в качестве проекта дополнения 22 к поправкам серии 02 к Правилам </w:t>
      </w:r>
      <w:r>
        <w:t>№ </w:t>
      </w:r>
      <w:r w:rsidRPr="00FD02F4">
        <w:t xml:space="preserve">30 ООН. </w:t>
      </w:r>
    </w:p>
    <w:p w14:paraId="747A1095" w14:textId="77777777" w:rsidR="00FD02F4" w:rsidRPr="00FD02F4" w:rsidRDefault="00FD02F4" w:rsidP="00FD02F4">
      <w:pPr>
        <w:pStyle w:val="SingleTxtG"/>
      </w:pPr>
      <w:r w:rsidRPr="00FD02F4">
        <w:t>13.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отметила, что принятое переходное положение 11.4 не противоречит Руководящим принципам WP.29, касающимся регламентирующих процедур и переходных положений в правилах ООН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 xml:space="preserve">/WP.29/1044/Rev.2). В то же время несколько экспертов </w:t>
      </w:r>
      <w:proofErr w:type="spellStart"/>
      <w:r w:rsidRPr="00FD02F4">
        <w:t>GRBP</w:t>
      </w:r>
      <w:proofErr w:type="spellEnd"/>
      <w:r w:rsidRPr="00FD02F4">
        <w:t xml:space="preserve"> выразили обеспокоенность по поводу обоснования, приведенного </w:t>
      </w:r>
      <w:proofErr w:type="spellStart"/>
      <w:r w:rsidRPr="00FD02F4">
        <w:t>ЕТОПОК</w:t>
      </w:r>
      <w:proofErr w:type="spellEnd"/>
      <w:r w:rsidRPr="00FD02F4">
        <w:t xml:space="preserve"> в отношении этого положения, которое заключается в задержках с направлением Управлением Организации Объединенных Наций по правовым вопросам (</w:t>
      </w:r>
      <w:proofErr w:type="spellStart"/>
      <w:r w:rsidRPr="00FD02F4">
        <w:t>УПВ</w:t>
      </w:r>
      <w:proofErr w:type="spellEnd"/>
      <w:r w:rsidRPr="00FD02F4">
        <w:t xml:space="preserve">) депозитарных уведомлений о вступлении в силу поправок к Правилам ООН. </w:t>
      </w:r>
      <w:proofErr w:type="spellStart"/>
      <w:r w:rsidRPr="00FD02F4">
        <w:t>GRBP</w:t>
      </w:r>
      <w:proofErr w:type="spellEnd"/>
      <w:r w:rsidRPr="00FD02F4">
        <w:t xml:space="preserve"> сочла, что это общая проблема, затрагивающая все правила ООН, а также другие рабочие группы WP.29. В этой связи </w:t>
      </w:r>
      <w:proofErr w:type="spellStart"/>
      <w:r w:rsidRPr="00FD02F4">
        <w:t>GRBP</w:t>
      </w:r>
      <w:proofErr w:type="spellEnd"/>
      <w:r w:rsidRPr="00FD02F4">
        <w:t xml:space="preserve"> поручила Председателю поднять этот вопрос на следующей сессии Административного комитета по координации работы (АС.2). </w:t>
      </w:r>
    </w:p>
    <w:p w14:paraId="09DB265C" w14:textId="77777777" w:rsidR="00FD02F4" w:rsidRPr="00FD02F4" w:rsidRDefault="00FD02F4" w:rsidP="00FD02F4">
      <w:pPr>
        <w:pStyle w:val="SingleTxtG"/>
      </w:pPr>
      <w:r w:rsidRPr="00FD02F4">
        <w:t>14.</w:t>
      </w:r>
      <w:r w:rsidRPr="00FD02F4">
        <w:tab/>
        <w:t xml:space="preserve">Эксперт от </w:t>
      </w:r>
      <w:proofErr w:type="spellStart"/>
      <w:r w:rsidRPr="00FD02F4">
        <w:t>ЕТОПОК</w:t>
      </w:r>
      <w:proofErr w:type="spellEnd"/>
      <w:r w:rsidRPr="00FD02F4">
        <w:t xml:space="preserve"> предложил изменить метод маркировки шин в правилах ООН (GRBP-71-08). После краткого обсуждения Председатель предложил </w:t>
      </w:r>
      <w:proofErr w:type="spellStart"/>
      <w:r w:rsidRPr="00FD02F4">
        <w:t>ЕТОПОК</w:t>
      </w:r>
      <w:proofErr w:type="spellEnd"/>
      <w:r w:rsidRPr="00FD02F4">
        <w:t xml:space="preserve"> представить официальный документ к следующей сессии. </w:t>
      </w:r>
    </w:p>
    <w:p w14:paraId="375B3F36" w14:textId="77777777" w:rsidR="00FD02F4" w:rsidRPr="00FD02F4" w:rsidRDefault="00FD02F4" w:rsidP="00FD02F4">
      <w:pPr>
        <w:pStyle w:val="H1G"/>
      </w:pPr>
      <w:r w:rsidRPr="00FD02F4">
        <w:tab/>
        <w:t>B.</w:t>
      </w:r>
      <w:r w:rsidRPr="00FD02F4">
        <w:tab/>
        <w:t xml:space="preserve">Правила </w:t>
      </w:r>
      <w:r>
        <w:t>№ </w:t>
      </w:r>
      <w:r w:rsidRPr="00FD02F4">
        <w:t xml:space="preserve">108 ООН (шины с восстановленным протектором </w:t>
      </w:r>
      <w:r>
        <w:br/>
      </w:r>
      <w:r w:rsidRPr="00FD02F4">
        <w:t>для легковых автомобилей и их прицепов)</w:t>
      </w:r>
    </w:p>
    <w:p w14:paraId="4294BF67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>/2019/16</w:t>
      </w:r>
    </w:p>
    <w:p w14:paraId="5F7FA284" w14:textId="77777777" w:rsidR="00FD02F4" w:rsidRPr="00FD02F4" w:rsidRDefault="00FD02F4" w:rsidP="00FD02F4">
      <w:pPr>
        <w:pStyle w:val="SingleTxtG"/>
      </w:pPr>
      <w:r w:rsidRPr="00FD02F4">
        <w:t>15.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вернулась к отложенному предложению по подлежащим испытанию шинам с восстановленным протектором, на которые наносится маркировка в виде трехглавой горной вершины со снежинкой (3PMSF), представленное экспертами от </w:t>
      </w:r>
      <w:proofErr w:type="spellStart"/>
      <w:r w:rsidRPr="00FD02F4">
        <w:t>БИПАВЕР</w:t>
      </w:r>
      <w:proofErr w:type="spellEnd"/>
      <w:r w:rsidRPr="00FD02F4">
        <w:t xml:space="preserve">. </w:t>
      </w:r>
      <w:proofErr w:type="spellStart"/>
      <w:r w:rsidRPr="00FD02F4">
        <w:t>GRBP</w:t>
      </w:r>
      <w:proofErr w:type="spellEnd"/>
      <w:r w:rsidRPr="00FD02F4">
        <w:t xml:space="preserve"> приняла этот документ и поручила секретариату представить его </w:t>
      </w:r>
      <w:r w:rsidRPr="00FD02F4">
        <w:lastRenderedPageBreak/>
        <w:t>WP.29 и AC.1 для рассмотрения и проведения голосования на их сессиях в июне 2020</w:t>
      </w:r>
      <w:r w:rsidR="00AD23CC">
        <w:t> </w:t>
      </w:r>
      <w:r w:rsidRPr="00FD02F4">
        <w:t xml:space="preserve">года в качестве дополнения 5 к Правилам </w:t>
      </w:r>
      <w:r>
        <w:t>№ </w:t>
      </w:r>
      <w:r w:rsidRPr="00FD02F4">
        <w:t>108 ООН.</w:t>
      </w:r>
      <w:bookmarkStart w:id="4" w:name="_Hlk32854030"/>
    </w:p>
    <w:bookmarkEnd w:id="4"/>
    <w:p w14:paraId="3E8A8276" w14:textId="77777777" w:rsidR="00FD02F4" w:rsidRPr="00FD02F4" w:rsidRDefault="00FD02F4" w:rsidP="00FD02F4">
      <w:pPr>
        <w:pStyle w:val="H1G"/>
      </w:pPr>
      <w:r w:rsidRPr="00FD02F4">
        <w:tab/>
        <w:t>C.</w:t>
      </w:r>
      <w:r w:rsidRPr="00FD02F4">
        <w:tab/>
        <w:t xml:space="preserve">Правила </w:t>
      </w:r>
      <w:r>
        <w:t>№ </w:t>
      </w:r>
      <w:r w:rsidRPr="00FD02F4">
        <w:t xml:space="preserve">109 ООН (шины с восстановленным протектором </w:t>
      </w:r>
      <w:r>
        <w:br/>
      </w:r>
      <w:r w:rsidRPr="00FD02F4">
        <w:t xml:space="preserve">для транспортных средств неиндивидуального пользования </w:t>
      </w:r>
      <w:r>
        <w:br/>
      </w:r>
      <w:r w:rsidRPr="00FD02F4">
        <w:t>и их прицепов)</w:t>
      </w:r>
    </w:p>
    <w:p w14:paraId="62BBC0E8" w14:textId="77777777" w:rsidR="00FD02F4" w:rsidRPr="00FD02F4" w:rsidRDefault="00FD02F4" w:rsidP="00FD02F4">
      <w:pPr>
        <w:pStyle w:val="SingleTxtG"/>
        <w:ind w:left="2835" w:hanging="1701"/>
        <w:rPr>
          <w:lang w:val="en-US"/>
        </w:rPr>
      </w:pPr>
      <w:r w:rsidRPr="00FD02F4">
        <w:rPr>
          <w:i/>
          <w:iCs/>
        </w:rPr>
        <w:t>Документация</w:t>
      </w:r>
      <w:r w:rsidRPr="00FD02F4">
        <w:rPr>
          <w:i/>
          <w:iCs/>
          <w:lang w:val="en-US"/>
        </w:rPr>
        <w:t>:</w:t>
      </w:r>
      <w:r w:rsidRPr="00FD02F4">
        <w:rPr>
          <w:lang w:val="en-US"/>
        </w:rPr>
        <w:tab/>
      </w:r>
      <w:proofErr w:type="spellStart"/>
      <w:r w:rsidRPr="00FD02F4">
        <w:rPr>
          <w:lang w:val="en-US"/>
        </w:rPr>
        <w:t>ECE</w:t>
      </w:r>
      <w:proofErr w:type="spellEnd"/>
      <w:r w:rsidRPr="00FD02F4">
        <w:rPr>
          <w:lang w:val="en-US"/>
        </w:rPr>
        <w:t>/TRANS/WP.29/</w:t>
      </w:r>
      <w:proofErr w:type="spellStart"/>
      <w:r w:rsidRPr="00FD02F4">
        <w:rPr>
          <w:lang w:val="en-US"/>
        </w:rPr>
        <w:t>GRBP</w:t>
      </w:r>
      <w:proofErr w:type="spellEnd"/>
      <w:r w:rsidRPr="00FD02F4">
        <w:rPr>
          <w:lang w:val="en-US"/>
        </w:rPr>
        <w:t xml:space="preserve">/2020/4, </w:t>
      </w:r>
      <w:proofErr w:type="spellStart"/>
      <w:r w:rsidRPr="00FD02F4">
        <w:rPr>
          <w:lang w:val="en-US"/>
        </w:rPr>
        <w:t>ECE</w:t>
      </w:r>
      <w:proofErr w:type="spellEnd"/>
      <w:r w:rsidRPr="00FD02F4">
        <w:rPr>
          <w:lang w:val="en-US"/>
        </w:rPr>
        <w:t>/TRANS/WP.29/</w:t>
      </w:r>
      <w:proofErr w:type="spellStart"/>
      <w:r w:rsidRPr="00FD02F4">
        <w:rPr>
          <w:lang w:val="en-US"/>
        </w:rPr>
        <w:t>GRBP</w:t>
      </w:r>
      <w:proofErr w:type="spellEnd"/>
      <w:r w:rsidRPr="00FD02F4">
        <w:rPr>
          <w:lang w:val="en-US"/>
        </w:rPr>
        <w:t>/2020/5</w:t>
      </w:r>
    </w:p>
    <w:p w14:paraId="57E46E87" w14:textId="77777777" w:rsidR="00FD02F4" w:rsidRPr="00FD02F4" w:rsidRDefault="00FD02F4" w:rsidP="00FD02F4">
      <w:pPr>
        <w:pStyle w:val="SingleTxtG"/>
      </w:pPr>
      <w:r w:rsidRPr="00FD02F4">
        <w:t>16.</w:t>
      </w:r>
      <w:r w:rsidRPr="00FD02F4">
        <w:tab/>
        <w:t xml:space="preserve">Эксперт от </w:t>
      </w:r>
      <w:proofErr w:type="spellStart"/>
      <w:r w:rsidRPr="00FD02F4">
        <w:t>БИПАВЕР</w:t>
      </w:r>
      <w:proofErr w:type="spellEnd"/>
      <w:r w:rsidRPr="00FD02F4">
        <w:t xml:space="preserve"> предложил вернуть несколько предложений, которые были по ошибке исключены из документов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GRRF</w:t>
      </w:r>
      <w:proofErr w:type="spellEnd"/>
      <w:r w:rsidRPr="00FD02F4">
        <w:t xml:space="preserve">/2016/40 и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/WP.29/2017/9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/2020/4). </w:t>
      </w:r>
      <w:proofErr w:type="spellStart"/>
      <w:r w:rsidRPr="00FD02F4">
        <w:t>GRBP</w:t>
      </w:r>
      <w:proofErr w:type="spellEnd"/>
      <w:r w:rsidRPr="00FD02F4">
        <w:t xml:space="preserve"> приняла это исправление и поручила секретариату представить его WP.29 и AC.1 для рассмотрения и проведения голосования на их сессиях в июне 2020 года в качестве дополнения 10 к Правилам </w:t>
      </w:r>
      <w:r>
        <w:t>№ </w:t>
      </w:r>
      <w:r w:rsidRPr="00FD02F4">
        <w:t>109 ООН.</w:t>
      </w:r>
    </w:p>
    <w:p w14:paraId="7171209C" w14:textId="77777777" w:rsidR="00FD02F4" w:rsidRPr="00FD02F4" w:rsidRDefault="00FD02F4" w:rsidP="00FD02F4">
      <w:pPr>
        <w:pStyle w:val="SingleTxtG"/>
      </w:pPr>
      <w:r w:rsidRPr="00FD02F4">
        <w:t>17.</w:t>
      </w:r>
      <w:r w:rsidRPr="00FD02F4">
        <w:tab/>
        <w:t xml:space="preserve">Эксперт от </w:t>
      </w:r>
      <w:proofErr w:type="spellStart"/>
      <w:r w:rsidRPr="00FD02F4">
        <w:t>БИПАВЕР</w:t>
      </w:r>
      <w:proofErr w:type="spellEnd"/>
      <w:r w:rsidRPr="00FD02F4">
        <w:t xml:space="preserve"> представил предложение о согласовании положений, касающихся шин с восстановленным протектором с нанесенной маркировкой в виде трехглавой горной вершины со снежинкой (3PMSF), с ранее принятыми предложениями по поправкам к Правилам </w:t>
      </w:r>
      <w:r>
        <w:t>№ </w:t>
      </w:r>
      <w:r w:rsidRPr="00FD02F4">
        <w:t>117 ООН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r>
        <w:t xml:space="preserve"> </w:t>
      </w:r>
      <w:proofErr w:type="spellStart"/>
      <w:r w:rsidRPr="00FD02F4">
        <w:t>GRBP</w:t>
      </w:r>
      <w:proofErr w:type="spellEnd"/>
      <w:r w:rsidRPr="00FD02F4">
        <w:t xml:space="preserve">/2020/5). </w:t>
      </w:r>
      <w:proofErr w:type="spellStart"/>
      <w:r w:rsidRPr="00FD02F4">
        <w:t>GRBP</w:t>
      </w:r>
      <w:proofErr w:type="spellEnd"/>
      <w:r w:rsidRPr="00FD02F4">
        <w:t xml:space="preserve"> приняла этот документ и поручила секретариату представить его WP.29 и AC.1 для рассмотрения и проведения голосования на их сессиях в июне 2020</w:t>
      </w:r>
      <w:r>
        <w:t> </w:t>
      </w:r>
      <w:r w:rsidRPr="00FD02F4">
        <w:t xml:space="preserve">года в качестве части дополнения 10 к Правилам </w:t>
      </w:r>
      <w:r>
        <w:t>№ </w:t>
      </w:r>
      <w:r w:rsidRPr="00FD02F4">
        <w:t>109 ООН.</w:t>
      </w:r>
    </w:p>
    <w:p w14:paraId="1BFCEC45" w14:textId="77777777" w:rsidR="00FD02F4" w:rsidRPr="00FD02F4" w:rsidRDefault="00FD02F4" w:rsidP="00FD02F4">
      <w:pPr>
        <w:pStyle w:val="H1G"/>
      </w:pPr>
      <w:r w:rsidRPr="00FD02F4">
        <w:tab/>
        <w:t>D.</w:t>
      </w:r>
      <w:r w:rsidRPr="00FD02F4">
        <w:tab/>
        <w:t xml:space="preserve">Правила </w:t>
      </w:r>
      <w:r>
        <w:t>№ </w:t>
      </w:r>
      <w:r w:rsidRPr="00FD02F4">
        <w:t>117 ООН (сопротивление шин качению, шум, издаваемый шинами при качении, и их сцепление на мокрой поверхности)</w:t>
      </w:r>
    </w:p>
    <w:p w14:paraId="5100E69C" w14:textId="77777777" w:rsidR="00FD02F4" w:rsidRPr="00FD02F4" w:rsidRDefault="00FD02F4" w:rsidP="00FD02F4">
      <w:pPr>
        <w:pStyle w:val="SingleTxtG"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/2019/14,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GRVA</w:t>
      </w:r>
      <w:proofErr w:type="spellEnd"/>
      <w:r w:rsidRPr="00FD02F4">
        <w:t xml:space="preserve">/2020/6, </w:t>
      </w:r>
      <w:r>
        <w:br/>
      </w:r>
      <w:r w:rsidRPr="00FD02F4">
        <w:t xml:space="preserve">неофициальные документы GRBP-71-06, GRBP-71-20, </w:t>
      </w:r>
      <w:r>
        <w:br/>
      </w:r>
      <w:r w:rsidRPr="00FD02F4">
        <w:t xml:space="preserve">GRBP-71-23, GRBP-71-26, GRBP-71-29 </w:t>
      </w:r>
    </w:p>
    <w:p w14:paraId="2A9BDCD1" w14:textId="77777777" w:rsidR="00FD02F4" w:rsidRPr="00FD02F4" w:rsidRDefault="00FD02F4" w:rsidP="00FD02F4">
      <w:pPr>
        <w:pStyle w:val="SingleTxtG"/>
      </w:pPr>
      <w:r w:rsidRPr="00FD02F4">
        <w:t>18.</w:t>
      </w:r>
      <w:r w:rsidRPr="00FD02F4">
        <w:tab/>
        <w:t xml:space="preserve">Эксперт от </w:t>
      </w:r>
      <w:proofErr w:type="spellStart"/>
      <w:r w:rsidRPr="00FD02F4">
        <w:t>ЕТОПОК</w:t>
      </w:r>
      <w:proofErr w:type="spellEnd"/>
      <w:r w:rsidRPr="00FD02F4">
        <w:t xml:space="preserve"> сообщил, что в 2020</w:t>
      </w:r>
      <w:r w:rsidR="00AD23CC">
        <w:t>−</w:t>
      </w:r>
      <w:r w:rsidRPr="00FD02F4">
        <w:t>2021 годах Американское общество по испытаниям и материалам (АСТМ) постепенно прекратит использование стандартной эталонной испытательной шины СЭИШ14 (</w:t>
      </w:r>
      <w:proofErr w:type="spellStart"/>
      <w:r w:rsidRPr="00FD02F4">
        <w:t>ASTM</w:t>
      </w:r>
      <w:proofErr w:type="spellEnd"/>
      <w:r w:rsidRPr="00FD02F4">
        <w:t xml:space="preserve"> E1136), на которую была сделана ссылка в правилах </w:t>
      </w:r>
      <w:r>
        <w:t>№ </w:t>
      </w:r>
      <w:r w:rsidRPr="00FD02F4">
        <w:t>108 и 117 ООН (GRBP-71-06). Поэтому ее упоминания необходимо будет заменить ссылками на шину СЭИШ16 (</w:t>
      </w:r>
      <w:proofErr w:type="spellStart"/>
      <w:r w:rsidRPr="00FD02F4">
        <w:t>ASTM</w:t>
      </w:r>
      <w:proofErr w:type="spellEnd"/>
      <w:r w:rsidRPr="00FD02F4">
        <w:t xml:space="preserve"> F2493) и соответствующим образом откорректировать процедуру испытания. Председатель предложил </w:t>
      </w:r>
      <w:proofErr w:type="spellStart"/>
      <w:r w:rsidRPr="00FD02F4">
        <w:t>ЕТОПОК</w:t>
      </w:r>
      <w:proofErr w:type="spellEnd"/>
      <w:r w:rsidRPr="00FD02F4">
        <w:t xml:space="preserve"> представить официальный документ с проектами поправок к Правилам </w:t>
      </w:r>
      <w:r>
        <w:t>№ </w:t>
      </w:r>
      <w:r w:rsidRPr="00FD02F4">
        <w:t xml:space="preserve">117 ООН для рассмотрения на следующей сессии. Эксперт от </w:t>
      </w:r>
      <w:proofErr w:type="spellStart"/>
      <w:r w:rsidRPr="00FD02F4">
        <w:t>БИПАВЕР</w:t>
      </w:r>
      <w:proofErr w:type="spellEnd"/>
      <w:r w:rsidRPr="00FD02F4">
        <w:t xml:space="preserve"> вызвался сотрудничать с </w:t>
      </w:r>
      <w:proofErr w:type="spellStart"/>
      <w:r w:rsidRPr="00FD02F4">
        <w:t>ЕТОПОК</w:t>
      </w:r>
      <w:proofErr w:type="spellEnd"/>
      <w:r w:rsidRPr="00FD02F4">
        <w:t xml:space="preserve"> с целью подготовки аналогичных поправок к Правилам </w:t>
      </w:r>
      <w:r>
        <w:t>№ </w:t>
      </w:r>
      <w:r w:rsidRPr="00FD02F4">
        <w:t xml:space="preserve">108 ООН. </w:t>
      </w:r>
    </w:p>
    <w:p w14:paraId="38731837" w14:textId="77777777" w:rsidR="00FD02F4" w:rsidRPr="00FD02F4" w:rsidRDefault="00FD02F4" w:rsidP="00FD02F4">
      <w:pPr>
        <w:pStyle w:val="SingleTxtG"/>
      </w:pPr>
      <w:r w:rsidRPr="00FD02F4">
        <w:t>19.</w:t>
      </w:r>
      <w:r w:rsidRPr="00FD02F4">
        <w:tab/>
        <w:t>От имени Группы заинтересованных экспертов по положениям, касающимся зимних шин (</w:t>
      </w:r>
      <w:proofErr w:type="spellStart"/>
      <w:r w:rsidRPr="00FD02F4">
        <w:t>ГЗИ</w:t>
      </w:r>
      <w:proofErr w:type="spellEnd"/>
      <w:r w:rsidRPr="00FD02F4">
        <w:t>)</w:t>
      </w:r>
      <w:r w:rsidR="00AD23CC" w:rsidRPr="00FD02F4">
        <w:t>,</w:t>
      </w:r>
      <w:r w:rsidRPr="00FD02F4">
        <w:t xml:space="preserve"> эксперт от Германии сообщил о достигнутом прогрессе (GRBP</w:t>
      </w:r>
      <w:r>
        <w:noBreakHyphen/>
      </w:r>
      <w:r w:rsidRPr="00FD02F4">
        <w:t>71</w:t>
      </w:r>
      <w:r>
        <w:noBreakHyphen/>
      </w:r>
      <w:r w:rsidRPr="00FD02F4">
        <w:t xml:space="preserve">20). В частности, он предложил учредить новую целевую группу по </w:t>
      </w:r>
      <w:proofErr w:type="spellStart"/>
      <w:r w:rsidRPr="00FD02F4">
        <w:t>ошипованным</w:t>
      </w:r>
      <w:proofErr w:type="spellEnd"/>
      <w:r w:rsidRPr="00FD02F4">
        <w:t xml:space="preserve"> шинам с целью разработки проекта новых правил ООН об официальном утверждении </w:t>
      </w:r>
      <w:proofErr w:type="spellStart"/>
      <w:r w:rsidRPr="00FD02F4">
        <w:t>ошипованных</w:t>
      </w:r>
      <w:proofErr w:type="spellEnd"/>
      <w:r w:rsidRPr="00FD02F4">
        <w:t xml:space="preserve"> шин в отношении их характеристик на снегу. </w:t>
      </w:r>
      <w:proofErr w:type="spellStart"/>
      <w:r w:rsidRPr="00FD02F4">
        <w:t>GRBP</w:t>
      </w:r>
      <w:proofErr w:type="spellEnd"/>
      <w:r w:rsidRPr="00FD02F4">
        <w:t xml:space="preserve"> одобрила это предложение и отметила, что функции Председателя и Секретаря целевой группы будут выполняться экспертами от Финляндии и, соответственно, </w:t>
      </w:r>
      <w:proofErr w:type="spellStart"/>
      <w:r w:rsidRPr="00FD02F4">
        <w:t>ЕТОПОК</w:t>
      </w:r>
      <w:proofErr w:type="spellEnd"/>
      <w:r w:rsidRPr="00FD02F4">
        <w:t>.</w:t>
      </w:r>
    </w:p>
    <w:p w14:paraId="3274CB1A" w14:textId="77777777" w:rsidR="00FD02F4" w:rsidRPr="00FD02F4" w:rsidRDefault="00FD02F4" w:rsidP="00FD02F4">
      <w:pPr>
        <w:pStyle w:val="SingleTxtG"/>
      </w:pPr>
      <w:r w:rsidRPr="00FD02F4">
        <w:t>20.</w:t>
      </w:r>
      <w:r w:rsidRPr="00FD02F4">
        <w:tab/>
        <w:t xml:space="preserve">С дополнительными пояснениями </w:t>
      </w:r>
      <w:proofErr w:type="spellStart"/>
      <w:r w:rsidRPr="00FD02F4">
        <w:t>ГЗИ</w:t>
      </w:r>
      <w:proofErr w:type="spellEnd"/>
      <w:r w:rsidRPr="00FD02F4">
        <w:t xml:space="preserve"> (GRBP-71-26) </w:t>
      </w:r>
      <w:proofErr w:type="spellStart"/>
      <w:r w:rsidRPr="00FD02F4">
        <w:t>GRBP</w:t>
      </w:r>
      <w:proofErr w:type="spellEnd"/>
      <w:r w:rsidRPr="00FD02F4">
        <w:t xml:space="preserve"> возобновила обсуждение нового класса шин специального назначения, предназначенных для использования в суровых снежных условиях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/2019/14). </w:t>
      </w:r>
      <w:proofErr w:type="spellStart"/>
      <w:r w:rsidRPr="00FD02F4">
        <w:t>GRBP</w:t>
      </w:r>
      <w:proofErr w:type="spellEnd"/>
      <w:r w:rsidRPr="00FD02F4">
        <w:t xml:space="preserve"> отметила, что шины предлагаемого нового класса будут отличаться более высокими характеристиками безопасности движения в суровых снежных условиях при незначительном увеличении шума, производимого при качении. Эксперты от </w:t>
      </w:r>
      <w:r w:rsidRPr="00FD02F4">
        <w:lastRenderedPageBreak/>
        <w:t xml:space="preserve">Германии, Нидерландов и Российской Федерации поддержали это предложение. Эксперт от </w:t>
      </w:r>
      <w:proofErr w:type="spellStart"/>
      <w:r w:rsidRPr="00FD02F4">
        <w:t>ЕК</w:t>
      </w:r>
      <w:proofErr w:type="spellEnd"/>
      <w:r w:rsidRPr="00FD02F4">
        <w:t xml:space="preserve"> не смог согласиться с этим предложением в связи с предполагаемым повышением предельных уровней шума, что потребовало бы внесения изменений в законодательство Европейского союза. </w:t>
      </w:r>
      <w:proofErr w:type="spellStart"/>
      <w:r w:rsidRPr="00FD02F4">
        <w:t>GRBP</w:t>
      </w:r>
      <w:proofErr w:type="spellEnd"/>
      <w:r w:rsidRPr="00FD02F4">
        <w:t xml:space="preserve"> решила вернуться к этому вопросу на следующей сессии. </w:t>
      </w:r>
    </w:p>
    <w:p w14:paraId="45A0651C" w14:textId="77777777" w:rsidR="00FD02F4" w:rsidRPr="00FD02F4" w:rsidRDefault="00FD02F4" w:rsidP="00FD02F4">
      <w:pPr>
        <w:pStyle w:val="SingleTxtG"/>
      </w:pPr>
      <w:r w:rsidRPr="00FD02F4">
        <w:t>21.</w:t>
      </w:r>
      <w:r w:rsidRPr="00FD02F4">
        <w:tab/>
        <w:t>Эксперт от Японии внес поправку, касающуюся уникальных легких грузовых автомобилей, имеющихся на японском рынке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GRVA</w:t>
      </w:r>
      <w:proofErr w:type="spellEnd"/>
      <w:r w:rsidRPr="00FD02F4">
        <w:t xml:space="preserve">/2020/6). Эксперт от </w:t>
      </w:r>
      <w:proofErr w:type="spellStart"/>
      <w:r w:rsidRPr="00FD02F4">
        <w:t>ЕТОПОК</w:t>
      </w:r>
      <w:proofErr w:type="spellEnd"/>
      <w:r w:rsidRPr="00FD02F4">
        <w:t xml:space="preserve"> предложил незначительную модификацию (GRBP-71-29). </w:t>
      </w:r>
      <w:proofErr w:type="spellStart"/>
      <w:r w:rsidRPr="00FD02F4">
        <w:t>GRBP</w:t>
      </w:r>
      <w:proofErr w:type="spellEnd"/>
      <w:r w:rsidRPr="00FD02F4">
        <w:t xml:space="preserve"> приняла это предложение, содержащееся в приложении VII, и поручила секретариату передать его WP.29 и AC.1 для рассмотрения и проведения голосования на их сессиях в июне 2020 года в качестве дополнения 12 к поправкам серии 02 к Правилам </w:t>
      </w:r>
      <w:r>
        <w:t>№ </w:t>
      </w:r>
      <w:r w:rsidRPr="00FD02F4">
        <w:t>117 ООН.</w:t>
      </w:r>
    </w:p>
    <w:p w14:paraId="3553B3A5" w14:textId="77777777" w:rsidR="00FD02F4" w:rsidRPr="00FD02F4" w:rsidRDefault="00FD02F4" w:rsidP="00FD02F4">
      <w:pPr>
        <w:pStyle w:val="SingleTxtG"/>
      </w:pPr>
      <w:r w:rsidRPr="00FD02F4">
        <w:t>22.</w:t>
      </w:r>
      <w:r w:rsidRPr="00FD02F4">
        <w:tab/>
        <w:t xml:space="preserve">Эксперт от Франции в качестве Председателя </w:t>
      </w:r>
      <w:proofErr w:type="spellStart"/>
      <w:r w:rsidRPr="00FD02F4">
        <w:t>НРГ</w:t>
      </w:r>
      <w:proofErr w:type="spellEnd"/>
      <w:r w:rsidRPr="00FD02F4">
        <w:t xml:space="preserve"> по характеристикам сцепления изношенных шин на мокрой поверхности (</w:t>
      </w:r>
      <w:proofErr w:type="spellStart"/>
      <w:r w:rsidRPr="00FD02F4">
        <w:t>НРГ</w:t>
      </w:r>
      <w:proofErr w:type="spellEnd"/>
      <w:r w:rsidRPr="00FD02F4">
        <w:t xml:space="preserve"> по </w:t>
      </w:r>
      <w:proofErr w:type="spellStart"/>
      <w:r w:rsidRPr="00FD02F4">
        <w:t>ХСИШМ</w:t>
      </w:r>
      <w:proofErr w:type="spellEnd"/>
      <w:r w:rsidRPr="00FD02F4">
        <w:t xml:space="preserve">) сообщила о ходе работы в этой области (GRBP-71-23). Она отметила, что цель работы </w:t>
      </w:r>
      <w:proofErr w:type="spellStart"/>
      <w:r w:rsidRPr="00FD02F4">
        <w:t>НРГ</w:t>
      </w:r>
      <w:proofErr w:type="spellEnd"/>
      <w:r w:rsidRPr="00FD02F4">
        <w:t xml:space="preserve"> по </w:t>
      </w:r>
      <w:proofErr w:type="spellStart"/>
      <w:r w:rsidRPr="00FD02F4">
        <w:t>ХСИШМ</w:t>
      </w:r>
      <w:proofErr w:type="spellEnd"/>
      <w:r w:rsidRPr="00FD02F4">
        <w:t xml:space="preserve"> заключается в том, чтобы подготовить неофициальный документ к семьдесят второй сессии </w:t>
      </w:r>
      <w:proofErr w:type="spellStart"/>
      <w:r w:rsidRPr="00FD02F4">
        <w:t>GRBP</w:t>
      </w:r>
      <w:proofErr w:type="spellEnd"/>
      <w:r w:rsidRPr="00FD02F4">
        <w:t xml:space="preserve"> в сентябре 2020 года и официальный документ</w:t>
      </w:r>
      <w:r w:rsidR="00576943">
        <w:t xml:space="preserve"> – </w:t>
      </w:r>
      <w:r w:rsidRPr="00FD02F4">
        <w:t>к</w:t>
      </w:r>
      <w:r w:rsidR="000C2274">
        <w:rPr>
          <w:lang w:val="en-US"/>
        </w:rPr>
        <w:t> </w:t>
      </w:r>
      <w:r w:rsidRPr="00FD02F4">
        <w:t xml:space="preserve">семьдесят третьей сессии </w:t>
      </w:r>
      <w:proofErr w:type="spellStart"/>
      <w:r w:rsidRPr="00FD02F4">
        <w:t>GRBP</w:t>
      </w:r>
      <w:proofErr w:type="spellEnd"/>
      <w:r w:rsidRPr="00FD02F4">
        <w:t xml:space="preserve"> в январе 2021 года.</w:t>
      </w:r>
    </w:p>
    <w:p w14:paraId="671F9DED" w14:textId="77777777" w:rsidR="00FD02F4" w:rsidRPr="00FD02F4" w:rsidRDefault="00FD02F4" w:rsidP="00FD02F4">
      <w:pPr>
        <w:pStyle w:val="HChG"/>
      </w:pPr>
      <w:r w:rsidRPr="00FD02F4">
        <w:tab/>
        <w:t>VII.</w:t>
      </w:r>
      <w:r w:rsidRPr="00FD02F4">
        <w:tab/>
        <w:t>Проект правил ООН, касающихся сигнализации заднего хода (пункт 6 повестки дня)</w:t>
      </w:r>
    </w:p>
    <w:p w14:paraId="42FA76E6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еофициальный документ GRBP-71-27-Rev.1</w:t>
      </w:r>
    </w:p>
    <w:p w14:paraId="1DB01B51" w14:textId="77777777" w:rsidR="00FD02F4" w:rsidRPr="00FD02F4" w:rsidRDefault="00FD02F4" w:rsidP="00FD02F4">
      <w:pPr>
        <w:pStyle w:val="SingleTxtG"/>
      </w:pPr>
      <w:r w:rsidRPr="00FD02F4">
        <w:t>23.</w:t>
      </w:r>
      <w:r w:rsidRPr="00FD02F4">
        <w:tab/>
        <w:t>Эксперт от Японии от имени Целевой группы по сигнализации заднего хода (</w:t>
      </w:r>
      <w:proofErr w:type="spellStart"/>
      <w:r w:rsidRPr="00FD02F4">
        <w:t>ЦГ</w:t>
      </w:r>
      <w:proofErr w:type="spellEnd"/>
      <w:r>
        <w:t> </w:t>
      </w:r>
      <w:r w:rsidRPr="00FD02F4">
        <w:t xml:space="preserve">по </w:t>
      </w:r>
      <w:proofErr w:type="spellStart"/>
      <w:r w:rsidRPr="00FD02F4">
        <w:t>СЗХ</w:t>
      </w:r>
      <w:proofErr w:type="spellEnd"/>
      <w:r w:rsidRPr="00FD02F4">
        <w:t xml:space="preserve">) представил информацию о работе </w:t>
      </w:r>
      <w:proofErr w:type="spellStart"/>
      <w:r w:rsidRPr="00FD02F4">
        <w:t>ЦГ</w:t>
      </w:r>
      <w:proofErr w:type="spellEnd"/>
      <w:r w:rsidRPr="00FD02F4">
        <w:t xml:space="preserve"> по </w:t>
      </w:r>
      <w:proofErr w:type="spellStart"/>
      <w:r w:rsidRPr="00FD02F4">
        <w:t>СЗХ</w:t>
      </w:r>
      <w:proofErr w:type="spellEnd"/>
      <w:r w:rsidRPr="00FD02F4">
        <w:t xml:space="preserve"> (GRBP-71-27-Rev.1) и о продолжающемся сотрудничестве с Рабочей группой по общим предписаниям, касающимся безопасности (</w:t>
      </w:r>
      <w:proofErr w:type="spellStart"/>
      <w:r w:rsidRPr="00FD02F4">
        <w:t>GRSG</w:t>
      </w:r>
      <w:proofErr w:type="spellEnd"/>
      <w:r w:rsidRPr="00FD02F4">
        <w:t xml:space="preserve">), благодаря эксперту от Швейцарии в его качестве специального представителя </w:t>
      </w:r>
      <w:proofErr w:type="spellStart"/>
      <w:r w:rsidRPr="00FD02F4">
        <w:t>GRBP</w:t>
      </w:r>
      <w:proofErr w:type="spellEnd"/>
      <w:r w:rsidRPr="00FD02F4">
        <w:t xml:space="preserve"> в </w:t>
      </w:r>
      <w:proofErr w:type="spellStart"/>
      <w:r w:rsidRPr="00FD02F4">
        <w:t>GRSG</w:t>
      </w:r>
      <w:proofErr w:type="spellEnd"/>
      <w:r w:rsidRPr="00FD02F4">
        <w:t xml:space="preserve">. </w:t>
      </w:r>
      <w:proofErr w:type="spellStart"/>
      <w:r w:rsidRPr="00FD02F4">
        <w:t>GRBP</w:t>
      </w:r>
      <w:proofErr w:type="spellEnd"/>
      <w:r w:rsidRPr="00FD02F4">
        <w:t xml:space="preserve"> отметила, что следующее совещание </w:t>
      </w:r>
      <w:proofErr w:type="spellStart"/>
      <w:r w:rsidRPr="00FD02F4">
        <w:t>ЦГ</w:t>
      </w:r>
      <w:proofErr w:type="spellEnd"/>
      <w:r w:rsidRPr="00FD02F4">
        <w:t xml:space="preserve"> по </w:t>
      </w:r>
      <w:proofErr w:type="spellStart"/>
      <w:r w:rsidRPr="00FD02F4">
        <w:t>СЗХ</w:t>
      </w:r>
      <w:proofErr w:type="spellEnd"/>
      <w:r w:rsidRPr="00FD02F4">
        <w:t xml:space="preserve"> будет проводиться 25</w:t>
      </w:r>
      <w:r w:rsidR="003445F6" w:rsidRPr="003445F6">
        <w:t>−</w:t>
      </w:r>
      <w:r w:rsidRPr="00FD02F4">
        <w:t xml:space="preserve">27 мая 2020 года в Брюсселе. </w:t>
      </w:r>
      <w:bookmarkStart w:id="5" w:name="_Hlk21619572"/>
      <w:bookmarkEnd w:id="5"/>
    </w:p>
    <w:p w14:paraId="0814AA07" w14:textId="77777777" w:rsidR="00FD02F4" w:rsidRPr="00FD02F4" w:rsidRDefault="00FD02F4" w:rsidP="00FD02F4">
      <w:pPr>
        <w:pStyle w:val="HChG"/>
      </w:pPr>
      <w:r w:rsidRPr="00FD02F4">
        <w:tab/>
        <w:t>VIII.</w:t>
      </w:r>
      <w:r w:rsidRPr="00FD02F4">
        <w:tab/>
        <w:t xml:space="preserve">Обмен информацией о национальных и международных требованиях, касающихся уровней шума </w:t>
      </w:r>
      <w:r>
        <w:br/>
      </w:r>
      <w:r w:rsidRPr="00FD02F4">
        <w:t>(пункт 7 повестки дня)</w:t>
      </w:r>
    </w:p>
    <w:p w14:paraId="1BCB797B" w14:textId="77777777" w:rsidR="00FD02F4" w:rsidRPr="00FD02F4" w:rsidRDefault="00FD02F4" w:rsidP="00FD02F4">
      <w:pPr>
        <w:pStyle w:val="SingleTxtG"/>
      </w:pPr>
      <w:r w:rsidRPr="00FD02F4">
        <w:t>24.</w:t>
      </w:r>
      <w:r w:rsidRPr="00FD02F4">
        <w:tab/>
        <w:t>Эксперт от Соединенных Штатов Америки сообщил, что в декабре 2019 года Национальная администрация безопасности дорожного движения (</w:t>
      </w:r>
      <w:proofErr w:type="spellStart"/>
      <w:r w:rsidRPr="00FD02F4">
        <w:t>НАБДД</w:t>
      </w:r>
      <w:proofErr w:type="spellEnd"/>
      <w:r w:rsidRPr="00FD02F4">
        <w:t>) опубликовала предварительное уведомление о разработке нормативных требований</w:t>
      </w:r>
      <w:r w:rsidRPr="00FD02F4">
        <w:rPr>
          <w:vertAlign w:val="superscript"/>
        </w:rPr>
        <w:footnoteReference w:id="1"/>
      </w:r>
      <w:r w:rsidRPr="00FD02F4">
        <w:t xml:space="preserve">, в котором она запросила комментарии относительно существующих испытаний на прочность, сопротивление отрыву борта шины и износостойкость шины. Кроме того, </w:t>
      </w:r>
      <w:proofErr w:type="spellStart"/>
      <w:r w:rsidRPr="00FD02F4">
        <w:t>НАБДД</w:t>
      </w:r>
      <w:proofErr w:type="spellEnd"/>
      <w:r w:rsidRPr="00FD02F4">
        <w:t xml:space="preserve"> запросила замечания по поводу нынешнего использования и актуальности некоторых правил маркировки шин и других вопросов, связанных с новыми технологиями шин. Крайний срок для представления замечаний был установлен на 18</w:t>
      </w:r>
      <w:r>
        <w:t> </w:t>
      </w:r>
      <w:r w:rsidRPr="00FD02F4">
        <w:t>февраля 2020 года.</w:t>
      </w:r>
    </w:p>
    <w:p w14:paraId="68001A3B" w14:textId="77777777" w:rsidR="00FD02F4" w:rsidRPr="00FD02F4" w:rsidRDefault="00FD02F4" w:rsidP="00FD02F4">
      <w:pPr>
        <w:pStyle w:val="HChG"/>
      </w:pPr>
      <w:r w:rsidRPr="00FD02F4">
        <w:lastRenderedPageBreak/>
        <w:tab/>
        <w:t>IX.</w:t>
      </w:r>
      <w:r w:rsidRPr="00FD02F4">
        <w:tab/>
        <w:t>Влияние поверхности дороги на уровень звука, издаваемого шинами при качении (пункт 8 повестки дня)</w:t>
      </w:r>
    </w:p>
    <w:p w14:paraId="66FB2C43" w14:textId="77777777" w:rsidR="00FD02F4" w:rsidRPr="00FD02F4" w:rsidRDefault="00FD02F4" w:rsidP="00FD02F4">
      <w:pPr>
        <w:pStyle w:val="SingleTxtG"/>
        <w:keepNext/>
      </w:pPr>
      <w:r w:rsidRPr="00FD02F4">
        <w:rPr>
          <w:i/>
          <w:iCs/>
        </w:rPr>
        <w:t>Документация:</w:t>
      </w:r>
      <w:r w:rsidRPr="00FD02F4">
        <w:tab/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>/2019/2</w:t>
      </w:r>
    </w:p>
    <w:p w14:paraId="4CDDF695" w14:textId="77777777" w:rsidR="00FD02F4" w:rsidRPr="00FD02F4" w:rsidRDefault="00FD02F4" w:rsidP="00FD02F4">
      <w:pPr>
        <w:pStyle w:val="SingleTxtG"/>
      </w:pPr>
      <w:r w:rsidRPr="00FD02F4">
        <w:t>25.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отметила, что WP.29 на своей сессии в ноябре 2019 года согласился с выводами </w:t>
      </w:r>
      <w:proofErr w:type="spellStart"/>
      <w:r w:rsidRPr="00FD02F4">
        <w:t>GRBP</w:t>
      </w:r>
      <w:proofErr w:type="spellEnd"/>
      <w:r w:rsidRPr="00FD02F4">
        <w:t xml:space="preserve"> относительно проекта резолюции о маркировке дорожной поверхности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 xml:space="preserve">/WP.29/1149, пункты 43 и 44). </w:t>
      </w:r>
    </w:p>
    <w:p w14:paraId="7A498FB6" w14:textId="77777777" w:rsidR="00FD02F4" w:rsidRPr="00FD02F4" w:rsidRDefault="00FD02F4" w:rsidP="00FD02F4">
      <w:pPr>
        <w:pStyle w:val="HChG"/>
      </w:pPr>
      <w:r w:rsidRPr="00FD02F4">
        <w:tab/>
        <w:t>X.</w:t>
      </w:r>
      <w:r w:rsidRPr="00FD02F4">
        <w:tab/>
        <w:t>Предложение по поправкам к Сводной резолюции о</w:t>
      </w:r>
      <w:r>
        <w:t> </w:t>
      </w:r>
      <w:r w:rsidRPr="00FD02F4">
        <w:t xml:space="preserve">конструкции транспортных средств </w:t>
      </w:r>
      <w:r>
        <w:br/>
      </w:r>
      <w:r w:rsidRPr="00FD02F4">
        <w:t>(пункт 9 повестки дня)</w:t>
      </w:r>
    </w:p>
    <w:p w14:paraId="731B344C" w14:textId="77777777" w:rsidR="00FD02F4" w:rsidRPr="00FD02F4" w:rsidRDefault="00FD02F4" w:rsidP="00FD02F4">
      <w:pPr>
        <w:pStyle w:val="SingleTxtG"/>
      </w:pPr>
      <w:r w:rsidRPr="00FD02F4">
        <w:t>26.</w:t>
      </w:r>
      <w:r w:rsidRPr="00FD02F4">
        <w:tab/>
        <w:t>Никаких вопросов по данному пункту повестки дня не рассматривалось.</w:t>
      </w:r>
    </w:p>
    <w:p w14:paraId="75B2391F" w14:textId="77777777" w:rsidR="00FD02F4" w:rsidRPr="00FD02F4" w:rsidRDefault="00FD02F4" w:rsidP="00FD02F4">
      <w:pPr>
        <w:pStyle w:val="HChG"/>
      </w:pPr>
      <w:r w:rsidRPr="00FD02F4">
        <w:tab/>
        <w:t>XI.</w:t>
      </w:r>
      <w:r w:rsidRPr="00FD02F4">
        <w:tab/>
        <w:t>Разработка международной системы официального утверждения комплектного транспортного средства (пункт 10 повестки дня)</w:t>
      </w:r>
      <w:bookmarkStart w:id="6" w:name="_Hlk432908"/>
      <w:bookmarkEnd w:id="6"/>
    </w:p>
    <w:p w14:paraId="514661A8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еофициальный документ GRBP-71-03</w:t>
      </w:r>
    </w:p>
    <w:p w14:paraId="141D4C91" w14:textId="77777777" w:rsidR="00FD02F4" w:rsidRPr="00FD02F4" w:rsidRDefault="00FD02F4" w:rsidP="00FD02F4">
      <w:pPr>
        <w:pStyle w:val="SingleTxtG"/>
      </w:pPr>
      <w:r w:rsidRPr="00FD02F4">
        <w:t>27.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отметила, что в ноябре 2019 года АС.1 принял дополнения к поправкам серий 00 и 01, а также новые поправки серии 02 к Правилам </w:t>
      </w:r>
      <w:r>
        <w:t>№ </w:t>
      </w:r>
      <w:r w:rsidRPr="00FD02F4">
        <w:t>0 ООН (международное официальное утверждение типа комплектного транспортного средства).</w:t>
      </w:r>
    </w:p>
    <w:p w14:paraId="430F04AF" w14:textId="77777777" w:rsidR="00FD02F4" w:rsidRPr="00FD02F4" w:rsidRDefault="00FD02F4" w:rsidP="00FD02F4">
      <w:pPr>
        <w:pStyle w:val="SingleTxtG"/>
      </w:pPr>
      <w:r w:rsidRPr="00FD02F4">
        <w:t>28.</w:t>
      </w:r>
      <w:r w:rsidRPr="00FD02F4">
        <w:tab/>
      </w:r>
      <w:proofErr w:type="spellStart"/>
      <w:r w:rsidRPr="00FD02F4">
        <w:t>GRBP</w:t>
      </w:r>
      <w:proofErr w:type="spellEnd"/>
      <w:r w:rsidRPr="00FD02F4">
        <w:t xml:space="preserve"> была проинформирована о ходе работы над электронной базой данных для обмена документацией об официальном утверждении типа (ДЕТА) (GRBP-71-03). </w:t>
      </w:r>
      <w:proofErr w:type="spellStart"/>
      <w:r w:rsidRPr="00FD02F4">
        <w:t>GRBP</w:t>
      </w:r>
      <w:proofErr w:type="spellEnd"/>
      <w:r w:rsidRPr="00FD02F4">
        <w:t xml:space="preserve"> решила рассмотреть на своей следующей сессии вопрос о том, может ли уникальный идентификатор (</w:t>
      </w:r>
      <w:proofErr w:type="spellStart"/>
      <w:r w:rsidRPr="00FD02F4">
        <w:t>УИ</w:t>
      </w:r>
      <w:proofErr w:type="spellEnd"/>
      <w:r w:rsidRPr="00FD02F4">
        <w:t xml:space="preserve">) заменить традиционную маркировку </w:t>
      </w:r>
      <w:r w:rsidR="00AD23CC">
        <w:t>«</w:t>
      </w:r>
      <w:r w:rsidRPr="00FD02F4">
        <w:t>Е</w:t>
      </w:r>
      <w:r w:rsidR="00AD23CC">
        <w:t>»</w:t>
      </w:r>
      <w:r w:rsidRPr="00FD02F4">
        <w:t xml:space="preserve"> в правилах ООН, относящихся к компетенции </w:t>
      </w:r>
      <w:proofErr w:type="spellStart"/>
      <w:r w:rsidRPr="00FD02F4">
        <w:t>GRBP</w:t>
      </w:r>
      <w:proofErr w:type="spellEnd"/>
      <w:r w:rsidRPr="00FD02F4">
        <w:t xml:space="preserve">. </w:t>
      </w:r>
    </w:p>
    <w:p w14:paraId="32337548" w14:textId="77777777" w:rsidR="00FD02F4" w:rsidRPr="00FD02F4" w:rsidRDefault="00FD02F4" w:rsidP="00FD02F4">
      <w:pPr>
        <w:pStyle w:val="HChG"/>
      </w:pPr>
      <w:r w:rsidRPr="00FD02F4">
        <w:tab/>
        <w:t>XII.</w:t>
      </w:r>
      <w:r w:rsidRPr="00FD02F4">
        <w:tab/>
        <w:t>Основные вопросы, рассмотренные на недавних сессиях Всемирного форума для согласования правил в области транспортных средств (пункт 11 повестки дня)</w:t>
      </w:r>
    </w:p>
    <w:p w14:paraId="7B271E79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еофициальный документ GRBP-71-14</w:t>
      </w:r>
    </w:p>
    <w:p w14:paraId="26C90790" w14:textId="77777777" w:rsidR="00FD02F4" w:rsidRPr="00FD02F4" w:rsidRDefault="00FD02F4" w:rsidP="00FD02F4">
      <w:pPr>
        <w:pStyle w:val="SingleTxtG"/>
      </w:pPr>
      <w:r w:rsidRPr="00FD02F4">
        <w:t>29.</w:t>
      </w:r>
      <w:r w:rsidRPr="00FD02F4">
        <w:tab/>
        <w:t xml:space="preserve">Секретариат сообщил об основных вопросах, рассмотренных в ходе сессии WP.29 в ноябре 2019 года (GRBP-71-14). </w:t>
      </w:r>
      <w:proofErr w:type="spellStart"/>
      <w:r w:rsidRPr="00FD02F4">
        <w:t>GRBP</w:t>
      </w:r>
      <w:proofErr w:type="spellEnd"/>
      <w:r w:rsidRPr="00FD02F4">
        <w:t xml:space="preserve"> приняла эту информацию к сведению.</w:t>
      </w:r>
    </w:p>
    <w:p w14:paraId="0933DFAE" w14:textId="77777777" w:rsidR="00FD02F4" w:rsidRPr="00FD02F4" w:rsidRDefault="00FD02F4" w:rsidP="00FD02F4">
      <w:pPr>
        <w:pStyle w:val="HChG"/>
      </w:pPr>
      <w:r w:rsidRPr="00FD02F4">
        <w:tab/>
        <w:t>XIII.</w:t>
      </w:r>
      <w:r w:rsidRPr="00FD02F4">
        <w:tab/>
        <w:t>Обмен мнениями о будущей деятельности Рабочей группы по вопросам шума и шин (пункт 12 повестки дня)</w:t>
      </w:r>
    </w:p>
    <w:p w14:paraId="2618CAD0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еофициальный документ GRBP-71-22-Rev.1</w:t>
      </w:r>
    </w:p>
    <w:p w14:paraId="202954AC" w14:textId="77777777" w:rsidR="00FD02F4" w:rsidRPr="00FD02F4" w:rsidRDefault="00FD02F4" w:rsidP="00FD02F4">
      <w:pPr>
        <w:pStyle w:val="SingleTxtG"/>
      </w:pPr>
      <w:r w:rsidRPr="00FD02F4">
        <w:t>30.</w:t>
      </w:r>
      <w:r w:rsidRPr="00FD02F4">
        <w:tab/>
        <w:t xml:space="preserve">Председатель представил обновленный перечень приоритетных направлений работы и регулярно рассматриваемых пунктов (GRBP-71-22-Rev.1). </w:t>
      </w:r>
      <w:proofErr w:type="spellStart"/>
      <w:r w:rsidRPr="00FD02F4">
        <w:t>GRBP</w:t>
      </w:r>
      <w:proofErr w:type="spellEnd"/>
      <w:r w:rsidRPr="00FD02F4">
        <w:t xml:space="preserve"> отметила, что АС.2 на своем следующем совещании в марте 2020 года рассмотрит перечни, подготовленные различными рабочими группами (</w:t>
      </w:r>
      <w:proofErr w:type="spellStart"/>
      <w:r w:rsidRPr="00FD02F4">
        <w:t>РГ</w:t>
      </w:r>
      <w:proofErr w:type="spellEnd"/>
      <w:r w:rsidRPr="00FD02F4">
        <w:t xml:space="preserve">), с целью подготовки программы работы WP.29 на 2020 год. </w:t>
      </w:r>
    </w:p>
    <w:p w14:paraId="6CA20C6B" w14:textId="77777777" w:rsidR="00FD02F4" w:rsidRPr="00FD02F4" w:rsidRDefault="00FD02F4" w:rsidP="00FD02F4">
      <w:pPr>
        <w:pStyle w:val="HChG"/>
      </w:pPr>
      <w:r w:rsidRPr="00FD02F4">
        <w:lastRenderedPageBreak/>
        <w:tab/>
        <w:t>XIV.</w:t>
      </w:r>
      <w:r w:rsidRPr="00FD02F4">
        <w:tab/>
        <w:t>Прочие вопросы (пункт 13 повестки дня)</w:t>
      </w:r>
    </w:p>
    <w:p w14:paraId="1FC35F15" w14:textId="77777777" w:rsidR="00FD02F4" w:rsidRPr="00FD02F4" w:rsidRDefault="00FD02F4" w:rsidP="00FD02F4">
      <w:pPr>
        <w:pStyle w:val="SingleTxtG"/>
        <w:keepNext/>
        <w:ind w:left="2835" w:hanging="1701"/>
        <w:jc w:val="left"/>
      </w:pPr>
      <w:r w:rsidRPr="00FD02F4">
        <w:rPr>
          <w:i/>
          <w:iCs/>
        </w:rPr>
        <w:t>Документация:</w:t>
      </w:r>
      <w:r w:rsidRPr="00FD02F4">
        <w:tab/>
      </w:r>
      <w:r w:rsidR="00AD23CC">
        <w:t>н</w:t>
      </w:r>
      <w:r w:rsidRPr="00FD02F4">
        <w:t>еофициальные документы GRBP-71-12, GRBP-71-13-Rev.1, GRBP-71-15, GRBP-71-16</w:t>
      </w:r>
    </w:p>
    <w:p w14:paraId="252365FF" w14:textId="77777777" w:rsidR="00FD02F4" w:rsidRPr="00FD02F4" w:rsidRDefault="00FD02F4" w:rsidP="00FD02F4">
      <w:pPr>
        <w:pStyle w:val="SingleTxtG"/>
      </w:pPr>
      <w:r w:rsidRPr="00FD02F4">
        <w:t>31.</w:t>
      </w:r>
      <w:r w:rsidRPr="00FD02F4">
        <w:tab/>
        <w:t xml:space="preserve">Эксперт от </w:t>
      </w:r>
      <w:proofErr w:type="spellStart"/>
      <w:r w:rsidRPr="00FD02F4">
        <w:t>ЕК</w:t>
      </w:r>
      <w:proofErr w:type="spellEnd"/>
      <w:r w:rsidRPr="00FD02F4">
        <w:t xml:space="preserve"> представил ряд поправок к Правилам </w:t>
      </w:r>
      <w:r>
        <w:t>№ </w:t>
      </w:r>
      <w:r w:rsidRPr="00FD02F4">
        <w:t>141 ООН (система наблюдения за давлением в шинах (</w:t>
      </w:r>
      <w:proofErr w:type="spellStart"/>
      <w:r w:rsidRPr="00FD02F4">
        <w:t>СНДШ</w:t>
      </w:r>
      <w:proofErr w:type="spellEnd"/>
      <w:r w:rsidRPr="00FD02F4">
        <w:t xml:space="preserve">)) в целях расширения сферы их применения, с тем чтобы обеспечить осуществление требований к </w:t>
      </w:r>
      <w:proofErr w:type="spellStart"/>
      <w:r w:rsidRPr="00FD02F4">
        <w:t>СНДШ</w:t>
      </w:r>
      <w:proofErr w:type="spellEnd"/>
      <w:r w:rsidRPr="00FD02F4">
        <w:t xml:space="preserve">, содержащихся в Регламенте 2019/2144 Европейского союза (GRBP-71-15). Несколько экспертов </w:t>
      </w:r>
      <w:proofErr w:type="spellStart"/>
      <w:r w:rsidRPr="00FD02F4">
        <w:t>GRBP</w:t>
      </w:r>
      <w:proofErr w:type="spellEnd"/>
      <w:r w:rsidRPr="00FD02F4">
        <w:t xml:space="preserve"> выразили обеспокоенность по поводу жесткого графика, предусмотренного в Регламенте Европейского союза, и объема предлагаемых поправок. Для ускорения работы </w:t>
      </w:r>
      <w:proofErr w:type="spellStart"/>
      <w:r w:rsidRPr="00FD02F4">
        <w:t>GRBP</w:t>
      </w:r>
      <w:proofErr w:type="spellEnd"/>
      <w:r w:rsidRPr="00FD02F4">
        <w:t xml:space="preserve"> решила учредить целевую группу под руководством эксперта от </w:t>
      </w:r>
      <w:proofErr w:type="spellStart"/>
      <w:r w:rsidRPr="00FD02F4">
        <w:t>ЕК</w:t>
      </w:r>
      <w:proofErr w:type="spellEnd"/>
      <w:r w:rsidRPr="00FD02F4">
        <w:t xml:space="preserve">. Всем экспертам </w:t>
      </w:r>
      <w:proofErr w:type="spellStart"/>
      <w:r w:rsidRPr="00FD02F4">
        <w:t>GRBP</w:t>
      </w:r>
      <w:proofErr w:type="spellEnd"/>
      <w:r w:rsidRPr="00FD02F4">
        <w:t xml:space="preserve"> было предложено направить ему свои замечания по GRBP-71-15. </w:t>
      </w:r>
    </w:p>
    <w:p w14:paraId="5A0CB868" w14:textId="77777777" w:rsidR="00FD02F4" w:rsidRPr="00FD02F4" w:rsidRDefault="00FD02F4" w:rsidP="00FD02F4">
      <w:pPr>
        <w:pStyle w:val="SingleTxtG"/>
      </w:pPr>
      <w:r w:rsidRPr="00FD02F4">
        <w:t>32.</w:t>
      </w:r>
      <w:r w:rsidRPr="00FD02F4">
        <w:tab/>
        <w:t xml:space="preserve">Аналогичным образом эксперт от </w:t>
      </w:r>
      <w:proofErr w:type="spellStart"/>
      <w:r w:rsidRPr="00FD02F4">
        <w:t>ЕК</w:t>
      </w:r>
      <w:proofErr w:type="spellEnd"/>
      <w:r w:rsidRPr="00FD02F4">
        <w:t xml:space="preserve"> внес на рассмотрение проекты поправок к Правилам </w:t>
      </w:r>
      <w:r>
        <w:t>№ </w:t>
      </w:r>
      <w:r w:rsidRPr="00FD02F4">
        <w:t xml:space="preserve">142 ООН (установка шин), направленные на расширение их сферы применения, с тем чтобы обеспечить осуществление требований к установке шин, содержащихся в Регламенте 2019/2144 Европейского союза (GRBP-71-16). </w:t>
      </w:r>
      <w:proofErr w:type="spellStart"/>
      <w:r w:rsidRPr="00FD02F4">
        <w:t>GRBP</w:t>
      </w:r>
      <w:proofErr w:type="spellEnd"/>
      <w:r w:rsidRPr="00FD02F4">
        <w:t xml:space="preserve"> просила вновь созданную целевую группу (см. пункт 31) также рассмотреть этот документ. </w:t>
      </w:r>
    </w:p>
    <w:p w14:paraId="350B66A4" w14:textId="77777777" w:rsidR="00FD02F4" w:rsidRPr="00FD02F4" w:rsidRDefault="00FD02F4" w:rsidP="00FD02F4">
      <w:pPr>
        <w:pStyle w:val="SingleTxtG"/>
      </w:pPr>
      <w:r w:rsidRPr="00FD02F4">
        <w:t>33.</w:t>
      </w:r>
      <w:r w:rsidRPr="00FD02F4">
        <w:tab/>
        <w:t xml:space="preserve">Эксперт от Франции предложил включить ссылку на Правила </w:t>
      </w:r>
      <w:r>
        <w:t>№ </w:t>
      </w:r>
      <w:r w:rsidRPr="00FD02F4">
        <w:t>141 ООН (</w:t>
      </w:r>
      <w:proofErr w:type="spellStart"/>
      <w:r w:rsidRPr="00FD02F4">
        <w:t>СНДШ</w:t>
      </w:r>
      <w:proofErr w:type="spellEnd"/>
      <w:r w:rsidRPr="00FD02F4">
        <w:t xml:space="preserve">) в карточку сообщения, приведенную в приложении II к Правилам </w:t>
      </w:r>
      <w:r>
        <w:t>№ </w:t>
      </w:r>
      <w:r w:rsidRPr="00FD02F4">
        <w:t xml:space="preserve">142 ООН (GRBP-71-12). </w:t>
      </w:r>
      <w:proofErr w:type="spellStart"/>
      <w:r w:rsidRPr="00FD02F4">
        <w:t>GRBP</w:t>
      </w:r>
      <w:proofErr w:type="spellEnd"/>
      <w:r w:rsidRPr="00FD02F4">
        <w:t xml:space="preserve"> поддержала это предложение и предложила эксперту от Франции подготовить официальный документ для следующей сессии. В этом контексте эксперт от Российской Федерации напомнил об ожидавших рассмотрения редакционных поправках к Правилам </w:t>
      </w:r>
      <w:r>
        <w:t>№ </w:t>
      </w:r>
      <w:r w:rsidRPr="00FD02F4">
        <w:t>142 ООН, которые были согласованы бывшей Рабочей группой по вопросам торможения и ходовой части (</w:t>
      </w:r>
      <w:proofErr w:type="spellStart"/>
      <w:r w:rsidRPr="00FD02F4">
        <w:t>GRRF</w:t>
      </w:r>
      <w:proofErr w:type="spellEnd"/>
      <w:r w:rsidRPr="00FD02F4">
        <w:t>) (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GRRF</w:t>
      </w:r>
      <w:proofErr w:type="spellEnd"/>
      <w:r w:rsidRPr="00FD02F4">
        <w:t xml:space="preserve">/2016/43). </w:t>
      </w:r>
    </w:p>
    <w:p w14:paraId="116D7AE5" w14:textId="77777777" w:rsidR="00FD02F4" w:rsidRPr="00FD02F4" w:rsidRDefault="00FD02F4" w:rsidP="00FD02F4">
      <w:pPr>
        <w:pStyle w:val="SingleTxtG"/>
      </w:pPr>
      <w:r w:rsidRPr="00FD02F4">
        <w:t>34.</w:t>
      </w:r>
      <w:r w:rsidRPr="00FD02F4">
        <w:tab/>
        <w:t xml:space="preserve">Эксперт от Франции представил проект графика совещаний на 2020 год, которые представляют интерес для экспертов </w:t>
      </w:r>
      <w:proofErr w:type="spellStart"/>
      <w:r w:rsidRPr="00FD02F4">
        <w:t>GRBP</w:t>
      </w:r>
      <w:proofErr w:type="spellEnd"/>
      <w:r w:rsidRPr="00FD02F4">
        <w:t xml:space="preserve"> (GRBP-71-13-Rev.1). </w:t>
      </w:r>
      <w:proofErr w:type="spellStart"/>
      <w:r w:rsidRPr="00FD02F4">
        <w:t>GRBP</w:t>
      </w:r>
      <w:proofErr w:type="spellEnd"/>
      <w:r w:rsidRPr="00FD02F4">
        <w:t xml:space="preserve"> положительно отметила этот документ в качестве полезного инструмента планирования и предложила своим </w:t>
      </w:r>
      <w:proofErr w:type="spellStart"/>
      <w:r w:rsidRPr="00FD02F4">
        <w:t>НРГ</w:t>
      </w:r>
      <w:proofErr w:type="spellEnd"/>
      <w:r w:rsidRPr="00FD02F4">
        <w:t xml:space="preserve"> и </w:t>
      </w:r>
      <w:proofErr w:type="spellStart"/>
      <w:r w:rsidRPr="00FD02F4">
        <w:t>ЦГ</w:t>
      </w:r>
      <w:proofErr w:type="spellEnd"/>
      <w:r w:rsidRPr="00FD02F4">
        <w:t xml:space="preserve"> представить эксперту от Франции обновленную информацию с целью размещения пересмотренного графика на веб-сайте </w:t>
      </w:r>
      <w:proofErr w:type="spellStart"/>
      <w:r w:rsidRPr="00FD02F4">
        <w:t>GRBP</w:t>
      </w:r>
      <w:proofErr w:type="spellEnd"/>
      <w:r w:rsidRPr="00FD02F4">
        <w:t xml:space="preserve">. </w:t>
      </w:r>
    </w:p>
    <w:p w14:paraId="30106A73" w14:textId="77777777" w:rsidR="00FD02F4" w:rsidRPr="00FD02F4" w:rsidRDefault="00FD02F4" w:rsidP="00FD02F4">
      <w:pPr>
        <w:pStyle w:val="HChG"/>
      </w:pPr>
      <w:r w:rsidRPr="00FD02F4">
        <w:tab/>
        <w:t>XV.</w:t>
      </w:r>
      <w:r w:rsidRPr="00FD02F4">
        <w:tab/>
        <w:t xml:space="preserve">Предварительная повестка дня следующей сессии </w:t>
      </w:r>
      <w:r>
        <w:br/>
      </w:r>
      <w:r w:rsidRPr="00FD02F4">
        <w:t>(пункт 14 повестки дня)</w:t>
      </w:r>
    </w:p>
    <w:p w14:paraId="00D08DA8" w14:textId="77777777" w:rsidR="00FD02F4" w:rsidRPr="00FD02F4" w:rsidRDefault="00FD02F4" w:rsidP="00FD02F4">
      <w:pPr>
        <w:pStyle w:val="SingleTxtG"/>
      </w:pPr>
      <w:r w:rsidRPr="00FD02F4">
        <w:t>35.</w:t>
      </w:r>
      <w:r w:rsidRPr="00FD02F4">
        <w:tab/>
        <w:t>Для своей семьдесят третьей сессии, которую планируется провести в Женеве 7</w:t>
      </w:r>
      <w:r w:rsidR="00AD23CC">
        <w:t> </w:t>
      </w:r>
      <w:r w:rsidRPr="00FD02F4">
        <w:t>(вторая половина дня)</w:t>
      </w:r>
      <w:r w:rsidR="00576943">
        <w:t xml:space="preserve"> – </w:t>
      </w:r>
      <w:r w:rsidRPr="00FD02F4">
        <w:t xml:space="preserve">9 сентября 2020 года, </w:t>
      </w:r>
      <w:proofErr w:type="spellStart"/>
      <w:r w:rsidRPr="00FD02F4">
        <w:t>GRBP</w:t>
      </w:r>
      <w:proofErr w:type="spellEnd"/>
      <w:r w:rsidRPr="00FD02F4">
        <w:t xml:space="preserve"> решила сохранить прежнюю структуру предварительной повестки дня. </w:t>
      </w:r>
      <w:proofErr w:type="spellStart"/>
      <w:r w:rsidRPr="00FD02F4">
        <w:t>GRBP</w:t>
      </w:r>
      <w:proofErr w:type="spellEnd"/>
      <w:r w:rsidRPr="00FD02F4">
        <w:t xml:space="preserve"> отметила, что предельный срок для представления официальной документации в секретариат</w:t>
      </w:r>
      <w:r w:rsidR="00576943">
        <w:t xml:space="preserve"> – </w:t>
      </w:r>
      <w:r w:rsidRPr="00FD02F4">
        <w:t>15 июня 2020 года, т.</w:t>
      </w:r>
      <w:r w:rsidR="00576943">
        <w:t> </w:t>
      </w:r>
      <w:r w:rsidRPr="00FD02F4">
        <w:t xml:space="preserve">е. за 12 недель до начала сессии. </w:t>
      </w:r>
    </w:p>
    <w:p w14:paraId="5BD70B45" w14:textId="77777777" w:rsidR="00576943" w:rsidRDefault="00576943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63D83A78" w14:textId="77777777" w:rsidR="00FD02F4" w:rsidRPr="00FD02F4" w:rsidRDefault="00FD02F4" w:rsidP="00576943">
      <w:pPr>
        <w:pStyle w:val="HChG"/>
      </w:pPr>
      <w:r w:rsidRPr="00FD02F4">
        <w:lastRenderedPageBreak/>
        <w:t>Приложение I</w:t>
      </w:r>
    </w:p>
    <w:p w14:paraId="7948022E" w14:textId="77777777" w:rsidR="00FD02F4" w:rsidRPr="00FD02F4" w:rsidRDefault="00FD02F4" w:rsidP="00576943">
      <w:pPr>
        <w:pStyle w:val="HChG"/>
      </w:pPr>
      <w:r w:rsidRPr="00FD02F4">
        <w:tab/>
      </w:r>
      <w:r w:rsidRPr="00FD02F4">
        <w:tab/>
        <w:t>Перечень неофициальных документов (GRBP-71-…), распространенных в ходе сессии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540"/>
        <w:gridCol w:w="1078"/>
        <w:gridCol w:w="546"/>
        <w:gridCol w:w="3171"/>
        <w:gridCol w:w="1133"/>
      </w:tblGrid>
      <w:tr w:rsidR="00576943" w:rsidRPr="00576943" w14:paraId="5F4A3CDB" w14:textId="77777777" w:rsidTr="00576943">
        <w:trPr>
          <w:trHeight w:val="20"/>
          <w:tblHeader/>
        </w:trPr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8890D3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28E111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Представлен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4F3106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Пункт повестки дня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18A9F1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Язык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3C58A4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Название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218077" w14:textId="77777777" w:rsidR="00FD02F4" w:rsidRPr="00576943" w:rsidRDefault="00FD02F4" w:rsidP="004E44E4">
            <w:pPr>
              <w:spacing w:before="60" w:after="60" w:line="200" w:lineRule="atLeast"/>
              <w:rPr>
                <w:rFonts w:cs="Times New Roman"/>
                <w:i/>
                <w:sz w:val="16"/>
              </w:rPr>
            </w:pPr>
            <w:r w:rsidRPr="00576943">
              <w:rPr>
                <w:rFonts w:cs="Times New Roman"/>
                <w:i/>
                <w:sz w:val="16"/>
              </w:rPr>
              <w:t>Последующие действия</w:t>
            </w:r>
          </w:p>
        </w:tc>
      </w:tr>
      <w:tr w:rsidR="00576943" w:rsidRPr="00576943" w14:paraId="6DD0E1BB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E0D7F6A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6DDE7E4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Секретариатом 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2A15DC4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23AFC64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2956D77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Обновленная предварительная повестка дня семьдесят первой сессии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3945D6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6A33A4D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0170B98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2-Rev.1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5C8AF804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Председателем 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5A598838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37CBBEA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E5F207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Порядок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26CFD0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6567C23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A46FDB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080C8E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НРГ</w:t>
            </w:r>
            <w:proofErr w:type="spellEnd"/>
            <w:r w:rsidRPr="00576943">
              <w:rPr>
                <w:rFonts w:cs="Times New Roman"/>
              </w:rPr>
              <w:t xml:space="preserve"> по ДЕТА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17A8E558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4573321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6F5677DF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Статус ДЕТА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341911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2C04DF5B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891E3C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4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FDB836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ЦГ</w:t>
            </w:r>
            <w:proofErr w:type="spellEnd"/>
            <w:r w:rsidRPr="00576943">
              <w:rPr>
                <w:rFonts w:cs="Times New Roman"/>
              </w:rPr>
              <w:t xml:space="preserve"> НИ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534C34B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2D905DD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66C4AB6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Доклад о ходе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37AE08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22AEADE1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1F97C0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5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B16F2F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ЦГ</w:t>
            </w:r>
            <w:proofErr w:type="spellEnd"/>
            <w:r w:rsidRPr="00576943">
              <w:rPr>
                <w:rFonts w:cs="Times New Roman"/>
              </w:rPr>
              <w:t xml:space="preserve"> НИ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6A73442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630A209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6926428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Руководящие принципы для Целевой группы по неопределенностям измерений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91917B2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0E31F3D8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2515CA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6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65BD97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ЕТОПОК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2CB38F6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d)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7F91AAC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25162E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Замена стандартной эталонной испытательной шины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74BB37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b)</w:t>
            </w:r>
          </w:p>
        </w:tc>
      </w:tr>
      <w:tr w:rsidR="00576943" w:rsidRPr="00576943" w14:paraId="791AB20A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D645DB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7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E6D054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ЕТОПОК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377185E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a)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192A1562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7E8301C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Изучение требований к размерам шин после испытания на прочность в зависимости от нагрузки/скорости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2E728F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7CD99BCF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102D199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8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D3B1B8F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ЕТОПОК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F9CF9C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a)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5427A71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0427FC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о внесении поправок в метод маркировки шин в правилах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22D3F1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b)</w:t>
            </w:r>
          </w:p>
        </w:tc>
      </w:tr>
      <w:tr w:rsidR="00576943" w:rsidRPr="00576943" w14:paraId="125B11AC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433B4138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9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5341E64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МАЗМ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222BD89C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07218F99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2D8E9987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поправкам к поправкам серии 4 к Правилам № 41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2A4ABA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b)</w:t>
            </w:r>
          </w:p>
        </w:tc>
      </w:tr>
      <w:tr w:rsidR="00576943" w:rsidRPr="00576943" w14:paraId="0D3AB6A7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4AC1B6B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10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048AA1E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МАЗМ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55711F0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6FC178FC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6C4B430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поправкам к поправкам серии 04 к Правилам № 41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E57112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78BB1F4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07DED3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1A0190C6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91BCE3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4AC2654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EB50E98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Изучение пределов уровня звука для транспортных средств категорий M и N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2FDABF8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29F7F5B0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DAB22D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12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96428F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Францией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284283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63072DA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256E520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поправкам к первоначальному варианту Правил № 142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44EB16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b)</w:t>
            </w:r>
          </w:p>
        </w:tc>
      </w:tr>
      <w:tr w:rsidR="00576943" w:rsidRPr="00576943" w14:paraId="5C7A509C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89928CC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16BED50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Председателем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31FE585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0590A8D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9A9739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График совещаний на 2020 год, которые представляют интерес для экспертов </w:t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  <w:r w:rsidRPr="00576943"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4C4C9B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3B0220D6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B734B2F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14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1183418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Секретариатом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8937DB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11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5D4BDA22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41FC2AB6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Общая информация и основные вопросы, рассмотренные WP.29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1FF523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39E8D251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BB27A3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15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906D9C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6DEA78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66CDAAE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7B2236F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поправке к Правилам № 141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AA43DE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3B40D7BC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3D934C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16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EC9CD5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ED68A4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57835DD8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65B40D1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поправке к Правилам № 142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766511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563E26C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41A129FA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17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5ED43E2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МАЗМ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F60377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793C313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538B6D1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новой серии поправок к Правилам № 41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BCA2D7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b)</w:t>
            </w:r>
          </w:p>
        </w:tc>
      </w:tr>
      <w:tr w:rsidR="00576943" w:rsidRPr="00576943" w14:paraId="1E79391D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961D118" w14:textId="77777777" w:rsidR="00FD02F4" w:rsidRPr="00576943" w:rsidRDefault="00FD02F4" w:rsidP="004E44E4">
            <w:pPr>
              <w:pageBreakBefore/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lastRenderedPageBreak/>
              <w:t>18-Rev.2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89F5FC9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МАЗМ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52A623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460764D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24B3C201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Предложение по поправкам к документу </w:t>
            </w:r>
            <w:proofErr w:type="spellStart"/>
            <w:r w:rsidRPr="00576943">
              <w:rPr>
                <w:rFonts w:cs="Times New Roman"/>
              </w:rPr>
              <w:t>ECE</w:t>
            </w:r>
            <w:proofErr w:type="spellEnd"/>
            <w:r w:rsidRPr="00576943">
              <w:rPr>
                <w:rFonts w:cs="Times New Roman"/>
              </w:rPr>
              <w:t>/</w:t>
            </w:r>
            <w:proofErr w:type="spellStart"/>
            <w:r w:rsidRPr="00576943">
              <w:rPr>
                <w:rFonts w:cs="Times New Roman"/>
              </w:rPr>
              <w:t>TRANS</w:t>
            </w:r>
            <w:proofErr w:type="spellEnd"/>
            <w:r w:rsidRPr="00576943">
              <w:rPr>
                <w:rFonts w:cs="Times New Roman"/>
              </w:rPr>
              <w:t>/WP.29/</w:t>
            </w:r>
            <w:r w:rsidR="00444551">
              <w:rPr>
                <w:rFonts w:cs="Times New Roman"/>
              </w:rPr>
              <w:br/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  <w:r w:rsidRPr="00576943">
              <w:rPr>
                <w:rFonts w:cs="Times New Roman"/>
              </w:rPr>
              <w:t>/2019/25/Rev.1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F26618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7BA2CC0B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B90CDA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19-Rev.1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D2F2BE7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МАЗМ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5B436C0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2DA54B1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393E044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Пересмотр </w:t>
            </w:r>
            <w:proofErr w:type="spellStart"/>
            <w:r w:rsidRPr="00576943">
              <w:rPr>
                <w:rFonts w:cs="Times New Roman"/>
              </w:rPr>
              <w:t>ДПУЗ</w:t>
            </w:r>
            <w:proofErr w:type="spellEnd"/>
            <w:r w:rsidRPr="00576943">
              <w:rPr>
                <w:rFonts w:cs="Times New Roman"/>
              </w:rPr>
              <w:t xml:space="preserve"> в Правилах № 41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B35D7C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4A08BAC8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2F7AC665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20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1419E909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ГЗИ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410DB7A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d)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464BD3D7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660ACC3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Доклад о ходе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748AC59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68B89905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4BF26C7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E36E01A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ЦГ</w:t>
            </w:r>
            <w:proofErr w:type="spellEnd"/>
            <w:r w:rsidRPr="00576943">
              <w:rPr>
                <w:rFonts w:cs="Times New Roman"/>
              </w:rPr>
              <w:t xml:space="preserve"> НИ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A40100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56B29F9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DA0A07F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Стратегический подход к устранению неопределенности в правилах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639F6A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7F95D111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0CD336A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22-Rev.1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1DE546D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Председателем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7FDC791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12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481DEA9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3EBD0269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Приоритетные направления работы и регулярно рассматриваемые пункты повестки </w:t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4125D6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6E5DCCAB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182703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23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4189FC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НРГ</w:t>
            </w:r>
            <w:proofErr w:type="spellEnd"/>
            <w:r w:rsidRPr="00576943">
              <w:rPr>
                <w:rFonts w:cs="Times New Roman"/>
              </w:rPr>
              <w:t xml:space="preserve"> по </w:t>
            </w:r>
            <w:proofErr w:type="spellStart"/>
            <w:r w:rsidRPr="00576943">
              <w:rPr>
                <w:rFonts w:cs="Times New Roman"/>
              </w:rPr>
              <w:t>ХСИШМ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6FB5E03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2F6893A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59F51B26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Доклад о ходе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B1F647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656AFF99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1F81B91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24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4EA6F36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НРГ</w:t>
            </w:r>
            <w:proofErr w:type="spellEnd"/>
            <w:r w:rsidRPr="00576943">
              <w:rPr>
                <w:rFonts w:cs="Times New Roman"/>
              </w:rPr>
              <w:t xml:space="preserve"> по </w:t>
            </w:r>
            <w:proofErr w:type="spellStart"/>
            <w:r w:rsidRPr="00576943">
              <w:rPr>
                <w:rFonts w:cs="Times New Roman"/>
              </w:rPr>
              <w:t>ДПУЗ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75D3E7BE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5D6E4880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6AE046AA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Пересмотр </w:t>
            </w:r>
            <w:proofErr w:type="spellStart"/>
            <w:r w:rsidRPr="00576943">
              <w:rPr>
                <w:rFonts w:cs="Times New Roman"/>
              </w:rPr>
              <w:t>ДПУЗ</w:t>
            </w:r>
            <w:proofErr w:type="spellEnd"/>
            <w:r w:rsidRPr="00576943">
              <w:rPr>
                <w:rFonts w:cs="Times New Roman"/>
              </w:rPr>
              <w:t>: будущая концепция реального вождения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903E4B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</w:p>
        </w:tc>
      </w:tr>
      <w:tr w:rsidR="00576943" w:rsidRPr="00576943" w14:paraId="6C285C91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54DC81B9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25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A697AB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НРГ</w:t>
            </w:r>
            <w:proofErr w:type="spellEnd"/>
            <w:r w:rsidRPr="00576943">
              <w:rPr>
                <w:rFonts w:cs="Times New Roman"/>
              </w:rPr>
              <w:t xml:space="preserve"> по </w:t>
            </w:r>
            <w:proofErr w:type="spellStart"/>
            <w:r w:rsidRPr="00576943">
              <w:rPr>
                <w:rFonts w:cs="Times New Roman"/>
              </w:rPr>
              <w:t>ДПУЗ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2B947BAB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7A591EC4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47FE48A1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Доклад о ходе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135130C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131C3F67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63742322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26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974A97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ГЗИ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B970DF5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d)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3CFF390F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263CD21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Обоснование для </w:t>
            </w:r>
            <w:proofErr w:type="spellStart"/>
            <w:r w:rsidRPr="00576943">
              <w:rPr>
                <w:rFonts w:cs="Times New Roman"/>
              </w:rPr>
              <w:t>ECE</w:t>
            </w:r>
            <w:proofErr w:type="spellEnd"/>
            <w:r w:rsidRPr="00576943">
              <w:rPr>
                <w:rFonts w:cs="Times New Roman"/>
              </w:rPr>
              <w:t>/</w:t>
            </w:r>
            <w:proofErr w:type="spellStart"/>
            <w:r w:rsidRPr="00576943">
              <w:rPr>
                <w:rFonts w:cs="Times New Roman"/>
              </w:rPr>
              <w:t>TRANS</w:t>
            </w:r>
            <w:proofErr w:type="spellEnd"/>
            <w:r w:rsidRPr="00576943">
              <w:rPr>
                <w:rFonts w:cs="Times New Roman"/>
              </w:rPr>
              <w:t>/WP.29/</w:t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  <w:r w:rsidRPr="00576943">
              <w:rPr>
                <w:rFonts w:cs="Times New Roman"/>
              </w:rPr>
              <w:t>/2019/14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65557F6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c)</w:t>
            </w:r>
          </w:p>
        </w:tc>
      </w:tr>
      <w:tr w:rsidR="00576943" w:rsidRPr="00576943" w14:paraId="2B0F0B4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DB90D6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27-Rev.1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F4366E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ЦГ</w:t>
            </w:r>
            <w:proofErr w:type="spellEnd"/>
            <w:r w:rsidRPr="00576943">
              <w:rPr>
                <w:rFonts w:cs="Times New Roman"/>
              </w:rPr>
              <w:t xml:space="preserve"> по </w:t>
            </w:r>
            <w:proofErr w:type="spellStart"/>
            <w:r w:rsidRPr="00576943">
              <w:rPr>
                <w:rFonts w:cs="Times New Roman"/>
              </w:rPr>
              <w:t>СЗХ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57D09BB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6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78F3956C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33B8426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Доклад о ходе работы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ED9228B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a)</w:t>
            </w:r>
          </w:p>
        </w:tc>
      </w:tr>
      <w:tr w:rsidR="00576943" w:rsidRPr="00576943" w14:paraId="696E0EAA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7B2FB7D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28-Rev.1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70ADB821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Польшей</w:t>
            </w:r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537DCD30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4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1C35866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4C70E5D8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Предложение по дополнению 2 к поправкам серии 01 к Правилам № 138 ООН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22E6890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4FEBAD21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3E356BFF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29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227CE01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ЕТОПОК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2BAEA781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d)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665CDA13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326FF6B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Предложение по поправкам к документу </w:t>
            </w:r>
            <w:proofErr w:type="spellStart"/>
            <w:r w:rsidRPr="00576943">
              <w:rPr>
                <w:rFonts w:cs="Times New Roman"/>
              </w:rPr>
              <w:t>ECE</w:t>
            </w:r>
            <w:proofErr w:type="spellEnd"/>
            <w:r w:rsidRPr="00576943">
              <w:rPr>
                <w:rFonts w:cs="Times New Roman"/>
              </w:rPr>
              <w:t>/</w:t>
            </w:r>
            <w:proofErr w:type="spellStart"/>
            <w:r w:rsidRPr="00576943">
              <w:rPr>
                <w:rFonts w:cs="Times New Roman"/>
              </w:rPr>
              <w:t>TRANS</w:t>
            </w:r>
            <w:proofErr w:type="spellEnd"/>
            <w:r w:rsidRPr="00576943">
              <w:rPr>
                <w:rFonts w:cs="Times New Roman"/>
              </w:rPr>
              <w:t>/WP.29/</w:t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  <w:r w:rsidRPr="00576943">
              <w:rPr>
                <w:rFonts w:cs="Times New Roman"/>
              </w:rPr>
              <w:t>/2020/6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A2170A7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2E3F2EB2" w14:textId="77777777" w:rsidTr="00576943">
        <w:trPr>
          <w:trHeight w:val="20"/>
        </w:trPr>
        <w:tc>
          <w:tcPr>
            <w:tcW w:w="1036" w:type="dxa"/>
            <w:shd w:val="clear" w:color="auto" w:fill="auto"/>
            <w:tcMar>
              <w:left w:w="28" w:type="dxa"/>
              <w:right w:w="28" w:type="dxa"/>
            </w:tcMar>
          </w:tcPr>
          <w:p w14:paraId="1F5DAB8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30</w:t>
            </w: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</w:tcPr>
          <w:p w14:paraId="6788FF2D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ЕТОПОК</w:t>
            </w:r>
            <w:proofErr w:type="spellEnd"/>
          </w:p>
        </w:tc>
        <w:tc>
          <w:tcPr>
            <w:tcW w:w="1078" w:type="dxa"/>
            <w:shd w:val="clear" w:color="auto" w:fill="auto"/>
            <w:tcMar>
              <w:left w:w="28" w:type="dxa"/>
              <w:right w:w="28" w:type="dxa"/>
            </w:tcMar>
          </w:tcPr>
          <w:p w14:paraId="0DB24B99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5 a)</w:t>
            </w:r>
          </w:p>
        </w:tc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</w:tcPr>
          <w:p w14:paraId="0C0AF5CA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shd w:val="clear" w:color="auto" w:fill="auto"/>
            <w:tcMar>
              <w:left w:w="28" w:type="dxa"/>
              <w:right w:w="28" w:type="dxa"/>
            </w:tcMar>
          </w:tcPr>
          <w:p w14:paraId="1B840B9E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 xml:space="preserve">Предложение по поправкам к документу </w:t>
            </w:r>
            <w:proofErr w:type="spellStart"/>
            <w:r w:rsidRPr="00576943">
              <w:rPr>
                <w:rFonts w:cs="Times New Roman"/>
              </w:rPr>
              <w:t>ECE</w:t>
            </w:r>
            <w:proofErr w:type="spellEnd"/>
            <w:r w:rsidRPr="00576943">
              <w:rPr>
                <w:rFonts w:cs="Times New Roman"/>
              </w:rPr>
              <w:t>/</w:t>
            </w:r>
            <w:proofErr w:type="spellStart"/>
            <w:r w:rsidRPr="00576943">
              <w:rPr>
                <w:rFonts w:cs="Times New Roman"/>
              </w:rPr>
              <w:t>TRANS</w:t>
            </w:r>
            <w:proofErr w:type="spellEnd"/>
            <w:r w:rsidRPr="00576943">
              <w:rPr>
                <w:rFonts w:cs="Times New Roman"/>
              </w:rPr>
              <w:t>/WP.29/</w:t>
            </w:r>
            <w:proofErr w:type="spellStart"/>
            <w:r w:rsidRPr="00576943">
              <w:rPr>
                <w:rFonts w:cs="Times New Roman"/>
              </w:rPr>
              <w:t>GRBP</w:t>
            </w:r>
            <w:proofErr w:type="spellEnd"/>
            <w:r w:rsidRPr="00576943">
              <w:rPr>
                <w:rFonts w:cs="Times New Roman"/>
              </w:rPr>
              <w:t>/2020/3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3BE7FF2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  <w:tr w:rsidR="00576943" w:rsidRPr="00576943" w14:paraId="266715B4" w14:textId="77777777" w:rsidTr="00576943">
        <w:trPr>
          <w:trHeight w:val="20"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EF3CF4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31-Rev.1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231C3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proofErr w:type="spellStart"/>
            <w:r w:rsidRPr="00576943">
              <w:rPr>
                <w:rFonts w:cs="Times New Roman"/>
              </w:rPr>
              <w:t>ЦГ</w:t>
            </w:r>
            <w:proofErr w:type="spellEnd"/>
            <w:r w:rsidRPr="00576943">
              <w:rPr>
                <w:rFonts w:cs="Times New Roman"/>
              </w:rPr>
              <w:t xml:space="preserve"> НИ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BC680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3B1357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А</w:t>
            </w:r>
          </w:p>
        </w:tc>
        <w:tc>
          <w:tcPr>
            <w:tcW w:w="317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1A760" w14:textId="77777777" w:rsidR="00FD02F4" w:rsidRPr="00576943" w:rsidRDefault="00FD02F4" w:rsidP="004E44E4">
            <w:pPr>
              <w:spacing w:before="60" w:after="60" w:line="220" w:lineRule="atLeast"/>
              <w:rPr>
                <w:rFonts w:cs="Times New Roman"/>
              </w:rPr>
            </w:pPr>
            <w:r w:rsidRPr="00576943">
              <w:rPr>
                <w:rFonts w:cs="Times New Roman"/>
              </w:rPr>
              <w:t>Проект круга ведения неофициальной рабочей группы по неопределенностям измерений (</w:t>
            </w:r>
            <w:proofErr w:type="spellStart"/>
            <w:r w:rsidRPr="00576943">
              <w:rPr>
                <w:rFonts w:cs="Times New Roman"/>
              </w:rPr>
              <w:t>НРГ</w:t>
            </w:r>
            <w:proofErr w:type="spellEnd"/>
            <w:r w:rsidRPr="00576943">
              <w:rPr>
                <w:rFonts w:cs="Times New Roman"/>
              </w:rPr>
              <w:t xml:space="preserve"> НИ)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F059D" w14:textId="77777777" w:rsidR="00FD02F4" w:rsidRPr="00576943" w:rsidRDefault="00FD02F4" w:rsidP="004E44E4">
            <w:pPr>
              <w:spacing w:before="60" w:after="60" w:line="220" w:lineRule="atLeast"/>
              <w:jc w:val="center"/>
              <w:rPr>
                <w:rFonts w:cs="Times New Roman"/>
              </w:rPr>
            </w:pPr>
            <w:r w:rsidRPr="00576943">
              <w:rPr>
                <w:rFonts w:cs="Times New Roman"/>
              </w:rPr>
              <w:t>d)</w:t>
            </w:r>
          </w:p>
        </w:tc>
      </w:tr>
    </w:tbl>
    <w:p w14:paraId="5BB860AC" w14:textId="77777777" w:rsidR="00FD02F4" w:rsidRPr="00FD02F4" w:rsidRDefault="00FD02F4" w:rsidP="00576943">
      <w:pPr>
        <w:pStyle w:val="SingleTxtG"/>
        <w:spacing w:before="120" w:after="0" w:line="220" w:lineRule="atLeast"/>
        <w:ind w:firstLine="142"/>
        <w:jc w:val="left"/>
        <w:rPr>
          <w:i/>
        </w:rPr>
      </w:pPr>
      <w:r w:rsidRPr="00FD02F4">
        <w:rPr>
          <w:i/>
          <w:iCs/>
        </w:rPr>
        <w:t>Примечания:</w:t>
      </w:r>
    </w:p>
    <w:p w14:paraId="4B618EDC" w14:textId="77777777" w:rsidR="00FD02F4" w:rsidRPr="00FD02F4" w:rsidRDefault="00FD02F4" w:rsidP="007C3A1A">
      <w:pPr>
        <w:pStyle w:val="SingleTxtG"/>
        <w:tabs>
          <w:tab w:val="left" w:pos="1560"/>
        </w:tabs>
        <w:spacing w:after="0" w:line="220" w:lineRule="atLeast"/>
        <w:ind w:left="1560" w:hanging="284"/>
        <w:jc w:val="left"/>
      </w:pPr>
      <w:r w:rsidRPr="00FD02F4">
        <w:t>a)</w:t>
      </w:r>
      <w:r w:rsidRPr="00FD02F4">
        <w:tab/>
        <w:t>Рассмотрение завершено либо документ подлежит замене.</w:t>
      </w:r>
    </w:p>
    <w:p w14:paraId="78B268BB" w14:textId="77777777" w:rsidR="00FD02F4" w:rsidRPr="00FD02F4" w:rsidRDefault="00FD02F4" w:rsidP="007C3A1A">
      <w:pPr>
        <w:pStyle w:val="SingleTxtG"/>
        <w:tabs>
          <w:tab w:val="left" w:pos="1560"/>
        </w:tabs>
        <w:spacing w:after="0" w:line="220" w:lineRule="atLeast"/>
        <w:ind w:left="1560" w:hanging="284"/>
        <w:jc w:val="left"/>
      </w:pPr>
      <w:r w:rsidRPr="00FD02F4">
        <w:t>b)</w:t>
      </w:r>
      <w:r w:rsidRPr="00FD02F4">
        <w:tab/>
        <w:t>Рассмотрение будет продолжено на следующей сессии в качестве официального документа.</w:t>
      </w:r>
    </w:p>
    <w:p w14:paraId="6F68D3D4" w14:textId="77777777" w:rsidR="00FD02F4" w:rsidRPr="00FD02F4" w:rsidRDefault="00FD02F4" w:rsidP="007C3A1A">
      <w:pPr>
        <w:pStyle w:val="SingleTxtG"/>
        <w:tabs>
          <w:tab w:val="left" w:pos="1560"/>
        </w:tabs>
        <w:spacing w:after="0" w:line="220" w:lineRule="atLeast"/>
        <w:ind w:left="1560" w:hanging="284"/>
        <w:jc w:val="left"/>
      </w:pPr>
      <w:r w:rsidRPr="00FD02F4">
        <w:t>c)</w:t>
      </w:r>
      <w:r w:rsidRPr="00FD02F4">
        <w:tab/>
        <w:t>Рассмотрение будет продолжено на следующей сессии в качестве неофициального документа.</w:t>
      </w:r>
    </w:p>
    <w:p w14:paraId="23935CA3" w14:textId="77777777" w:rsidR="00FD02F4" w:rsidRPr="00576943" w:rsidRDefault="00FD02F4" w:rsidP="007C3A1A">
      <w:pPr>
        <w:pStyle w:val="SingleTxtG"/>
        <w:tabs>
          <w:tab w:val="left" w:pos="1560"/>
        </w:tabs>
        <w:spacing w:after="0" w:line="220" w:lineRule="atLeast"/>
        <w:ind w:left="1560" w:hanging="284"/>
        <w:jc w:val="left"/>
      </w:pPr>
      <w:r w:rsidRPr="00FD02F4">
        <w:t>d)</w:t>
      </w:r>
      <w:r w:rsidRPr="00FD02F4">
        <w:tab/>
        <w:t>Принят и будет представлен WP.29.</w:t>
      </w:r>
    </w:p>
    <w:p w14:paraId="67558CFD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580EB374" w14:textId="77777777" w:rsidR="00FD02F4" w:rsidRPr="00FD02F4" w:rsidRDefault="00FD02F4" w:rsidP="00576943">
      <w:pPr>
        <w:pStyle w:val="HChG"/>
      </w:pPr>
      <w:r w:rsidRPr="00FD02F4">
        <w:lastRenderedPageBreak/>
        <w:t>Приложение II</w:t>
      </w:r>
    </w:p>
    <w:p w14:paraId="47075869" w14:textId="77777777" w:rsidR="00FD02F4" w:rsidRPr="00FD02F4" w:rsidRDefault="00FD02F4" w:rsidP="00576943">
      <w:pPr>
        <w:pStyle w:val="HChG"/>
      </w:pPr>
      <w:r w:rsidRPr="00FD02F4">
        <w:tab/>
      </w:r>
      <w:r w:rsidRPr="00FD02F4">
        <w:tab/>
        <w:t xml:space="preserve">Принятые поправки к Правилам </w:t>
      </w:r>
      <w:r>
        <w:t>№ </w:t>
      </w:r>
      <w:r w:rsidRPr="00FD02F4">
        <w:t xml:space="preserve">41 ООН (на основе документов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>/2019/25/Rev.1 и</w:t>
      </w:r>
      <w:r w:rsidR="00576943">
        <w:t> </w:t>
      </w:r>
      <w:r w:rsidRPr="00FD02F4">
        <w:t>GRBP-71-18-Rev.2)</w:t>
      </w:r>
      <w:bookmarkStart w:id="7" w:name="_Hlk33175764"/>
    </w:p>
    <w:bookmarkEnd w:id="7"/>
    <w:p w14:paraId="7FD783DD" w14:textId="77777777" w:rsidR="00FD02F4" w:rsidRPr="00FD02F4" w:rsidRDefault="00FD02F4" w:rsidP="00FD02F4">
      <w:pPr>
        <w:pStyle w:val="SingleTxtG"/>
      </w:pPr>
      <w:r w:rsidRPr="00FD02F4">
        <w:rPr>
          <w:i/>
          <w:iCs/>
        </w:rPr>
        <w:t>Пункт 2</w:t>
      </w:r>
      <w:r w:rsidRPr="00FD02F4">
        <w:t xml:space="preserve"> изменить следующим образом:</w:t>
      </w:r>
    </w:p>
    <w:p w14:paraId="09EABFAE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>«2.</w:t>
      </w:r>
      <w:r w:rsidRPr="00FD02F4">
        <w:tab/>
        <w:t>…</w:t>
      </w:r>
    </w:p>
    <w:p w14:paraId="0DC83C9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2.1 </w:t>
      </w:r>
      <w:r w:rsidRPr="00FD02F4">
        <w:tab/>
      </w:r>
      <w:r w:rsidRPr="00FD02F4">
        <w:tab/>
        <w:t>"</w:t>
      </w:r>
      <w:r w:rsidRPr="00FD02F4">
        <w:rPr>
          <w:i/>
          <w:iCs/>
        </w:rPr>
        <w:t>Официальное утверждение мотоцикла</w:t>
      </w:r>
      <w:r w:rsidRPr="00FD02F4">
        <w:t>" означает официальное утверждение типа мотоцикла в связи с</w:t>
      </w:r>
      <w:r w:rsidR="00576943">
        <w:t xml:space="preserve"> п</w:t>
      </w:r>
      <w:r w:rsidRPr="00FD02F4">
        <w:t xml:space="preserve">роизводимым им шумом; </w:t>
      </w:r>
    </w:p>
    <w:p w14:paraId="55C8760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2.2 </w:t>
      </w:r>
      <w:r w:rsidRPr="00FD02F4">
        <w:tab/>
        <w:t>"</w:t>
      </w:r>
      <w:r w:rsidRPr="00FD02F4">
        <w:rPr>
          <w:i/>
          <w:iCs/>
        </w:rPr>
        <w:t xml:space="preserve">Тип мотоцикла в связи с уровнем производимого им звука </w:t>
      </w:r>
      <w:r w:rsidRPr="00576943">
        <w:rPr>
          <w:i/>
          <w:iCs/>
          <w:strike/>
        </w:rPr>
        <w:t>и системой выпуска</w:t>
      </w:r>
      <w:r w:rsidRPr="00FD02F4">
        <w:t xml:space="preserve">" означает мотоциклы, не имеющие существенных различий в отношении: </w:t>
      </w:r>
    </w:p>
    <w:p w14:paraId="06647483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2.2.1 </w:t>
      </w:r>
      <w:r w:rsidRPr="00FD02F4">
        <w:tab/>
        <w:t xml:space="preserve">типа двигателя (двухтактный или четырехтактный, поршневой двигатель или роторный двигатель, число и рабочий объем цилиндров </w:t>
      </w:r>
      <w:r w:rsidRPr="00FD02F4">
        <w:rPr>
          <w:b/>
          <w:bCs/>
        </w:rPr>
        <w:t>или роторов</w:t>
      </w:r>
      <w:r w:rsidRPr="00FD02F4">
        <w:t xml:space="preserve">, число и тип карбюраторов или систем впрыска, расположение клапанов, номинальная полезная максимальная мощность и соответствующая частота вращения двигателя). В случае роторно-поршневых двигателей рабочий объем должен в два раза превышать объем камеры; </w:t>
      </w:r>
    </w:p>
    <w:p w14:paraId="56D67F2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2.2.2 </w:t>
      </w:r>
      <w:r w:rsidRPr="00FD02F4">
        <w:tab/>
        <w:t xml:space="preserve">системы трансмиссии, в частности количества передач и передаточных чисел, </w:t>
      </w:r>
      <w:r w:rsidRPr="00FD02F4">
        <w:rPr>
          <w:b/>
          <w:bCs/>
        </w:rPr>
        <w:t>а также общее передаточное число с учетом окружности задних колес;</w:t>
      </w:r>
    </w:p>
    <w:p w14:paraId="7DD8285E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2.2.3 </w:t>
      </w:r>
      <w:r w:rsidRPr="00FD02F4">
        <w:tab/>
      </w:r>
      <w:r w:rsidRPr="00576943">
        <w:rPr>
          <w:strike/>
        </w:rPr>
        <w:t>числа, типа и расположения систем выпуска или глушителей.</w:t>
      </w:r>
      <w:r w:rsidRPr="00FD02F4">
        <w:t xml:space="preserve"> </w:t>
      </w:r>
      <w:r w:rsidRPr="00FD02F4">
        <w:rPr>
          <w:b/>
          <w:bCs/>
        </w:rPr>
        <w:t>конфигурации и расположения систем выпуска или глушителя.</w:t>
      </w:r>
    </w:p>
    <w:p w14:paraId="6891A95D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2.3 </w:t>
      </w:r>
      <w:r w:rsidRPr="00FD02F4">
        <w:tab/>
        <w:t>"</w:t>
      </w:r>
      <w:r w:rsidRPr="00FD02F4">
        <w:rPr>
          <w:i/>
          <w:iCs/>
        </w:rPr>
        <w:t>Система выпуска или глушителя</w:t>
      </w:r>
      <w:r w:rsidRPr="00FD02F4">
        <w:t xml:space="preserve">" означает полный комплект элементов, необходимых для снижения шума, производимого двигателем мотоцикла и его выхлопными газами. </w:t>
      </w:r>
    </w:p>
    <w:p w14:paraId="371B418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2.3.1 </w:t>
      </w:r>
      <w:r w:rsidRPr="00FD02F4">
        <w:tab/>
        <w:t>"</w:t>
      </w:r>
      <w:r w:rsidRPr="00FD02F4">
        <w:rPr>
          <w:i/>
          <w:iCs/>
        </w:rPr>
        <w:t>Оригинальная система выпуска или глушителя</w:t>
      </w:r>
      <w:r w:rsidRPr="00FD02F4">
        <w:t>" означает систему такого типа, которой транспортное средство было оснащено в момент официального утверждения или распространения официального утверждения. Она может также быть сменной частью, произведенной изготовителем транспортного средства.</w:t>
      </w:r>
    </w:p>
    <w:p w14:paraId="2BACE13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  <w:rPr>
          <w:i/>
          <w:iCs/>
        </w:rPr>
      </w:pPr>
      <w:r w:rsidRPr="00FD02F4">
        <w:t xml:space="preserve">2.3.2 </w:t>
      </w:r>
      <w:r w:rsidRPr="00FD02F4">
        <w:tab/>
        <w:t>"</w:t>
      </w:r>
      <w:r w:rsidRPr="00FD02F4">
        <w:rPr>
          <w:i/>
          <w:iCs/>
        </w:rPr>
        <w:t xml:space="preserve">Неоригинальная </w:t>
      </w:r>
      <w:r w:rsidRPr="00FD02F4">
        <w:rPr>
          <w:b/>
          <w:bCs/>
          <w:i/>
          <w:iCs/>
        </w:rPr>
        <w:t xml:space="preserve">сменная </w:t>
      </w:r>
      <w:r w:rsidRPr="00FD02F4">
        <w:rPr>
          <w:i/>
          <w:iCs/>
        </w:rPr>
        <w:t>система выпуска или глушителя (</w:t>
      </w:r>
      <w:proofErr w:type="spellStart"/>
      <w:r w:rsidRPr="00FD02F4">
        <w:rPr>
          <w:b/>
          <w:bCs/>
          <w:i/>
          <w:iCs/>
        </w:rPr>
        <w:t>НОССВГ</w:t>
      </w:r>
      <w:proofErr w:type="spellEnd"/>
      <w:r w:rsidRPr="00FD02F4">
        <w:rPr>
          <w:i/>
          <w:iCs/>
        </w:rPr>
        <w:t>)</w:t>
      </w:r>
      <w:r w:rsidRPr="00FD02F4">
        <w:t>" означает систему, которая отличается от системы того типа, которой транспортное средство было оснащено в момент официального утверждения или распространения официального утверждения.</w:t>
      </w:r>
    </w:p>
    <w:p w14:paraId="224884F3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2.4 </w:t>
      </w:r>
      <w:r w:rsidRPr="00FD02F4">
        <w:tab/>
        <w:t>"</w:t>
      </w:r>
      <w:r w:rsidRPr="00FD02F4">
        <w:rPr>
          <w:i/>
          <w:iCs/>
        </w:rPr>
        <w:t xml:space="preserve">Системы выпуска или глушителей различных </w:t>
      </w:r>
      <w:r w:rsidRPr="00576943">
        <w:rPr>
          <w:i/>
          <w:iCs/>
          <w:strike/>
        </w:rPr>
        <w:t>типов</w:t>
      </w:r>
      <w:r w:rsidRPr="00FD02F4">
        <w:rPr>
          <w:b/>
          <w:bCs/>
          <w:i/>
          <w:iCs/>
        </w:rPr>
        <w:t xml:space="preserve"> конфигураций</w:t>
      </w:r>
      <w:r w:rsidRPr="00FD02F4">
        <w:t>" означают системы, имеющие одно или более из следующих существенных различий:</w:t>
      </w:r>
    </w:p>
    <w:p w14:paraId="532117D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2.4.1 </w:t>
      </w:r>
      <w:r w:rsidRPr="00FD02F4">
        <w:tab/>
        <w:t>системы, элементы которых имеют различные фабричные или торговые знаки;</w:t>
      </w:r>
    </w:p>
    <w:p w14:paraId="379BC050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2.4.2 </w:t>
      </w:r>
      <w:r w:rsidRPr="00FD02F4">
        <w:tab/>
        <w:t>системы, в которых характеристики материалов, из которых изготовлен какой-либо элемент системы, являются разными или элементы которых имеют разную форму либо размер;</w:t>
      </w:r>
    </w:p>
    <w:p w14:paraId="6D2D7B8D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2.4.3 </w:t>
      </w:r>
      <w:r w:rsidRPr="00FD02F4">
        <w:tab/>
        <w:t>системы, в которых принципы работы хотя бы одного элемента различаются;</w:t>
      </w:r>
    </w:p>
    <w:p w14:paraId="04E9BCCC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2.4.4 </w:t>
      </w:r>
      <w:r w:rsidRPr="00FD02F4">
        <w:tab/>
        <w:t>системы, элементы которых комбинируются по-разному;</w:t>
      </w:r>
    </w:p>
    <w:p w14:paraId="15FC993B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>2.5</w:t>
      </w:r>
      <w:r w:rsidRPr="00FD02F4">
        <w:tab/>
        <w:t>…».</w:t>
      </w:r>
    </w:p>
    <w:p w14:paraId="168F2BFA" w14:textId="77777777" w:rsidR="00FD02F4" w:rsidRPr="00FD02F4" w:rsidRDefault="00FD02F4" w:rsidP="00576943">
      <w:pPr>
        <w:pStyle w:val="SingleTxtG"/>
        <w:keepNext/>
        <w:tabs>
          <w:tab w:val="left" w:pos="2268"/>
        </w:tabs>
        <w:ind w:left="2268" w:hanging="1134"/>
      </w:pPr>
      <w:r w:rsidRPr="00FD02F4">
        <w:rPr>
          <w:i/>
          <w:iCs/>
        </w:rPr>
        <w:lastRenderedPageBreak/>
        <w:t>Пункт 3.</w:t>
      </w:r>
      <w:r w:rsidRPr="00FD02F4">
        <w:t xml:space="preserve"> «</w:t>
      </w:r>
      <w:r w:rsidRPr="00FD02F4">
        <w:rPr>
          <w:i/>
          <w:iCs/>
        </w:rPr>
        <w:t>Заявка на официальное утверждение</w:t>
      </w:r>
      <w:r w:rsidRPr="00FD02F4">
        <w:t>» изменить следующим образом:</w:t>
      </w:r>
    </w:p>
    <w:p w14:paraId="0D96CA80" w14:textId="77777777" w:rsidR="00FD02F4" w:rsidRPr="007A6235" w:rsidRDefault="00FD02F4" w:rsidP="00576943">
      <w:pPr>
        <w:pStyle w:val="SingleTxtG"/>
        <w:tabs>
          <w:tab w:val="left" w:pos="2268"/>
        </w:tabs>
        <w:ind w:left="2268" w:hanging="1134"/>
        <w:rPr>
          <w:bCs/>
        </w:rPr>
      </w:pPr>
      <w:r w:rsidRPr="00FD02F4">
        <w:rPr>
          <w:b/>
          <w:bCs/>
        </w:rPr>
        <w:t>«3.</w:t>
      </w:r>
      <w:r w:rsidRPr="00FD02F4">
        <w:rPr>
          <w:b/>
          <w:bCs/>
        </w:rPr>
        <w:tab/>
      </w:r>
      <w:r w:rsidRPr="007A6235">
        <w:rPr>
          <w:bCs/>
        </w:rPr>
        <w:t>…</w:t>
      </w:r>
    </w:p>
    <w:p w14:paraId="6CE33836" w14:textId="77777777" w:rsidR="00FD02F4" w:rsidRPr="00576943" w:rsidRDefault="00FD02F4" w:rsidP="00576943">
      <w:pPr>
        <w:pStyle w:val="SingleTxtG"/>
        <w:tabs>
          <w:tab w:val="left" w:pos="2268"/>
        </w:tabs>
        <w:ind w:left="2268" w:hanging="1134"/>
        <w:rPr>
          <w:bCs/>
        </w:rPr>
      </w:pPr>
      <w:r w:rsidRPr="00576943">
        <w:rPr>
          <w:bCs/>
        </w:rPr>
        <w:t>…</w:t>
      </w:r>
    </w:p>
    <w:p w14:paraId="63F053CB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rPr>
          <w:b/>
          <w:bCs/>
        </w:rPr>
        <w:t>3.3</w:t>
      </w:r>
      <w:r w:rsidRPr="00FD02F4">
        <w:rPr>
          <w:b/>
          <w:bCs/>
        </w:rPr>
        <w:tab/>
        <w:t>Соответствующие документы, упомянутые в пункте 3.2 выше, должны быть подготовлены по каждой конфигурации системы выпуска или глушителя, если к типу мотоцикла, подлежащего официальному утверждению, применимы несколько конфигураций.</w:t>
      </w:r>
    </w:p>
    <w:p w14:paraId="15CB8D68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>3.</w:t>
      </w:r>
      <w:r w:rsidRPr="00576943">
        <w:rPr>
          <w:strike/>
        </w:rPr>
        <w:t>3</w:t>
      </w:r>
      <w:r w:rsidRPr="00FD02F4">
        <w:rPr>
          <w:b/>
          <w:bCs/>
        </w:rPr>
        <w:t>4</w:t>
      </w:r>
      <w:r w:rsidRPr="00FD02F4">
        <w:tab/>
        <w:t xml:space="preserve">По просьбе технической службы, уполномоченной проводить испытания для официального утверждения, </w:t>
      </w:r>
      <w:r w:rsidRPr="00FD02F4">
        <w:rPr>
          <w:b/>
          <w:bCs/>
        </w:rPr>
        <w:t>по согласованию с органами по официальному утверждению типа</w:t>
      </w:r>
      <w:r w:rsidRPr="00FD02F4">
        <w:t xml:space="preserve"> изготовитель мотоцикла должен, кроме того, представить образец систем</w:t>
      </w:r>
      <w:r w:rsidRPr="00FD02F4">
        <w:rPr>
          <w:b/>
          <w:bCs/>
        </w:rPr>
        <w:t>(ы)</w:t>
      </w:r>
      <w:r w:rsidRPr="00FD02F4">
        <w:t xml:space="preserve"> выпуска или глушителя.</w:t>
      </w:r>
    </w:p>
    <w:p w14:paraId="3CFC8F8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FD02F4">
        <w:t>3.</w:t>
      </w:r>
      <w:r w:rsidRPr="00576943">
        <w:rPr>
          <w:strike/>
        </w:rPr>
        <w:t>4</w:t>
      </w:r>
      <w:r w:rsidRPr="00FD02F4">
        <w:rPr>
          <w:b/>
          <w:bCs/>
        </w:rPr>
        <w:t>5</w:t>
      </w:r>
      <w:r w:rsidRPr="00FD02F4">
        <w:tab/>
        <w:t xml:space="preserve">Технической службе, уполномоченной проводить испытание для официального утверждения, </w:t>
      </w:r>
      <w:r w:rsidRPr="00FD02F4">
        <w:rPr>
          <w:b/>
          <w:bCs/>
        </w:rPr>
        <w:t>по согласованию с органами по официальному утверждению типа</w:t>
      </w:r>
      <w:r w:rsidRPr="00FD02F4">
        <w:t xml:space="preserve"> должен</w:t>
      </w:r>
      <w:r w:rsidRPr="00FD02F4">
        <w:rPr>
          <w:b/>
          <w:bCs/>
        </w:rPr>
        <w:t>(</w:t>
      </w:r>
      <w:proofErr w:type="spellStart"/>
      <w:r w:rsidRPr="00FD02F4">
        <w:rPr>
          <w:b/>
          <w:bCs/>
        </w:rPr>
        <w:t>ны</w:t>
      </w:r>
      <w:proofErr w:type="spellEnd"/>
      <w:r w:rsidRPr="00FD02F4">
        <w:rPr>
          <w:b/>
          <w:bCs/>
        </w:rPr>
        <w:t>)</w:t>
      </w:r>
      <w:r w:rsidRPr="00FD02F4">
        <w:t xml:space="preserve"> быть представлен</w:t>
      </w:r>
      <w:r w:rsidRPr="00FD02F4">
        <w:rPr>
          <w:b/>
          <w:bCs/>
        </w:rPr>
        <w:t>(ы)</w:t>
      </w:r>
      <w:r w:rsidRPr="00FD02F4">
        <w:t xml:space="preserve"> </w:t>
      </w:r>
      <w:r w:rsidRPr="00FD02F4">
        <w:rPr>
          <w:b/>
          <w:bCs/>
        </w:rPr>
        <w:t xml:space="preserve">(все) </w:t>
      </w:r>
      <w:r w:rsidRPr="00FD02F4">
        <w:t>мотоцикл</w:t>
      </w:r>
      <w:r w:rsidRPr="00FD02F4">
        <w:rPr>
          <w:b/>
          <w:bCs/>
        </w:rPr>
        <w:t>(ы)</w:t>
      </w:r>
      <w:r w:rsidRPr="00576943">
        <w:rPr>
          <w:strike/>
        </w:rPr>
        <w:t>, представляющий тип мотоцикла</w:t>
      </w:r>
      <w:r w:rsidRPr="00FD02F4">
        <w:rPr>
          <w:b/>
          <w:bCs/>
        </w:rPr>
        <w:t xml:space="preserve"> того же типа,</w:t>
      </w:r>
      <w:r w:rsidRPr="00FD02F4">
        <w:t xml:space="preserve"> подлежащего официальному утверждению,</w:t>
      </w:r>
      <w:r w:rsidRPr="00FD02F4">
        <w:rPr>
          <w:b/>
          <w:bCs/>
        </w:rPr>
        <w:t xml:space="preserve"> со всеми возможными конфигурациями системы выпуска или глушителя</w:t>
      </w:r>
      <w:r w:rsidRPr="00FD02F4">
        <w:t>.</w:t>
      </w:r>
    </w:p>
    <w:p w14:paraId="401AB8C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>3.</w:t>
      </w:r>
      <w:r w:rsidRPr="00576943">
        <w:rPr>
          <w:strike/>
        </w:rPr>
        <w:t>5</w:t>
      </w:r>
      <w:r w:rsidRPr="00FD02F4">
        <w:rPr>
          <w:b/>
          <w:bCs/>
        </w:rPr>
        <w:t>6</w:t>
      </w:r>
      <w:r w:rsidRPr="00FD02F4">
        <w:tab/>
        <w:t>…».</w:t>
      </w:r>
    </w:p>
    <w:p w14:paraId="5C2EC357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rPr>
          <w:i/>
          <w:iCs/>
        </w:rPr>
        <w:t>Пункт 5</w:t>
      </w:r>
      <w:r w:rsidRPr="00FD02F4">
        <w:t xml:space="preserve"> изменить следующим образом:</w:t>
      </w:r>
    </w:p>
    <w:p w14:paraId="0908CAC8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«5. </w:t>
      </w:r>
      <w:r w:rsidRPr="00FD02F4">
        <w:tab/>
      </w:r>
      <w:r w:rsidRPr="00FD02F4">
        <w:tab/>
        <w:t xml:space="preserve">ОФИЦИАЛЬНОЕ УТВЕРЖДЕНИЕ </w:t>
      </w:r>
    </w:p>
    <w:p w14:paraId="31581CE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5.1 </w:t>
      </w:r>
      <w:r w:rsidRPr="00FD02F4">
        <w:tab/>
        <w:t xml:space="preserve">Если тип мотоцикла, представленного на официальное утверждение на основании настоящих Правил, соответствует требованиям пунктов 6 и 7 ниже, то данный тип мотоцикла официально утверждается. </w:t>
      </w:r>
    </w:p>
    <w:p w14:paraId="1C59468C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5.2.1 </w:t>
      </w:r>
      <w:r w:rsidRPr="00FD02F4">
        <w:tab/>
        <w:t xml:space="preserve">Каждому официально утвержденному типу присваивают номер официального утверждения. Первые две цифры этого номера указывают на серию поправок, включающую самые последние существенные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</w:t>
      </w:r>
      <w:r w:rsidRPr="007A6235">
        <w:rPr>
          <w:strike/>
        </w:rPr>
        <w:t>такому же типу мотоцикла, оборудованного другим типом глушителя, или</w:t>
      </w:r>
      <w:r w:rsidRPr="00FD02F4">
        <w:t xml:space="preserve"> другому типу мотоцикла. </w:t>
      </w:r>
    </w:p>
    <w:p w14:paraId="27F43C08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rPr>
          <w:b/>
          <w:bCs/>
        </w:rPr>
        <w:t>5.2.2</w:t>
      </w:r>
      <w:r w:rsidRPr="00FD02F4">
        <w:t xml:space="preserve"> </w:t>
      </w:r>
      <w:r w:rsidRPr="00FD02F4">
        <w:tab/>
      </w:r>
      <w:r w:rsidRPr="00FD02F4">
        <w:rPr>
          <w:b/>
          <w:bCs/>
        </w:rPr>
        <w:t>Разные конфигурации системы выпуска или глушителя должны быть четко перечислены в рамках одного и того же официального утверждения типа мотоцикла с результатами соответствующих испытаний.</w:t>
      </w:r>
      <w:r w:rsidRPr="00FD02F4">
        <w:t xml:space="preserve"> </w:t>
      </w:r>
      <w:r w:rsidRPr="007A6235">
        <w:rPr>
          <w:strike/>
        </w:rPr>
        <w:t>или быть испытаны по наихудшим критериям, установленным по договоренности между органом по официальному утверждению типа и изготовителем.</w:t>
      </w:r>
    </w:p>
    <w:p w14:paraId="5FAFCA3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 xml:space="preserve">5.3 </w:t>
      </w:r>
      <w:r w:rsidRPr="00FD02F4">
        <w:tab/>
        <w:t>Стороны Соглашения, применяющие настоящие Правила, уведомляются об официальном утверждении или об отказе в официальном утверждении типа мотоцикла на основании настоящих Правил посредством карточки, соответствующей образцу, приведенному в приложении 1 к настоящим Правилам, и чертежей глушителя (представляемых предприятием, подавшим заявку на официальное утверждение) максимальным форматом A4 (210 х 297 мм) или форматом, кратным ему и в соответствующем масштабе.</w:t>
      </w:r>
    </w:p>
    <w:p w14:paraId="75ED4225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rPr>
          <w:b/>
          <w:bCs/>
        </w:rPr>
        <w:t>5.4</w:t>
      </w:r>
      <w:r w:rsidRPr="00FD02F4">
        <w:tab/>
      </w:r>
      <w:r w:rsidRPr="00FD02F4">
        <w:rPr>
          <w:b/>
          <w:bCs/>
        </w:rPr>
        <w:t>Соответствующая информация о различных конфигурациях систем выпуска или глушителя, упомянутая в пункте 5.2.2 выше, указывается в соответствии с приложением 1 к настоящим Правилам</w:t>
      </w:r>
      <w:r w:rsidR="007C3A1A">
        <w:rPr>
          <w:b/>
          <w:bCs/>
        </w:rPr>
        <w:t>.</w:t>
      </w:r>
      <w:r w:rsidRPr="007C3A1A">
        <w:rPr>
          <w:bCs/>
        </w:rPr>
        <w:t>».</w:t>
      </w:r>
      <w:r w:rsidRPr="00FD02F4">
        <w:t xml:space="preserve"> </w:t>
      </w:r>
    </w:p>
    <w:p w14:paraId="2A0F7F0D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  <w:rPr>
          <w:i/>
        </w:rPr>
      </w:pPr>
      <w:r w:rsidRPr="00FD02F4">
        <w:rPr>
          <w:i/>
          <w:iCs/>
        </w:rPr>
        <w:t>Пункты 5.4–5.8</w:t>
      </w:r>
      <w:r w:rsidRPr="00FD02F4">
        <w:t xml:space="preserve"> </w:t>
      </w:r>
      <w:r w:rsidRPr="00FD02F4">
        <w:rPr>
          <w:i/>
          <w:iCs/>
        </w:rPr>
        <w:t>(прежние)</w:t>
      </w:r>
      <w:r w:rsidRPr="00FD02F4">
        <w:t>, изменить нумерацию пунктов на 5.5–5.9 соответственно.</w:t>
      </w:r>
    </w:p>
    <w:p w14:paraId="2F89E812" w14:textId="77777777" w:rsidR="00FD02F4" w:rsidRPr="00FD02F4" w:rsidRDefault="00FD02F4" w:rsidP="007A6235">
      <w:pPr>
        <w:pStyle w:val="SingleTxtG"/>
        <w:keepNext/>
        <w:tabs>
          <w:tab w:val="left" w:pos="2268"/>
        </w:tabs>
        <w:ind w:left="2268" w:hanging="1134"/>
      </w:pPr>
      <w:r w:rsidRPr="00FD02F4">
        <w:rPr>
          <w:i/>
          <w:iCs/>
        </w:rPr>
        <w:lastRenderedPageBreak/>
        <w:t>Приложение 3, пункт 1.3.2.1</w:t>
      </w:r>
      <w:r w:rsidRPr="00FD02F4">
        <w:t xml:space="preserve"> изменить следующим образом:</w:t>
      </w:r>
    </w:p>
    <w:p w14:paraId="5898C5EA" w14:textId="77777777" w:rsidR="00FD02F4" w:rsidRPr="00FD02F4" w:rsidRDefault="00FD02F4" w:rsidP="007A6235">
      <w:pPr>
        <w:pStyle w:val="SingleTxtG"/>
        <w:keepNext/>
        <w:tabs>
          <w:tab w:val="left" w:pos="2268"/>
        </w:tabs>
        <w:ind w:left="2268" w:hanging="1134"/>
      </w:pPr>
      <w:r w:rsidRPr="00FD02F4">
        <w:t xml:space="preserve">«1.3.2.1 </w:t>
      </w:r>
      <w:r w:rsidRPr="00FD02F4">
        <w:tab/>
        <w:t>Общие условия</w:t>
      </w:r>
    </w:p>
    <w:p w14:paraId="77ED97DE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FD02F4">
        <w:tab/>
      </w:r>
      <w:r w:rsidRPr="007A6235">
        <w:rPr>
          <w:strike/>
        </w:rPr>
        <w:t>Представленное транспортное средство должно соответствовать техническим требованиям, указанным изготовителем.</w:t>
      </w:r>
      <w:r w:rsidRPr="00FD02F4">
        <w:t xml:space="preserve"> </w:t>
      </w:r>
      <w:r w:rsidRPr="00FD02F4">
        <w:rPr>
          <w:b/>
          <w:bCs/>
        </w:rPr>
        <w:t>В целях соблюдения требований настоящих Правил испытуемое(</w:t>
      </w:r>
      <w:proofErr w:type="spellStart"/>
      <w:r w:rsidRPr="00FD02F4">
        <w:rPr>
          <w:b/>
          <w:bCs/>
        </w:rPr>
        <w:t>ые</w:t>
      </w:r>
      <w:proofErr w:type="spellEnd"/>
      <w:r w:rsidRPr="00FD02F4">
        <w:rPr>
          <w:b/>
          <w:bCs/>
        </w:rPr>
        <w:t>) транспортное(</w:t>
      </w:r>
      <w:proofErr w:type="spellStart"/>
      <w:r w:rsidRPr="00FD02F4">
        <w:rPr>
          <w:b/>
          <w:bCs/>
        </w:rPr>
        <w:t>ые</w:t>
      </w:r>
      <w:proofErr w:type="spellEnd"/>
      <w:r w:rsidRPr="00FD02F4">
        <w:rPr>
          <w:b/>
          <w:bCs/>
        </w:rPr>
        <w:t>) средство(а) должно(ы) быть репрезентативным(и) для транспортных средств, предназначенных для выпуска на рынок, в соответствии с типом транспортных средств, подлежащим официальному утверждению, и выбирается(</w:t>
      </w:r>
      <w:proofErr w:type="spellStart"/>
      <w:r w:rsidRPr="00FD02F4">
        <w:rPr>
          <w:b/>
          <w:bCs/>
        </w:rPr>
        <w:t>ются</w:t>
      </w:r>
      <w:proofErr w:type="spellEnd"/>
      <w:r w:rsidRPr="00FD02F4">
        <w:rPr>
          <w:b/>
          <w:bCs/>
        </w:rPr>
        <w:t>) изготовителем по согласованию с органом по официальному утверждению типа.</w:t>
      </w:r>
    </w:p>
    <w:p w14:paraId="70E81522" w14:textId="77777777" w:rsidR="00FD02F4" w:rsidRPr="00FD02F4" w:rsidRDefault="00FD02F4" w:rsidP="00576943">
      <w:pPr>
        <w:pStyle w:val="SingleTxtG"/>
        <w:tabs>
          <w:tab w:val="left" w:pos="2268"/>
        </w:tabs>
        <w:ind w:left="2268" w:hanging="1134"/>
      </w:pPr>
      <w:r w:rsidRPr="00FD02F4">
        <w:tab/>
        <w:t xml:space="preserve">Перед началом измерений транспортное средство приводят в нормальный эксплуатационный режим. </w:t>
      </w:r>
    </w:p>
    <w:p w14:paraId="127FB25D" w14:textId="77777777" w:rsidR="00FD02F4" w:rsidRPr="00FD02F4" w:rsidRDefault="007A6235" w:rsidP="00576943">
      <w:pPr>
        <w:pStyle w:val="SingleTxtG"/>
        <w:tabs>
          <w:tab w:val="left" w:pos="2268"/>
        </w:tabs>
        <w:ind w:left="2268" w:hanging="1134"/>
      </w:pPr>
      <w:r>
        <w:tab/>
      </w:r>
      <w:r w:rsidR="00FD02F4" w:rsidRPr="00FD02F4">
        <w:t>Если мотоцикл оснащен вентиляторами с механизмом автоматического привода, то во время измерений вмешательство в работу этой системы не допустимо. В случае мотоциклов с приводом более чем на одно колесо может использоваться только привод, предусмотренный для эксплуатации в нормальных дорожных условиях</w:t>
      </w:r>
      <w:r w:rsidR="007C3A1A">
        <w:t>.</w:t>
      </w:r>
      <w:r w:rsidR="00FD02F4" w:rsidRPr="00FD02F4">
        <w:t>».</w:t>
      </w:r>
    </w:p>
    <w:p w14:paraId="47EA5ABF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04A83DBD" w14:textId="77777777" w:rsidR="00FD02F4" w:rsidRPr="00FD02F4" w:rsidRDefault="00FD02F4" w:rsidP="007A6235">
      <w:pPr>
        <w:pStyle w:val="HChG"/>
      </w:pPr>
      <w:r w:rsidRPr="00FD02F4">
        <w:lastRenderedPageBreak/>
        <w:t>Приложение III</w:t>
      </w:r>
    </w:p>
    <w:p w14:paraId="455521CC" w14:textId="77777777" w:rsidR="00FD02F4" w:rsidRPr="00FD02F4" w:rsidRDefault="00FD02F4" w:rsidP="007A6235">
      <w:pPr>
        <w:pStyle w:val="HChG"/>
      </w:pPr>
      <w:r w:rsidRPr="00FD02F4">
        <w:tab/>
      </w:r>
      <w:r w:rsidRPr="00FD02F4">
        <w:tab/>
        <w:t xml:space="preserve">Принятые поправки к Правилам </w:t>
      </w:r>
      <w:r>
        <w:t>№ </w:t>
      </w:r>
      <w:r w:rsidRPr="00FD02F4">
        <w:t xml:space="preserve">41 ООН </w:t>
      </w:r>
      <w:r w:rsidR="007A6235">
        <w:br/>
      </w:r>
      <w:r w:rsidRPr="00FD02F4">
        <w:t>(на основе документа GRBP-71-10)</w:t>
      </w:r>
    </w:p>
    <w:p w14:paraId="6DFE7A67" w14:textId="77777777" w:rsidR="00FD02F4" w:rsidRPr="00FD02F4" w:rsidRDefault="00FD02F4" w:rsidP="00FD02F4">
      <w:pPr>
        <w:pStyle w:val="SingleTxtG"/>
        <w:rPr>
          <w:i/>
        </w:rPr>
      </w:pPr>
      <w:r w:rsidRPr="00FD02F4">
        <w:rPr>
          <w:i/>
          <w:iCs/>
        </w:rPr>
        <w:t>Приложение 3, пункт 2.4.1</w:t>
      </w:r>
      <w:r w:rsidRPr="00FD02F4">
        <w:t xml:space="preserve"> изменить следующим образом:</w:t>
      </w:r>
    </w:p>
    <w:p w14:paraId="56AAC5D1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 xml:space="preserve">«2.4.1 </w:t>
      </w:r>
      <w:r w:rsidRPr="00FD02F4">
        <w:tab/>
        <w:t>Расположение микрофона (см. добавление 2)</w:t>
      </w:r>
    </w:p>
    <w:p w14:paraId="7073BB43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i/>
        </w:rPr>
      </w:pPr>
      <w:r>
        <w:tab/>
      </w:r>
      <w:r w:rsidR="00FD02F4" w:rsidRPr="00FD02F4">
        <w:t>Микрофон располагается на расстоянии 0,5</w:t>
      </w:r>
      <w:r>
        <w:t> ± </w:t>
      </w:r>
      <w:r w:rsidR="00FD02F4" w:rsidRPr="00FD02F4">
        <w:t>0,01 м от исходной точки выпускной трубы, обозначенной на рис. 1, под углом 45°</w:t>
      </w:r>
      <w:r>
        <w:t> ± </w:t>
      </w:r>
      <w:r w:rsidR="00FD02F4" w:rsidRPr="00FD02F4">
        <w:t>5° к вертикальной плоскости, через которую проходит ось потока газа из среза трубы. Микрофон должен находиться на высоте исходной точки, но не ниже 0,2 м над уровнем грунта. Исходная ось микрофона должна находиться в плоскости, параллельной поверхности грунта, и должна быть направлена к исходной точке среза выпускной трубы.</w:t>
      </w:r>
    </w:p>
    <w:p w14:paraId="22E3FF77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>Исходная точка должна быть самой высокой точкой, соответствующей следующим условиям:</w:t>
      </w:r>
    </w:p>
    <w:p w14:paraId="1FCC311A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835" w:hanging="1701"/>
      </w:pPr>
      <w:r>
        <w:tab/>
      </w:r>
      <w:r w:rsidR="00FD02F4" w:rsidRPr="00FD02F4">
        <w:t>a)</w:t>
      </w:r>
      <w:r w:rsidR="00FD02F4" w:rsidRPr="00FD02F4">
        <w:tab/>
        <w:t>исходная точка находится на оконечности выпускной трубы,</w:t>
      </w:r>
    </w:p>
    <w:p w14:paraId="7784871C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835" w:hanging="1701"/>
      </w:pPr>
      <w:r>
        <w:tab/>
      </w:r>
      <w:r w:rsidR="00FD02F4" w:rsidRPr="00FD02F4">
        <w:t>b)</w:t>
      </w:r>
      <w:r w:rsidR="00FD02F4" w:rsidRPr="00FD02F4">
        <w:tab/>
        <w:t xml:space="preserve">исходная точка находится в вертикальной плоскости, на которой расположен </w:t>
      </w:r>
      <w:r w:rsidR="00FD02F4" w:rsidRPr="00FD02F4">
        <w:tab/>
        <w:t>центр выпускной трубы и через которую проходит ось потока газа из среза трубы.</w:t>
      </w:r>
    </w:p>
    <w:p w14:paraId="3240471E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>Если возможны два места установки микрофона, то должно использоваться то из них, которое соответствует наибольшему боковому удалению от продольной оси транспортного средства.</w:t>
      </w:r>
    </w:p>
    <w:p w14:paraId="66F50CCF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>Если ось потока газа из выпускной трубы находится под углом 90º</w:t>
      </w:r>
      <w:r>
        <w:t> ± </w:t>
      </w:r>
      <w:r w:rsidR="00FD02F4" w:rsidRPr="00FD02F4">
        <w:t>5º к продольной оси транспортного средства, то микрофон устанавливается в точке, которая наиболее удалена от двигателя.</w:t>
      </w:r>
    </w:p>
    <w:p w14:paraId="61F942E7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bookmarkStart w:id="8" w:name="_Hlk15907250"/>
      <w:r>
        <w:tab/>
      </w:r>
      <w:r w:rsidR="00FD02F4" w:rsidRPr="00FD02F4">
        <w:t xml:space="preserve">Если транспортное средство имеет не менее двух срезов выпускных труб, расстояние между которыми составляет </w:t>
      </w:r>
      <w:r w:rsidR="00FD02F4" w:rsidRPr="007A6235">
        <w:rPr>
          <w:strike/>
        </w:rPr>
        <w:t>менее</w:t>
      </w:r>
      <w:r w:rsidR="00FD02F4" w:rsidRPr="00FD02F4">
        <w:t xml:space="preserve"> </w:t>
      </w:r>
      <w:r w:rsidR="00FD02F4" w:rsidRPr="00FD02F4">
        <w:rPr>
          <w:b/>
          <w:bCs/>
        </w:rPr>
        <w:t>не более</w:t>
      </w:r>
      <w:r w:rsidR="00FD02F4" w:rsidRPr="00FD02F4">
        <w:t xml:space="preserve"> 0,3 м и которые подсоединены к одному и тому же глушителю, то проводят только одно измерение. Положение микрофона определяется по отношению к тому срезу, который наиболее удален от продольной оси транспортного средства, или если такого среза нет, то по отношению к срезу, который находится выше над поверхностью грунта. </w:t>
      </w:r>
      <w:r w:rsidR="00FD02F4" w:rsidRPr="00FD02F4">
        <w:rPr>
          <w:b/>
          <w:bCs/>
        </w:rPr>
        <w:t>Измерение на расстоянии 0,3 м выполняют в одной плоскости, перпендикулярной оси потока газа из выпускной трубы.</w:t>
      </w:r>
    </w:p>
    <w:bookmarkEnd w:id="8"/>
    <w:p w14:paraId="328892BA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D02F4" w:rsidRPr="00FD02F4">
        <w:rPr>
          <w:b/>
          <w:bCs/>
        </w:rPr>
        <w:t>Если транспортное средство имеет не менее двух срезов выпускных труб, расстояние между которыми составляет менее не более 0,3 м и которые подсоединены к отдельным глушителям, то проводят только одно измерение.</w:t>
      </w:r>
      <w:r w:rsidR="00FD02F4" w:rsidRPr="00FD02F4">
        <w:t xml:space="preserve"> </w:t>
      </w:r>
      <w:r w:rsidR="00FD02F4" w:rsidRPr="00FD02F4">
        <w:rPr>
          <w:b/>
          <w:bCs/>
        </w:rPr>
        <w:t>Положение микрофона определяется по отношению к тому срезу, который наиболее удален от продольной оси транспортного средства, или если такого среза нет, то по отношению к срезу, который находится выше над поверхностью грунта.</w:t>
      </w:r>
    </w:p>
    <w:p w14:paraId="3C71B83F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>В случае транспортных средств, в которых срезы выпускных труб находятся на расстоянии более 0,3 м друг от друга, проводится одно измерение по каждому срезу, как если бы он был единственным, причем регистрируют наиболее высокий уровень давления звука. Для целей проверки в дорожных условиях контрольная точка может быть перенесена на внешнюю сторону корпуса</w:t>
      </w:r>
      <w:r w:rsidR="007C3A1A">
        <w:t>.</w:t>
      </w:r>
      <w:r w:rsidR="00FD02F4" w:rsidRPr="00FD02F4">
        <w:t>».</w:t>
      </w:r>
    </w:p>
    <w:p w14:paraId="71B61815" w14:textId="77777777" w:rsidR="00FD02F4" w:rsidRPr="00FD02F4" w:rsidRDefault="00FD02F4" w:rsidP="007A6235">
      <w:pPr>
        <w:pStyle w:val="SingleTxtG"/>
        <w:keepNext/>
        <w:tabs>
          <w:tab w:val="left" w:pos="2268"/>
          <w:tab w:val="left" w:pos="2835"/>
        </w:tabs>
        <w:ind w:left="2268" w:hanging="1134"/>
        <w:rPr>
          <w:i/>
        </w:rPr>
      </w:pPr>
      <w:r w:rsidRPr="00FD02F4">
        <w:rPr>
          <w:i/>
          <w:iCs/>
        </w:rPr>
        <w:lastRenderedPageBreak/>
        <w:t xml:space="preserve">Приложение 3 – </w:t>
      </w:r>
      <w:r w:rsidR="00AD23CC" w:rsidRPr="00FD02F4">
        <w:rPr>
          <w:i/>
          <w:iCs/>
        </w:rPr>
        <w:t xml:space="preserve">Добавление </w:t>
      </w:r>
      <w:r w:rsidRPr="00FD02F4">
        <w:rPr>
          <w:i/>
          <w:iCs/>
        </w:rPr>
        <w:t xml:space="preserve">2 </w:t>
      </w:r>
      <w:r w:rsidRPr="00AD23CC">
        <w:rPr>
          <w:iCs/>
        </w:rPr>
        <w:t>изменить следующим образом:</w:t>
      </w:r>
    </w:p>
    <w:p w14:paraId="71C6DD9B" w14:textId="77777777" w:rsidR="00FD02F4" w:rsidRPr="00FD02F4" w:rsidRDefault="00FD02F4" w:rsidP="007A6235">
      <w:pPr>
        <w:pStyle w:val="SingleTxtG"/>
        <w:keepNext/>
        <w:tabs>
          <w:tab w:val="left" w:pos="1134"/>
          <w:tab w:val="left" w:pos="2268"/>
          <w:tab w:val="left" w:pos="2835"/>
        </w:tabs>
        <w:jc w:val="left"/>
        <w:rPr>
          <w:b/>
          <w:bCs/>
        </w:rPr>
      </w:pPr>
      <w:r w:rsidRPr="00FD02F4">
        <w:rPr>
          <w:b/>
          <w:bCs/>
        </w:rPr>
        <w:t>«Расположение микрофонов для проведения испытания на уровень шума, производимого транспортным средством в неподвижном состоянии</w:t>
      </w:r>
    </w:p>
    <w:p w14:paraId="75306670" w14:textId="77777777" w:rsidR="00FD02F4" w:rsidRPr="00FD02F4" w:rsidRDefault="007A6235" w:rsidP="00FD02F4">
      <w:pPr>
        <w:pStyle w:val="SingleTxt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F707" wp14:editId="08709D0A">
                <wp:simplePos x="0" y="0"/>
                <wp:positionH relativeFrom="column">
                  <wp:posOffset>2912110</wp:posOffset>
                </wp:positionH>
                <wp:positionV relativeFrom="paragraph">
                  <wp:posOffset>185420</wp:posOffset>
                </wp:positionV>
                <wp:extent cx="2292350" cy="2286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77770D" w14:textId="77777777" w:rsidR="007A6235" w:rsidRDefault="007A6235">
                            <w:r w:rsidRPr="007A6235">
                              <w:rPr>
                                <w:sz w:val="18"/>
                                <w:szCs w:val="18"/>
                              </w:rPr>
                              <w:t>Расстояния в м, если не указано иное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BF70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29.3pt;margin-top:14.6pt;width:180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14:paraId="5277770D" w14:textId="77777777" w:rsidR="007A6235" w:rsidRDefault="007A6235">
                      <w:r w:rsidRPr="007A6235">
                        <w:rPr>
                          <w:sz w:val="18"/>
                          <w:szCs w:val="18"/>
                        </w:rPr>
                        <w:t>Расстояния в м, если не указано иное</w:t>
                      </w:r>
                    </w:p>
                  </w:txbxContent>
                </v:textbox>
              </v:shape>
            </w:pict>
          </mc:Fallback>
        </mc:AlternateContent>
      </w:r>
    </w:p>
    <w:p w14:paraId="5CD6BC83" w14:textId="77777777" w:rsidR="00FD02F4" w:rsidRPr="00FD02F4" w:rsidRDefault="00FD02F4" w:rsidP="00FD02F4">
      <w:pPr>
        <w:pStyle w:val="SingleTxtG"/>
        <w:rPr>
          <w:b/>
        </w:rPr>
      </w:pPr>
      <w:r w:rsidRPr="00FD02F4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1EB7" wp14:editId="38D53D41">
                <wp:simplePos x="0" y="0"/>
                <wp:positionH relativeFrom="column">
                  <wp:posOffset>1646611</wp:posOffset>
                </wp:positionH>
                <wp:positionV relativeFrom="paragraph">
                  <wp:posOffset>3437890</wp:posOffset>
                </wp:positionV>
                <wp:extent cx="316230" cy="321945"/>
                <wp:effectExtent l="0" t="0" r="26670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1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BB1A0" id="角丸四角形 6" o:spid="_x0000_s1026" style="position:absolute;margin-left:129.65pt;margin-top:270.7pt;width:24.9pt;height: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" filled="f" strokecolor="red" strokeweight="2pt"/>
            </w:pict>
          </mc:Fallback>
        </mc:AlternateContent>
      </w:r>
      <w:r w:rsidRPr="00FD02F4">
        <w:rPr>
          <w:b/>
        </w:rPr>
        <w:drawing>
          <wp:inline distT="0" distB="0" distL="0" distR="0" wp14:anchorId="679BBA3B" wp14:editId="5C445E8C">
            <wp:extent cx="3843360" cy="4192560"/>
            <wp:effectExtent l="0" t="0" r="5080" b="0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60" cy="41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E819" w14:textId="77777777" w:rsidR="00FD02F4" w:rsidRPr="00FD02F4" w:rsidRDefault="00FD02F4" w:rsidP="00FD02F4">
      <w:pPr>
        <w:pStyle w:val="SingleTxtG"/>
        <w:rPr>
          <w:b/>
        </w:rPr>
      </w:pPr>
    </w:p>
    <w:p w14:paraId="7E76E03E" w14:textId="77777777" w:rsidR="00FD02F4" w:rsidRPr="007A6235" w:rsidRDefault="00FD02F4" w:rsidP="00FD02F4">
      <w:pPr>
        <w:pStyle w:val="SingleTxtG"/>
      </w:pPr>
      <w:r w:rsidRPr="007A6235">
        <w:drawing>
          <wp:inline distT="0" distB="0" distL="0" distR="0" wp14:anchorId="634545C6" wp14:editId="73929F28">
            <wp:extent cx="204216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6235" w:rsidRPr="007A6235">
        <w:t>».</w:t>
      </w:r>
    </w:p>
    <w:p w14:paraId="3185B092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70D3A93A" w14:textId="77777777" w:rsidR="00FD02F4" w:rsidRPr="00FD02F4" w:rsidRDefault="00FD02F4" w:rsidP="007A6235">
      <w:pPr>
        <w:pStyle w:val="HChG"/>
      </w:pPr>
      <w:r w:rsidRPr="00FD02F4">
        <w:lastRenderedPageBreak/>
        <w:t>Приложение IV</w:t>
      </w:r>
    </w:p>
    <w:p w14:paraId="03100E42" w14:textId="77777777" w:rsidR="00FD02F4" w:rsidRPr="00FD02F4" w:rsidRDefault="00FD02F4" w:rsidP="007A6235">
      <w:pPr>
        <w:pStyle w:val="HChG"/>
      </w:pPr>
      <w:r w:rsidRPr="00FD02F4">
        <w:tab/>
      </w:r>
      <w:r w:rsidRPr="00FD02F4">
        <w:tab/>
        <w:t>Круг ведения Неофициальной рабочей группы по</w:t>
      </w:r>
      <w:r w:rsidR="007568EE">
        <w:rPr>
          <w:lang w:val="en-US"/>
        </w:rPr>
        <w:t> </w:t>
      </w:r>
      <w:r w:rsidRPr="00FD02F4">
        <w:t>неопределенностям измерений</w:t>
      </w:r>
    </w:p>
    <w:p w14:paraId="19FFBAF1" w14:textId="77777777" w:rsidR="00FD02F4" w:rsidRPr="00FD02F4" w:rsidRDefault="00FD02F4" w:rsidP="007A6235">
      <w:pPr>
        <w:pStyle w:val="H1G"/>
      </w:pPr>
      <w:r w:rsidRPr="00FD02F4">
        <w:tab/>
        <w:t xml:space="preserve">A. </w:t>
      </w:r>
      <w:r w:rsidRPr="00FD02F4">
        <w:tab/>
        <w:t>Введение</w:t>
      </w:r>
    </w:p>
    <w:p w14:paraId="02B3758A" w14:textId="77777777" w:rsidR="00FD02F4" w:rsidRPr="00FD02F4" w:rsidRDefault="00FD02F4" w:rsidP="00FD02F4">
      <w:pPr>
        <w:pStyle w:val="SingleTxtG"/>
      </w:pPr>
      <w:r w:rsidRPr="00FD02F4">
        <w:t>1.</w:t>
      </w:r>
      <w:r w:rsidRPr="00FD02F4">
        <w:tab/>
        <w:t xml:space="preserve">В соответствии с пунктом 8 документа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</w:t>
      </w:r>
      <w:proofErr w:type="spellEnd"/>
      <w:r w:rsidRPr="00FD02F4">
        <w:t>/68 в настоящем документе определен круг ведения Неофициальной рабочей группы по неопределенностям измерений (</w:t>
      </w:r>
      <w:proofErr w:type="spellStart"/>
      <w:r w:rsidRPr="00FD02F4">
        <w:t>НРГ</w:t>
      </w:r>
      <w:proofErr w:type="spellEnd"/>
      <w:r w:rsidRPr="00FD02F4">
        <w:t xml:space="preserve"> по НИ).</w:t>
      </w:r>
    </w:p>
    <w:p w14:paraId="39B0EC46" w14:textId="77777777" w:rsidR="00FD02F4" w:rsidRPr="00FD02F4" w:rsidRDefault="00FD02F4" w:rsidP="00FD02F4">
      <w:pPr>
        <w:pStyle w:val="SingleTxtG"/>
      </w:pPr>
      <w:r w:rsidRPr="00FD02F4">
        <w:t>2.</w:t>
      </w:r>
      <w:r w:rsidRPr="00FD02F4">
        <w:tab/>
        <w:t xml:space="preserve">Цель </w:t>
      </w:r>
      <w:proofErr w:type="spellStart"/>
      <w:r w:rsidRPr="00FD02F4">
        <w:t>НРГ</w:t>
      </w:r>
      <w:proofErr w:type="spellEnd"/>
      <w:r w:rsidRPr="00FD02F4">
        <w:t xml:space="preserve"> по НИ состоит в том, чтобы предложить согласованные меры оценки систематических и случайных погрешностей, с тем чтобы усовершенствовать процедуры испытаний – по крайней мере, в правилах ООН </w:t>
      </w:r>
      <w:r>
        <w:t>№ </w:t>
      </w:r>
      <w:r w:rsidRPr="00FD02F4">
        <w:t>51 и 117 (только для уровня звука, издаваемого шинами при качении) – за счет снижения неопределенности измерений.</w:t>
      </w:r>
    </w:p>
    <w:p w14:paraId="53651BAA" w14:textId="77777777" w:rsidR="00FD02F4" w:rsidRPr="00FD02F4" w:rsidRDefault="00FD02F4" w:rsidP="007A6235">
      <w:pPr>
        <w:pStyle w:val="H1G"/>
      </w:pPr>
      <w:r w:rsidRPr="00FD02F4">
        <w:tab/>
        <w:t xml:space="preserve">B. </w:t>
      </w:r>
      <w:r w:rsidRPr="00FD02F4">
        <w:tab/>
      </w:r>
      <w:r w:rsidRPr="00FD02F4">
        <w:rPr>
          <w:bCs/>
        </w:rPr>
        <w:t>Цели</w:t>
      </w:r>
    </w:p>
    <w:p w14:paraId="68E31841" w14:textId="77777777" w:rsidR="00FD02F4" w:rsidRPr="00FD02F4" w:rsidRDefault="00FD02F4" w:rsidP="00FD02F4">
      <w:pPr>
        <w:pStyle w:val="SingleTxtG"/>
      </w:pPr>
      <w:r w:rsidRPr="00FD02F4">
        <w:t>3.</w:t>
      </w:r>
      <w:r w:rsidRPr="00FD02F4">
        <w:tab/>
      </w:r>
      <w:proofErr w:type="spellStart"/>
      <w:r w:rsidRPr="00FD02F4">
        <w:t>НРГ</w:t>
      </w:r>
      <w:proofErr w:type="spellEnd"/>
      <w:r w:rsidRPr="00FD02F4">
        <w:t xml:space="preserve"> разрабатывает и предлагает согласованные меры для оценки систематических и случайных погрешностей на основе Руководства ИСО по выражению неопределенности измерения (</w:t>
      </w:r>
      <w:proofErr w:type="spellStart"/>
      <w:r w:rsidRPr="00FD02F4">
        <w:t>GUM</w:t>
      </w:r>
      <w:proofErr w:type="spellEnd"/>
      <w:r w:rsidRPr="00FD02F4">
        <w:t xml:space="preserve"> 98-3).</w:t>
      </w:r>
    </w:p>
    <w:p w14:paraId="6B266B19" w14:textId="77777777" w:rsidR="00FD02F4" w:rsidRPr="00FD02F4" w:rsidRDefault="00FD02F4" w:rsidP="00FD02F4">
      <w:pPr>
        <w:pStyle w:val="SingleTxtG"/>
      </w:pPr>
      <w:r w:rsidRPr="00FD02F4">
        <w:t>4.</w:t>
      </w:r>
      <w:r w:rsidRPr="00FD02F4">
        <w:tab/>
        <w:t xml:space="preserve">Сфера деятельности и задачи </w:t>
      </w:r>
      <w:proofErr w:type="spellStart"/>
      <w:r w:rsidRPr="00FD02F4">
        <w:t>НРГ</w:t>
      </w:r>
      <w:proofErr w:type="spellEnd"/>
      <w:r w:rsidRPr="00FD02F4">
        <w:t xml:space="preserve"> по НИ должны охватывать, по крайней мере, правила ООН </w:t>
      </w:r>
      <w:r>
        <w:t>№ </w:t>
      </w:r>
      <w:r w:rsidRPr="00FD02F4">
        <w:t xml:space="preserve">51 и 117. </w:t>
      </w:r>
      <w:proofErr w:type="spellStart"/>
      <w:r w:rsidRPr="00FD02F4">
        <w:t>НРГ</w:t>
      </w:r>
      <w:proofErr w:type="spellEnd"/>
      <w:r w:rsidRPr="00FD02F4">
        <w:t xml:space="preserve"> разрабатывает согласованные технические требования для этих правил ООН с учетом предусмотренных в них процедур испытания.</w:t>
      </w:r>
    </w:p>
    <w:p w14:paraId="3BE79718" w14:textId="77777777" w:rsidR="00FD02F4" w:rsidRPr="00FD02F4" w:rsidRDefault="00FD02F4" w:rsidP="00FD02F4">
      <w:pPr>
        <w:pStyle w:val="SingleTxtG"/>
      </w:pPr>
      <w:r w:rsidRPr="00FD02F4">
        <w:t>5.</w:t>
      </w:r>
      <w:r w:rsidRPr="00FD02F4">
        <w:tab/>
      </w:r>
      <w:proofErr w:type="spellStart"/>
      <w:r w:rsidRPr="00FD02F4">
        <w:t>НРГ</w:t>
      </w:r>
      <w:proofErr w:type="spellEnd"/>
      <w:r w:rsidRPr="00FD02F4">
        <w:t xml:space="preserve"> при необходимости разрабатывает практическое руководство по компенсационным и/или поправочным коэффициентам.</w:t>
      </w:r>
    </w:p>
    <w:p w14:paraId="3E9C34AF" w14:textId="77777777" w:rsidR="00FD02F4" w:rsidRPr="00FD02F4" w:rsidRDefault="00FD02F4" w:rsidP="00FD02F4">
      <w:pPr>
        <w:pStyle w:val="SingleTxtG"/>
      </w:pPr>
      <w:r w:rsidRPr="00FD02F4">
        <w:t>6.</w:t>
      </w:r>
      <w:r w:rsidRPr="00FD02F4">
        <w:tab/>
        <w:t>Затем будет выработан общий подход таким образом, чтобы его можно было использовать для совершенствования процедур испытания, предусмотренных другими правилами ООН. Этот подход можно оформить либо в виде положений Сводной резолюции о конструкции транспортных средств (СР.3), либо в виде справочного документа.</w:t>
      </w:r>
    </w:p>
    <w:p w14:paraId="099DE390" w14:textId="77777777" w:rsidR="00FD02F4" w:rsidRPr="00FD02F4" w:rsidRDefault="00FD02F4" w:rsidP="00FD02F4">
      <w:pPr>
        <w:pStyle w:val="SingleTxtG"/>
      </w:pPr>
      <w:r w:rsidRPr="00FD02F4">
        <w:t>7.</w:t>
      </w:r>
      <w:r w:rsidRPr="00FD02F4">
        <w:tab/>
      </w:r>
      <w:proofErr w:type="spellStart"/>
      <w:r w:rsidRPr="00FD02F4">
        <w:t>НРГ</w:t>
      </w:r>
      <w:proofErr w:type="spellEnd"/>
      <w:r w:rsidRPr="00FD02F4">
        <w:t xml:space="preserve"> по НИ отчитывается перед </w:t>
      </w:r>
      <w:proofErr w:type="spellStart"/>
      <w:r w:rsidRPr="00FD02F4">
        <w:t>GRBP</w:t>
      </w:r>
      <w:proofErr w:type="spellEnd"/>
      <w:r w:rsidRPr="00FD02F4">
        <w:t>.</w:t>
      </w:r>
    </w:p>
    <w:p w14:paraId="092FB174" w14:textId="77777777" w:rsidR="00FD02F4" w:rsidRPr="00FD02F4" w:rsidRDefault="00FD02F4" w:rsidP="007A6235">
      <w:pPr>
        <w:pStyle w:val="H1G"/>
      </w:pPr>
      <w:r w:rsidRPr="00FD02F4">
        <w:tab/>
        <w:t xml:space="preserve">C. </w:t>
      </w:r>
      <w:r w:rsidRPr="00FD02F4">
        <w:tab/>
        <w:t>Правила процедуры</w:t>
      </w:r>
    </w:p>
    <w:p w14:paraId="05B77414" w14:textId="77777777" w:rsidR="00FD02F4" w:rsidRPr="00FD02F4" w:rsidRDefault="00FD02F4" w:rsidP="00FD02F4">
      <w:pPr>
        <w:pStyle w:val="SingleTxtG"/>
      </w:pPr>
      <w:r w:rsidRPr="00FD02F4">
        <w:t>8.</w:t>
      </w:r>
      <w:r w:rsidRPr="00FD02F4">
        <w:tab/>
      </w:r>
      <w:proofErr w:type="spellStart"/>
      <w:r w:rsidRPr="00FD02F4">
        <w:t>НРГ</w:t>
      </w:r>
      <w:proofErr w:type="spellEnd"/>
      <w:r w:rsidRPr="00FD02F4">
        <w:t xml:space="preserve"> открыта для всех участников </w:t>
      </w:r>
      <w:proofErr w:type="spellStart"/>
      <w:r w:rsidRPr="00FD02F4">
        <w:t>GRBP</w:t>
      </w:r>
      <w:proofErr w:type="spellEnd"/>
      <w:r w:rsidRPr="00FD02F4">
        <w:t xml:space="preserve">. Однако рекомендуется, чтобы в работе </w:t>
      </w:r>
      <w:proofErr w:type="spellStart"/>
      <w:r w:rsidRPr="00FD02F4">
        <w:t>НРГ</w:t>
      </w:r>
      <w:proofErr w:type="spellEnd"/>
      <w:r w:rsidRPr="00FD02F4">
        <w:t xml:space="preserve"> принимали участие максимум по два технических эксперта от каждой страны и организации. Функции Председателя </w:t>
      </w:r>
      <w:proofErr w:type="spellStart"/>
      <w:r w:rsidRPr="00FD02F4">
        <w:t>НРГ</w:t>
      </w:r>
      <w:proofErr w:type="spellEnd"/>
      <w:r w:rsidRPr="00FD02F4">
        <w:t xml:space="preserve"> будет выполнять Норвегия. </w:t>
      </w:r>
      <w:proofErr w:type="spellStart"/>
      <w:r w:rsidRPr="00FD02F4">
        <w:t>Секретариатскую</w:t>
      </w:r>
      <w:proofErr w:type="spellEnd"/>
      <w:r w:rsidRPr="00FD02F4">
        <w:t xml:space="preserve"> поддержку обеспечит </w:t>
      </w:r>
      <w:proofErr w:type="spellStart"/>
      <w:r w:rsidRPr="00FD02F4">
        <w:t>МОПАП</w:t>
      </w:r>
      <w:proofErr w:type="spellEnd"/>
      <w:r w:rsidRPr="00FD02F4">
        <w:t>.</w:t>
      </w:r>
    </w:p>
    <w:p w14:paraId="69ECDAEF" w14:textId="77777777" w:rsidR="00FD02F4" w:rsidRPr="00FD02F4" w:rsidRDefault="00FD02F4" w:rsidP="00FD02F4">
      <w:pPr>
        <w:pStyle w:val="SingleTxtG"/>
      </w:pPr>
      <w:r w:rsidRPr="00FD02F4">
        <w:t>9.</w:t>
      </w:r>
      <w:r w:rsidRPr="00FD02F4">
        <w:tab/>
        <w:t xml:space="preserve">Рабочим языком </w:t>
      </w:r>
      <w:proofErr w:type="spellStart"/>
      <w:r w:rsidRPr="00FD02F4">
        <w:t>НРГ</w:t>
      </w:r>
      <w:proofErr w:type="spellEnd"/>
      <w:r w:rsidRPr="00FD02F4">
        <w:t xml:space="preserve"> является английский язык.</w:t>
      </w:r>
    </w:p>
    <w:p w14:paraId="3E980174" w14:textId="77777777" w:rsidR="00FD02F4" w:rsidRPr="00FD02F4" w:rsidRDefault="00FD02F4" w:rsidP="00FD02F4">
      <w:pPr>
        <w:pStyle w:val="SingleTxtG"/>
      </w:pPr>
      <w:r w:rsidRPr="00FD02F4">
        <w:t>10.</w:t>
      </w:r>
      <w:r w:rsidRPr="00FD02F4">
        <w:tab/>
        <w:t xml:space="preserve">Все документы и/или предложения должны передаваться секретарю в приемлемом электронном формате не позднее чем за одну неделю до начала сессии. </w:t>
      </w:r>
    </w:p>
    <w:p w14:paraId="687C97EE" w14:textId="77777777" w:rsidR="00FD02F4" w:rsidRPr="00FD02F4" w:rsidRDefault="00FD02F4" w:rsidP="00FD02F4">
      <w:pPr>
        <w:pStyle w:val="SingleTxtG"/>
      </w:pPr>
      <w:r w:rsidRPr="00FD02F4">
        <w:t>11.</w:t>
      </w:r>
      <w:r w:rsidRPr="00FD02F4">
        <w:tab/>
        <w:t xml:space="preserve">Повестка дня и последние проекты документов распространяются среди всех членов </w:t>
      </w:r>
      <w:proofErr w:type="spellStart"/>
      <w:r w:rsidRPr="00FD02F4">
        <w:t>НРГ</w:t>
      </w:r>
      <w:proofErr w:type="spellEnd"/>
      <w:r w:rsidRPr="00FD02F4">
        <w:t xml:space="preserve"> заблаговременно до начала всех запланированных совещаний.</w:t>
      </w:r>
    </w:p>
    <w:p w14:paraId="0EDD68AB" w14:textId="77777777" w:rsidR="00FD02F4" w:rsidRPr="00FD02F4" w:rsidRDefault="00FD02F4" w:rsidP="00FD02F4">
      <w:pPr>
        <w:pStyle w:val="SingleTxtG"/>
      </w:pPr>
      <w:r w:rsidRPr="00FD02F4">
        <w:t>12.</w:t>
      </w:r>
      <w:r w:rsidRPr="00FD02F4">
        <w:tab/>
        <w:t xml:space="preserve">Все документы </w:t>
      </w:r>
      <w:proofErr w:type="spellStart"/>
      <w:r w:rsidRPr="00FD02F4">
        <w:t>НРГ</w:t>
      </w:r>
      <w:proofErr w:type="spellEnd"/>
      <w:r w:rsidRPr="00FD02F4">
        <w:t xml:space="preserve"> будут опубликованы на специальном веб-сайте </w:t>
      </w:r>
      <w:proofErr w:type="spellStart"/>
      <w:r w:rsidRPr="00FD02F4">
        <w:t>ЕЭК</w:t>
      </w:r>
      <w:proofErr w:type="spellEnd"/>
      <w:r w:rsidRPr="00FD02F4">
        <w:t>.</w:t>
      </w:r>
    </w:p>
    <w:p w14:paraId="5F052E7A" w14:textId="77777777" w:rsidR="00FD02F4" w:rsidRPr="00FD02F4" w:rsidRDefault="00FD02F4" w:rsidP="00FD02F4">
      <w:pPr>
        <w:pStyle w:val="SingleTxtG"/>
      </w:pPr>
      <w:r w:rsidRPr="00FD02F4">
        <w:t>13.</w:t>
      </w:r>
      <w:r w:rsidRPr="00FD02F4">
        <w:tab/>
        <w:t xml:space="preserve">Решения </w:t>
      </w:r>
      <w:proofErr w:type="spellStart"/>
      <w:r w:rsidRPr="00FD02F4">
        <w:t>НРГ</w:t>
      </w:r>
      <w:proofErr w:type="spellEnd"/>
      <w:r w:rsidRPr="00FD02F4">
        <w:t xml:space="preserve"> по НИ принимаются консенсусом. Если консенсуса достичь невозможно, то председатель </w:t>
      </w:r>
      <w:proofErr w:type="spellStart"/>
      <w:r w:rsidRPr="00FD02F4">
        <w:t>НРГ</w:t>
      </w:r>
      <w:proofErr w:type="spellEnd"/>
      <w:r w:rsidRPr="00FD02F4">
        <w:t xml:space="preserve"> представляет различные точки зрения Рабочей группе </w:t>
      </w:r>
      <w:proofErr w:type="spellStart"/>
      <w:r w:rsidRPr="00FD02F4">
        <w:t>GRBP</w:t>
      </w:r>
      <w:proofErr w:type="spellEnd"/>
      <w:r w:rsidRPr="00FD02F4">
        <w:t xml:space="preserve"> и в соответствующих случаях обращается за указаниями.</w:t>
      </w:r>
    </w:p>
    <w:p w14:paraId="64D4EDA9" w14:textId="77777777" w:rsidR="00FD02F4" w:rsidRPr="00FD02F4" w:rsidRDefault="00FD02F4" w:rsidP="007A6235">
      <w:pPr>
        <w:pStyle w:val="H1G"/>
      </w:pPr>
      <w:r w:rsidRPr="00FD02F4">
        <w:lastRenderedPageBreak/>
        <w:tab/>
        <w:t xml:space="preserve">D. </w:t>
      </w:r>
      <w:r w:rsidRPr="00FD02F4">
        <w:tab/>
        <w:t xml:space="preserve">График работы </w:t>
      </w:r>
    </w:p>
    <w:p w14:paraId="57AE6973" w14:textId="77777777" w:rsidR="00FD02F4" w:rsidRPr="00FD02F4" w:rsidRDefault="00FD02F4" w:rsidP="00FD02F4">
      <w:pPr>
        <w:pStyle w:val="SingleTxtG"/>
      </w:pPr>
      <w:r w:rsidRPr="00FD02F4">
        <w:t>14.</w:t>
      </w:r>
      <w:r w:rsidRPr="00FD02F4">
        <w:tab/>
        <w:t xml:space="preserve">Цель </w:t>
      </w:r>
      <w:proofErr w:type="spellStart"/>
      <w:r w:rsidRPr="00FD02F4">
        <w:t>НРГ</w:t>
      </w:r>
      <w:proofErr w:type="spellEnd"/>
      <w:r w:rsidRPr="00FD02F4">
        <w:t xml:space="preserve"> по НИ состоит в том, чтобы представить: </w:t>
      </w:r>
    </w:p>
    <w:p w14:paraId="591040AF" w14:textId="77777777" w:rsidR="00FD02F4" w:rsidRPr="00FD02F4" w:rsidRDefault="00FD02F4" w:rsidP="007A6235">
      <w:pPr>
        <w:pStyle w:val="Bullet1G"/>
      </w:pPr>
      <w:r w:rsidRPr="00FD02F4">
        <w:t xml:space="preserve">к семьдесят второй сессии </w:t>
      </w:r>
      <w:proofErr w:type="spellStart"/>
      <w:r w:rsidRPr="00FD02F4">
        <w:t>GRBP</w:t>
      </w:r>
      <w:proofErr w:type="spellEnd"/>
      <w:r w:rsidRPr="00FD02F4">
        <w:t xml:space="preserve"> в сентябре 2020 года: проекты справочных документов и неофициальный документ с поправками к правилам </w:t>
      </w:r>
      <w:r>
        <w:t>№ </w:t>
      </w:r>
      <w:r w:rsidRPr="00FD02F4">
        <w:t xml:space="preserve">51 и 117 ООН; </w:t>
      </w:r>
    </w:p>
    <w:p w14:paraId="5F8E6698" w14:textId="77777777" w:rsidR="00FD02F4" w:rsidRPr="00FD02F4" w:rsidRDefault="00FD02F4" w:rsidP="007A6235">
      <w:pPr>
        <w:pStyle w:val="Bullet1G"/>
      </w:pPr>
      <w:r w:rsidRPr="00FD02F4">
        <w:t xml:space="preserve">для рассмотрения и принятия на семьдесят третьей сессии </w:t>
      </w:r>
      <w:proofErr w:type="spellStart"/>
      <w:r w:rsidRPr="00FD02F4">
        <w:t>GRBP</w:t>
      </w:r>
      <w:proofErr w:type="spellEnd"/>
      <w:r w:rsidRPr="00FD02F4">
        <w:t xml:space="preserve"> в январе 2021</w:t>
      </w:r>
      <w:r w:rsidR="007A6235">
        <w:t> </w:t>
      </w:r>
      <w:r w:rsidRPr="00FD02F4">
        <w:t xml:space="preserve">года: официальные документы с поправками к правилам </w:t>
      </w:r>
      <w:r>
        <w:t>№ </w:t>
      </w:r>
      <w:r w:rsidRPr="00FD02F4">
        <w:t>51 и 117 ООН;</w:t>
      </w:r>
    </w:p>
    <w:p w14:paraId="7502BA12" w14:textId="77777777" w:rsidR="00FD02F4" w:rsidRPr="00FD02F4" w:rsidRDefault="00FD02F4" w:rsidP="007A6235">
      <w:pPr>
        <w:pStyle w:val="Bullet1G"/>
      </w:pPr>
      <w:r w:rsidRPr="00FD02F4">
        <w:t xml:space="preserve">для рассмотрения на семьдесят третьей сессии </w:t>
      </w:r>
      <w:proofErr w:type="spellStart"/>
      <w:r w:rsidRPr="00FD02F4">
        <w:t>GRBP</w:t>
      </w:r>
      <w:proofErr w:type="spellEnd"/>
      <w:r w:rsidRPr="00FD02F4">
        <w:t xml:space="preserve"> в январе 2021 года: неофициальный документ с рекомендациями по совершенствованию процедур испытаний в других правилах ООН в ведении </w:t>
      </w:r>
      <w:proofErr w:type="spellStart"/>
      <w:r w:rsidRPr="00FD02F4">
        <w:t>GRBP</w:t>
      </w:r>
      <w:proofErr w:type="spellEnd"/>
      <w:r w:rsidRPr="00FD02F4">
        <w:t xml:space="preserve"> за счет уменьшения неопределенности измерений;</w:t>
      </w:r>
    </w:p>
    <w:p w14:paraId="04A9311D" w14:textId="77777777" w:rsidR="00FD02F4" w:rsidRPr="00FD02F4" w:rsidRDefault="00FD02F4" w:rsidP="007A6235">
      <w:pPr>
        <w:pStyle w:val="Bullet1G"/>
      </w:pPr>
      <w:r w:rsidRPr="00FD02F4">
        <w:t xml:space="preserve">для рассмотрения и принятия на семьдесят четвертой сессии </w:t>
      </w:r>
      <w:proofErr w:type="spellStart"/>
      <w:r w:rsidRPr="00FD02F4">
        <w:t>GRBP</w:t>
      </w:r>
      <w:proofErr w:type="spellEnd"/>
      <w:r w:rsidRPr="00FD02F4">
        <w:t xml:space="preserve"> в сентябре 2021 года: официальный документ с рекомендациями по совершенствованию процедур испытаний в других правилах ООН в ведении </w:t>
      </w:r>
      <w:proofErr w:type="spellStart"/>
      <w:r w:rsidRPr="00FD02F4">
        <w:t>GRBP</w:t>
      </w:r>
      <w:proofErr w:type="spellEnd"/>
      <w:r w:rsidRPr="00FD02F4">
        <w:t xml:space="preserve"> за счет уменьшения неопределенности измерений.</w:t>
      </w:r>
    </w:p>
    <w:p w14:paraId="69CDE0A7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1A304C93" w14:textId="77777777" w:rsidR="00FD02F4" w:rsidRPr="00FD02F4" w:rsidRDefault="00FD02F4" w:rsidP="007A6235">
      <w:pPr>
        <w:pStyle w:val="HChG"/>
      </w:pPr>
      <w:r w:rsidRPr="00FD02F4">
        <w:lastRenderedPageBreak/>
        <w:t>Приложение V</w:t>
      </w:r>
    </w:p>
    <w:p w14:paraId="49F65814" w14:textId="77777777" w:rsidR="00FD02F4" w:rsidRPr="00FD02F4" w:rsidRDefault="00FD02F4" w:rsidP="007A6235">
      <w:pPr>
        <w:pStyle w:val="HChG"/>
      </w:pPr>
      <w:r w:rsidRPr="00FD02F4">
        <w:tab/>
      </w:r>
      <w:r w:rsidR="007A6235">
        <w:tab/>
      </w:r>
      <w:r w:rsidRPr="00FD02F4">
        <w:t xml:space="preserve">Принятые поправки к Правилам </w:t>
      </w:r>
      <w:r>
        <w:t>№ </w:t>
      </w:r>
      <w:r w:rsidRPr="00FD02F4">
        <w:t xml:space="preserve">138 ООН </w:t>
      </w:r>
      <w:r w:rsidR="007A6235">
        <w:br/>
      </w:r>
      <w:r w:rsidRPr="00FD02F4">
        <w:t>(на основе документа GRBP-71-28-Rev.1)</w:t>
      </w:r>
    </w:p>
    <w:p w14:paraId="0A9DC558" w14:textId="77777777" w:rsidR="00FD02F4" w:rsidRPr="00FD02F4" w:rsidRDefault="00FD02F4" w:rsidP="00FD02F4">
      <w:pPr>
        <w:pStyle w:val="SingleTxtG"/>
        <w:rPr>
          <w:bCs/>
        </w:rPr>
      </w:pPr>
      <w:r w:rsidRPr="00FD02F4">
        <w:rPr>
          <w:bCs/>
          <w:i/>
          <w:iCs/>
        </w:rPr>
        <w:t>Приложение 3, пункт 2.1.2</w:t>
      </w:r>
      <w:r w:rsidRPr="00FD02F4">
        <w:rPr>
          <w:bCs/>
        </w:rPr>
        <w:t xml:space="preserve"> изменить следующим образом:</w:t>
      </w:r>
    </w:p>
    <w:p w14:paraId="61A87EC8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 xml:space="preserve">«2.1.2 </w:t>
      </w:r>
      <w:r w:rsidRPr="00FD02F4">
        <w:tab/>
        <w:t>Испытание на открытой площадке</w:t>
      </w:r>
    </w:p>
    <w:p w14:paraId="1814B93E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</w:rPr>
      </w:pPr>
      <w:r>
        <w:tab/>
      </w:r>
      <w:r w:rsidR="00FD02F4" w:rsidRPr="00FD02F4">
        <w:t xml:space="preserve">Испытательная площадка в основном должна быть горизонтальной. </w:t>
      </w:r>
      <w:r w:rsidR="00FD02F4" w:rsidRPr="00FD02F4">
        <w:rPr>
          <w:b/>
          <w:bCs/>
        </w:rPr>
        <w:t>Для</w:t>
      </w:r>
      <w:r>
        <w:rPr>
          <w:b/>
          <w:bCs/>
        </w:rPr>
        <w:t> </w:t>
      </w:r>
      <w:r w:rsidR="00FD02F4" w:rsidRPr="00FD02F4">
        <w:rPr>
          <w:b/>
          <w:bCs/>
        </w:rPr>
        <w:t xml:space="preserve">выполнения измерений на транспортных средствах, находящихся в движении, </w:t>
      </w:r>
      <w:proofErr w:type="spellStart"/>
      <w:r w:rsidRPr="007A6235">
        <w:rPr>
          <w:strike/>
        </w:rPr>
        <w:t>О</w:t>
      </w:r>
      <w:r w:rsidR="00FD02F4" w:rsidRPr="00FD02F4">
        <w:rPr>
          <w:b/>
          <w:bCs/>
        </w:rPr>
        <w:t>о</w:t>
      </w:r>
      <w:r w:rsidR="00FD02F4" w:rsidRPr="00FD02F4">
        <w:t>бустройство</w:t>
      </w:r>
      <w:proofErr w:type="spellEnd"/>
      <w:r w:rsidR="00FD02F4" w:rsidRPr="00FD02F4">
        <w:t xml:space="preserve"> и поверхность испытательного трека должны соответствовать требованиям стандарта </w:t>
      </w:r>
      <w:proofErr w:type="spellStart"/>
      <w:r w:rsidR="00FD02F4" w:rsidRPr="00FD02F4">
        <w:t>ISO</w:t>
      </w:r>
      <w:proofErr w:type="spellEnd"/>
      <w:r w:rsidR="00FD02F4" w:rsidRPr="00FD02F4">
        <w:t xml:space="preserve"> 10844:2014. </w:t>
      </w:r>
      <w:r w:rsidR="00FD02F4" w:rsidRPr="00FD02F4">
        <w:rPr>
          <w:b/>
          <w:bCs/>
        </w:rPr>
        <w:t>Для выполнения измерений на транспортных средствах, находящихся в неподвижном состоянии, испытательная площадка</w:t>
      </w:r>
    </w:p>
    <w:p w14:paraId="6E13394A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D02F4" w:rsidRPr="00FD02F4">
        <w:rPr>
          <w:b/>
          <w:bCs/>
        </w:rPr>
        <w:t xml:space="preserve">a) </w:t>
      </w:r>
      <w:r w:rsidR="00FD02F4" w:rsidRPr="00FD02F4">
        <w:rPr>
          <w:b/>
          <w:bCs/>
        </w:rPr>
        <w:tab/>
        <w:t xml:space="preserve">должна отвечать требованиям </w:t>
      </w:r>
      <w:proofErr w:type="spellStart"/>
      <w:r w:rsidR="00FD02F4" w:rsidRPr="00FD02F4">
        <w:rPr>
          <w:b/>
          <w:bCs/>
        </w:rPr>
        <w:t>ISO</w:t>
      </w:r>
      <w:proofErr w:type="spellEnd"/>
      <w:r w:rsidR="00FD02F4" w:rsidRPr="00FD02F4">
        <w:rPr>
          <w:b/>
          <w:bCs/>
        </w:rPr>
        <w:t xml:space="preserve"> 10844:2014; или </w:t>
      </w:r>
    </w:p>
    <w:p w14:paraId="7289CDCE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D02F4" w:rsidRPr="00FD02F4">
        <w:rPr>
          <w:b/>
          <w:bCs/>
        </w:rPr>
        <w:t xml:space="preserve">b) </w:t>
      </w:r>
      <w:r w:rsidR="00FD02F4" w:rsidRPr="00FD02F4">
        <w:rPr>
          <w:b/>
          <w:bCs/>
        </w:rPr>
        <w:tab/>
        <w:t>быть выполнена из другого плотного асфальта; или</w:t>
      </w:r>
    </w:p>
    <w:p w14:paraId="2BA956D7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FD02F4" w:rsidRPr="00FD02F4">
        <w:rPr>
          <w:b/>
          <w:bCs/>
        </w:rPr>
        <w:t xml:space="preserve">c) </w:t>
      </w:r>
      <w:r w:rsidR="00FD02F4" w:rsidRPr="00FD02F4">
        <w:rPr>
          <w:b/>
          <w:bCs/>
        </w:rPr>
        <w:tab/>
        <w:t>быть выполнена из плотного бетона.</w:t>
      </w:r>
    </w:p>
    <w:p w14:paraId="1A754B74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 xml:space="preserve">В радиусе 50 м от центра трека должны отсутствовать такие крупные </w:t>
      </w:r>
      <w:proofErr w:type="spellStart"/>
      <w:r w:rsidR="00FD02F4" w:rsidRPr="00FD02F4">
        <w:t>звукоотражающие</w:t>
      </w:r>
      <w:proofErr w:type="spellEnd"/>
      <w:r w:rsidR="00FD02F4" w:rsidRPr="00FD02F4">
        <w:t xml:space="preserve"> объекты, как заборы, скалы, мосты или здания. Испытательный трек и поверхность площадки должны быть сухими и на них не должно быть таких звукопоглощающих материалов, как мягкий снег или рыхлый грунт.</w:t>
      </w:r>
    </w:p>
    <w:p w14:paraId="20DC5059" w14:textId="77777777" w:rsidR="00FD02F4" w:rsidRPr="00FD02F4" w:rsidRDefault="007A6235" w:rsidP="007A6235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>Вблизи микрофона не должно быть никаких препятствий, которые могли бы повлиять на звуковое поле, и между микрофоном и источником звука не должно быть людей. Испытатель, считывающий показания прибора, должен находиться в таком месте, чтобы его присутствие не оказывало влияния на показания прибора. Микрофоны устанавливают в соответствии с рис. 1 добавления к настоящему приложению</w:t>
      </w:r>
      <w:r w:rsidR="007C3A1A">
        <w:t>.</w:t>
      </w:r>
      <w:r w:rsidR="00FD02F4" w:rsidRPr="00FD02F4">
        <w:t>».</w:t>
      </w:r>
    </w:p>
    <w:p w14:paraId="3F032A71" w14:textId="77777777" w:rsidR="00FD02F4" w:rsidRPr="00FD02F4" w:rsidRDefault="00FD02F4" w:rsidP="00FD02F4">
      <w:pPr>
        <w:pStyle w:val="SingleTxtG"/>
      </w:pPr>
      <w:r w:rsidRPr="00FD02F4">
        <w:br w:type="page"/>
      </w:r>
    </w:p>
    <w:p w14:paraId="77800F28" w14:textId="77777777" w:rsidR="00FD02F4" w:rsidRPr="00FD02F4" w:rsidRDefault="00FD02F4" w:rsidP="007A6235">
      <w:pPr>
        <w:pStyle w:val="HChG"/>
      </w:pPr>
      <w:r w:rsidRPr="00FD02F4">
        <w:lastRenderedPageBreak/>
        <w:t>Приложение VI</w:t>
      </w:r>
    </w:p>
    <w:p w14:paraId="06D27722" w14:textId="77777777" w:rsidR="00FD02F4" w:rsidRPr="00FD02F4" w:rsidRDefault="00FD02F4" w:rsidP="007A6235">
      <w:pPr>
        <w:pStyle w:val="HChG"/>
      </w:pPr>
      <w:r w:rsidRPr="00FD02F4">
        <w:tab/>
      </w:r>
      <w:r w:rsidRPr="00FD02F4">
        <w:tab/>
        <w:t xml:space="preserve">Принятые поправки к Правилам </w:t>
      </w:r>
      <w:r>
        <w:t>№ </w:t>
      </w:r>
      <w:r w:rsidRPr="00FD02F4">
        <w:t xml:space="preserve">30 ООН </w:t>
      </w:r>
      <w:r w:rsidR="007A6235">
        <w:br/>
      </w:r>
      <w:r w:rsidRPr="00FD02F4">
        <w:t xml:space="preserve">(на основе документов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/2020/3 </w:t>
      </w:r>
      <w:r w:rsidR="007A6235">
        <w:br/>
      </w:r>
      <w:r w:rsidRPr="00FD02F4">
        <w:t>и GRBP-71-30)</w:t>
      </w:r>
    </w:p>
    <w:p w14:paraId="533101BB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rPr>
          <w:i/>
          <w:iCs/>
        </w:rPr>
        <w:t>Пункт 2.9.2</w:t>
      </w:r>
      <w:r w:rsidRPr="00FD02F4">
        <w:t xml:space="preserve"> изменить следующим образом:</w:t>
      </w:r>
    </w:p>
    <w:p w14:paraId="1A1C4D7C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>«2.9.2</w:t>
      </w:r>
      <w:r w:rsidRPr="00FD02F4">
        <w:tab/>
        <w:t>"</w:t>
      </w:r>
      <w:r w:rsidRPr="00FD02F4">
        <w:rPr>
          <w:u w:val="single"/>
        </w:rPr>
        <w:t>диагонально-опоясанная</w:t>
      </w:r>
      <w:r w:rsidRPr="00FD02F4">
        <w:t xml:space="preserve">" − конструкция шины </w:t>
      </w:r>
      <w:r w:rsidRPr="007A6235">
        <w:rPr>
          <w:strike/>
        </w:rPr>
        <w:t>диагонального типа (с перекрещивающимися слоями корда)</w:t>
      </w:r>
      <w:r w:rsidRPr="00FD02F4">
        <w:t xml:space="preserve">, в которой </w:t>
      </w:r>
      <w:r w:rsidRPr="00FC7FA4">
        <w:rPr>
          <w:strike/>
        </w:rPr>
        <w:t>каркас</w:t>
      </w:r>
      <w:r w:rsidRPr="00FD02F4">
        <w:t xml:space="preserve"> </w:t>
      </w:r>
      <w:r w:rsidRPr="00FD02F4">
        <w:rPr>
          <w:b/>
          <w:bCs/>
        </w:rPr>
        <w:t xml:space="preserve">нити корда достигают бортов и ориентированы таким образом, что они образуют чередующиеся углы, величина которых значительно меньше 90° по отношению к осевой линии протектора, притом что вся конструкция </w:t>
      </w:r>
      <w:r w:rsidRPr="00FD02F4">
        <w:t xml:space="preserve">стягивается поясом, состоящим из </w:t>
      </w:r>
      <w:r w:rsidRPr="00FC7FA4">
        <w:rPr>
          <w:strike/>
        </w:rPr>
        <w:t>двух</w:t>
      </w:r>
      <w:r w:rsidRPr="00FD02F4">
        <w:t xml:space="preserve"> </w:t>
      </w:r>
      <w:r w:rsidRPr="00FD02F4">
        <w:rPr>
          <w:b/>
          <w:bCs/>
        </w:rPr>
        <w:t xml:space="preserve">одного </w:t>
      </w:r>
      <w:r w:rsidRPr="00FD02F4">
        <w:t>или более слоев практически нерастяжимого корда</w:t>
      </w:r>
      <w:r w:rsidRPr="00FC7FA4">
        <w:rPr>
          <w:strike/>
        </w:rPr>
        <w:t>, образующего почти такие же чередующиеся углы, что и в каркасе</w:t>
      </w:r>
      <w:r w:rsidRPr="00FD02F4">
        <w:t>;».</w:t>
      </w:r>
    </w:p>
    <w:p w14:paraId="4AD54CC3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  <w:rPr>
          <w:i/>
        </w:rPr>
      </w:pPr>
      <w:r w:rsidRPr="00FD02F4">
        <w:rPr>
          <w:i/>
          <w:iCs/>
        </w:rPr>
        <w:t>Пункт 3.1.15</w:t>
      </w:r>
      <w:r w:rsidRPr="00FD02F4">
        <w:t>, изменить нумерацию на 3.1.14.</w:t>
      </w:r>
    </w:p>
    <w:p w14:paraId="73EEAFF3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rPr>
          <w:i/>
          <w:iCs/>
        </w:rPr>
        <w:t>Пункт 4.1.10,</w:t>
      </w:r>
      <w:r w:rsidRPr="00FD02F4">
        <w:t xml:space="preserve"> изменить следующим образом:</w:t>
      </w:r>
    </w:p>
    <w:p w14:paraId="26E0F8B0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>«4.1.10</w:t>
      </w:r>
      <w:r w:rsidRPr="00FD02F4">
        <w:tab/>
        <w:t xml:space="preserve">Норма </w:t>
      </w:r>
      <w:proofErr w:type="spellStart"/>
      <w:r w:rsidRPr="00FD02F4">
        <w:t>слойности</w:t>
      </w:r>
      <w:proofErr w:type="spellEnd"/>
      <w:r w:rsidRPr="00FD02F4">
        <w:t xml:space="preserve"> диагональных (с перекрещивающимися слоями корда) шин</w:t>
      </w:r>
      <w:r w:rsidRPr="00FD02F4">
        <w:rPr>
          <w:b/>
          <w:bCs/>
        </w:rPr>
        <w:t>, за исключением запасных или шин для временного пользования типа Т;</w:t>
      </w:r>
      <w:r w:rsidRPr="00FD02F4">
        <w:t>».</w:t>
      </w:r>
    </w:p>
    <w:p w14:paraId="1FB131B6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rPr>
          <w:i/>
          <w:iCs/>
        </w:rPr>
        <w:t>Пункт 6.2.3</w:t>
      </w:r>
      <w:r w:rsidRPr="00FD02F4">
        <w:t xml:space="preserve"> изменить следующим образом:</w:t>
      </w:r>
    </w:p>
    <w:p w14:paraId="6BCCC850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>«6.2.3.</w:t>
      </w:r>
      <w:r w:rsidRPr="00FD02F4">
        <w:tab/>
      </w:r>
      <w:r w:rsidRPr="00FD02F4">
        <w:rPr>
          <w:b/>
          <w:bCs/>
        </w:rPr>
        <w:t>За исключением радиальных шин и шин, пригодных для использования в спущенном состоянии,</w:t>
      </w:r>
      <w:r w:rsidRPr="00FD02F4">
        <w:t xml:space="preserve"> наружный диаметр шины, измеренный через шесть часов после испытания на нагрузку/скорость, указанного в пункте 2 приложения 7, не должен отличаться более чем на ±3,5% от наружного диаметра, измеренного до испытания</w:t>
      </w:r>
      <w:r w:rsidR="007C3A1A">
        <w:t>.</w:t>
      </w:r>
      <w:r w:rsidRPr="00FD02F4">
        <w:t>».</w:t>
      </w:r>
    </w:p>
    <w:p w14:paraId="2A2DA3EB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rPr>
          <w:i/>
          <w:iCs/>
        </w:rPr>
        <w:t>Пункт 6.1.4.2.1</w:t>
      </w:r>
      <w:r w:rsidRPr="00FD02F4">
        <w:t xml:space="preserve"> изменить следующим образом:</w:t>
      </w:r>
    </w:p>
    <w:p w14:paraId="33F635C7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>«6.1.4.2.1</w:t>
      </w:r>
      <w:r w:rsidRPr="00FD02F4">
        <w:tab/>
        <w:t xml:space="preserve">в случае диагональных (с перекрещивающимися слоями корда) </w:t>
      </w:r>
      <w:r w:rsidRPr="00FD02F4">
        <w:rPr>
          <w:b/>
          <w:bCs/>
        </w:rPr>
        <w:t>и диагонально-опоясанных шин:</w:t>
      </w:r>
      <w:r w:rsidRPr="00FD02F4">
        <w:t xml:space="preserve"> 6%;».</w:t>
      </w:r>
    </w:p>
    <w:p w14:paraId="0779F11B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  <w:rPr>
          <w:i/>
          <w:iCs/>
        </w:rPr>
      </w:pPr>
      <w:bookmarkStart w:id="9" w:name="_Hlk22638202"/>
      <w:r w:rsidRPr="00FD02F4">
        <w:rPr>
          <w:i/>
          <w:iCs/>
        </w:rPr>
        <w:t>Включить новый пункт 11.4</w:t>
      </w:r>
      <w:r w:rsidRPr="00FD02F4">
        <w:t xml:space="preserve"> следующего содержания:</w:t>
      </w:r>
    </w:p>
    <w:p w14:paraId="6C235C2B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  <w:rPr>
          <w:b/>
          <w:bCs/>
        </w:rPr>
      </w:pPr>
      <w:r w:rsidRPr="00FD02F4">
        <w:rPr>
          <w:b/>
          <w:bCs/>
        </w:rPr>
        <w:t>«11.4</w:t>
      </w:r>
      <w:r w:rsidRPr="00FD02F4">
        <w:rPr>
          <w:b/>
          <w:bCs/>
        </w:rPr>
        <w:tab/>
        <w:t>До истечения трех месяцев после даты вступления в силу дополнения 22 к поправкам серии 02 к настоящим Правилам Договаривающиеся стороны, применяющие настоящие Правила, могут продолжать предоставлять и/или распространять официальные утверждения типа на основании поправок серии 02 к настоящим Правилам без учета положений дополнения 22 к поправкам серии 02 к настоящим Правилам</w:t>
      </w:r>
      <w:r w:rsidR="007C3A1A">
        <w:rPr>
          <w:b/>
          <w:bCs/>
        </w:rPr>
        <w:t>.</w:t>
      </w:r>
      <w:r w:rsidRPr="007C3A1A">
        <w:rPr>
          <w:bCs/>
        </w:rPr>
        <w:t>».</w:t>
      </w:r>
    </w:p>
    <w:bookmarkEnd w:id="9"/>
    <w:p w14:paraId="2393C2C7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rPr>
          <w:i/>
          <w:iCs/>
        </w:rPr>
        <w:t>Пункт 3.2 приложения 7</w:t>
      </w:r>
      <w:r w:rsidRPr="00FD02F4">
        <w:t xml:space="preserve"> изменить следующим образом:</w:t>
      </w:r>
    </w:p>
    <w:p w14:paraId="76A40828" w14:textId="77777777" w:rsidR="00FD02F4" w:rsidRPr="00FD02F4" w:rsidRDefault="00FD02F4" w:rsidP="007A6235">
      <w:pPr>
        <w:pStyle w:val="SingleTxtG"/>
        <w:tabs>
          <w:tab w:val="left" w:pos="2268"/>
          <w:tab w:val="left" w:pos="2835"/>
        </w:tabs>
        <w:ind w:left="2268" w:hanging="1134"/>
        <w:rPr>
          <w:i/>
        </w:rPr>
      </w:pPr>
      <w:r w:rsidRPr="00FD02F4">
        <w:t>«3.2</w:t>
      </w:r>
      <w:r w:rsidRPr="00FD02F4">
        <w:tab/>
        <w:t xml:space="preserve">Осуществляют процедуру, подробно описанную в пунктах 1.2–1.5 выше, при температуре </w:t>
      </w:r>
      <w:r w:rsidRPr="00FC7FA4">
        <w:rPr>
          <w:strike/>
        </w:rPr>
        <w:t>38 ºС + 3 ºС</w:t>
      </w:r>
      <w:r w:rsidRPr="00FD02F4">
        <w:t xml:space="preserve"> </w:t>
      </w:r>
      <w:r w:rsidRPr="00FD02F4">
        <w:rPr>
          <w:b/>
          <w:bCs/>
        </w:rPr>
        <w:t>38</w:t>
      </w:r>
      <w:r w:rsidR="007A6235">
        <w:rPr>
          <w:b/>
          <w:bCs/>
        </w:rPr>
        <w:t> ± </w:t>
      </w:r>
      <w:r w:rsidRPr="00FD02F4">
        <w:rPr>
          <w:b/>
          <w:bCs/>
        </w:rPr>
        <w:t>3 ºC</w:t>
      </w:r>
      <w:r w:rsidRPr="00FD02F4">
        <w:t xml:space="preserve"> в помещении, где проводится испытание, для выдерживания надетой на колесо шины в соответствии с требованиями, подробно описанными в пункте 1.4. Датчик температуры должен находиться на расстоянии не менее 0,15 м и не более 1,00 м от боковины шины</w:t>
      </w:r>
      <w:r w:rsidR="007C3A1A">
        <w:t>.</w:t>
      </w:r>
      <w:r w:rsidRPr="00FD02F4">
        <w:t>».</w:t>
      </w:r>
    </w:p>
    <w:p w14:paraId="0DD9EBC2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7C362373" w14:textId="77777777" w:rsidR="00FD02F4" w:rsidRPr="00FD02F4" w:rsidRDefault="00FD02F4" w:rsidP="00FC7FA4">
      <w:pPr>
        <w:pStyle w:val="HChG"/>
      </w:pPr>
      <w:r w:rsidRPr="00FD02F4">
        <w:lastRenderedPageBreak/>
        <w:t>Приложение VII</w:t>
      </w:r>
    </w:p>
    <w:p w14:paraId="43FAF8E6" w14:textId="77777777" w:rsidR="00FD02F4" w:rsidRPr="00FD02F4" w:rsidRDefault="00FD02F4" w:rsidP="00FC7FA4">
      <w:pPr>
        <w:pStyle w:val="HChG"/>
      </w:pPr>
      <w:r w:rsidRPr="00FD02F4">
        <w:tab/>
      </w:r>
      <w:r w:rsidRPr="00FD02F4">
        <w:tab/>
        <w:t xml:space="preserve">Принятые поправки к Правилам </w:t>
      </w:r>
      <w:r>
        <w:t>№ </w:t>
      </w:r>
      <w:r w:rsidRPr="00FD02F4">
        <w:t xml:space="preserve">117 ООН </w:t>
      </w:r>
      <w:r w:rsidR="00FC7FA4">
        <w:br/>
      </w:r>
      <w:r w:rsidRPr="00FD02F4">
        <w:t xml:space="preserve">(на основе документов </w:t>
      </w:r>
      <w:proofErr w:type="spellStart"/>
      <w:r w:rsidRPr="00FD02F4">
        <w:t>ECE</w:t>
      </w:r>
      <w:proofErr w:type="spellEnd"/>
      <w:r w:rsidRPr="00FD02F4">
        <w:t>/</w:t>
      </w:r>
      <w:proofErr w:type="spellStart"/>
      <w:r w:rsidRPr="00FD02F4">
        <w:t>TRANS</w:t>
      </w:r>
      <w:proofErr w:type="spellEnd"/>
      <w:r w:rsidRPr="00FD02F4">
        <w:t>/WP.29/</w:t>
      </w:r>
      <w:proofErr w:type="spellStart"/>
      <w:r w:rsidRPr="00FD02F4">
        <w:t>GRBP</w:t>
      </w:r>
      <w:proofErr w:type="spellEnd"/>
      <w:r w:rsidRPr="00FD02F4">
        <w:t xml:space="preserve">/2020/6 </w:t>
      </w:r>
      <w:r w:rsidR="00FC7FA4">
        <w:br/>
      </w:r>
      <w:r w:rsidRPr="00FD02F4">
        <w:t>и GRBP-71-29)</w:t>
      </w:r>
    </w:p>
    <w:p w14:paraId="0E2B6ECB" w14:textId="77777777" w:rsidR="00FD02F4" w:rsidRPr="00FD02F4" w:rsidRDefault="00FD02F4" w:rsidP="00FC7FA4">
      <w:pPr>
        <w:pStyle w:val="SingleTxtG"/>
        <w:tabs>
          <w:tab w:val="left" w:pos="2268"/>
          <w:tab w:val="left" w:pos="2835"/>
        </w:tabs>
        <w:ind w:left="2268" w:hanging="1134"/>
        <w:rPr>
          <w:i/>
          <w:iCs/>
        </w:rPr>
      </w:pPr>
      <w:r w:rsidRPr="00FD02F4">
        <w:rPr>
          <w:i/>
          <w:iCs/>
        </w:rPr>
        <w:t>Приложение 3, пункт 2.5.1</w:t>
      </w:r>
      <w:r w:rsidRPr="00FD02F4">
        <w:t xml:space="preserve"> изменить следующим образом:</w:t>
      </w:r>
    </w:p>
    <w:p w14:paraId="3346100E" w14:textId="77777777" w:rsidR="00FD02F4" w:rsidRPr="00FD02F4" w:rsidRDefault="00FD02F4" w:rsidP="00FC7FA4">
      <w:pPr>
        <w:pStyle w:val="SingleTxtG"/>
        <w:tabs>
          <w:tab w:val="left" w:pos="2268"/>
          <w:tab w:val="left" w:pos="2835"/>
        </w:tabs>
        <w:ind w:left="2268" w:hanging="1134"/>
      </w:pPr>
      <w:r w:rsidRPr="00FD02F4">
        <w:t>«2.5.1</w:t>
      </w:r>
      <w:r w:rsidRPr="00FD02F4">
        <w:tab/>
        <w:t xml:space="preserve">Общие сведения </w:t>
      </w:r>
    </w:p>
    <w:p w14:paraId="21E2A64E" w14:textId="77777777" w:rsidR="00FD02F4" w:rsidRPr="00FD02F4" w:rsidRDefault="00FC7FA4" w:rsidP="00FC7FA4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D02F4">
        <w:t xml:space="preserve">На испытательном транспортном средстве должны быть установлены четыре одинаковые шины. В случае шин </w:t>
      </w:r>
      <w:r w:rsidR="00FD02F4" w:rsidRPr="00FD02F4">
        <w:rPr>
          <w:b/>
          <w:bCs/>
        </w:rPr>
        <w:t>C3</w:t>
      </w:r>
      <w:r w:rsidR="00FD02F4" w:rsidRPr="00FD02F4">
        <w:t xml:space="preserve"> с индексом несущей способности более 121 и без какого-либо указания на возможность попарной установки, две такие шины одного типа и размера устанавливают на заднюю ось испытательного транспортного средства; на переднюю ось устанавливают шины надлежащего размера с учетом нагрузки на ось и со степенью износа, при 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 </w:t>
      </w:r>
    </w:p>
    <w:p w14:paraId="0F12C12D" w14:textId="77777777" w:rsidR="00FD02F4" w:rsidRPr="00FD02F4" w:rsidRDefault="00FC7FA4" w:rsidP="00FC7FA4">
      <w:pPr>
        <w:pStyle w:val="SingleTxtG"/>
        <w:tabs>
          <w:tab w:val="left" w:pos="2268"/>
          <w:tab w:val="left" w:pos="2835"/>
        </w:tabs>
        <w:ind w:left="2268" w:hanging="1134"/>
        <w:rPr>
          <w:b/>
        </w:rPr>
      </w:pPr>
      <w:r>
        <w:rPr>
          <w:b/>
          <w:bCs/>
        </w:rPr>
        <w:tab/>
      </w:r>
      <w:r w:rsidR="00FD02F4" w:rsidRPr="00FD02F4">
        <w:rPr>
          <w:b/>
          <w:bCs/>
        </w:rPr>
        <w:t>В случае шин С2 с индексом несущей способности менее или равной 121, шириной профиля более 200 мм, отношением высоты профиля к его ширине менее 55, кодом диаметра обода менее 15 и без какого-либо указания на возможность попарной установки две такие шины одного типа и размера устанавливают на заднюю ось испытательного транспортного средства;</w:t>
      </w:r>
      <w:r w:rsidR="00FD02F4" w:rsidRPr="00FD02F4">
        <w:t xml:space="preserve"> </w:t>
      </w:r>
      <w:r w:rsidR="00FD02F4" w:rsidRPr="00FD02F4">
        <w:rPr>
          <w:b/>
          <w:bCs/>
        </w:rPr>
        <w:t>на переднюю ось устанавливают шины надлежащего размера с учетом нагрузки на ось и со степенью износа, при 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</w:t>
      </w:r>
      <w:r w:rsidR="00FD02F4" w:rsidRPr="00FD02F4">
        <w:t xml:space="preserve"> </w:t>
      </w:r>
    </w:p>
    <w:p w14:paraId="5D898FB9" w14:textId="77777777" w:rsidR="00FD02F4" w:rsidRPr="00FD02F4" w:rsidRDefault="00FC7FA4" w:rsidP="00FC7FA4">
      <w:pPr>
        <w:pStyle w:val="SingleTxtG"/>
        <w:tabs>
          <w:tab w:val="left" w:pos="2268"/>
          <w:tab w:val="left" w:pos="2835"/>
        </w:tabs>
        <w:ind w:left="2268" w:hanging="1134"/>
      </w:pPr>
      <w:r>
        <w:tab/>
      </w:r>
      <w:r w:rsidR="00FD02F4" w:rsidRPr="00FC7FA4">
        <w:rPr>
          <w:strike/>
        </w:rPr>
        <w:t>Зимние шины, которые в отдельных Договаривающихся сторонах могут оснащаться шипами для улучшения сцепления с поверхностью дороги, подвергают испытаниям без этого оборудования.</w:t>
      </w:r>
      <w:r w:rsidR="00FD02F4" w:rsidRPr="00FD02F4">
        <w:t xml:space="preserve"> Шины, к установке которых предъявляются специальные требования, следует испытывать в соответствии с этими требованиями (например, в отношении направления вращения). Перед началом обкатки шины должны иметь полную глубину протектора.</w:t>
      </w:r>
    </w:p>
    <w:p w14:paraId="015B84C7" w14:textId="77777777" w:rsidR="00FD02F4" w:rsidRPr="00FD02F4" w:rsidRDefault="00FC7FA4" w:rsidP="00FC7FA4">
      <w:pPr>
        <w:pStyle w:val="SingleTxtG"/>
        <w:tabs>
          <w:tab w:val="left" w:pos="2268"/>
          <w:tab w:val="left" w:pos="2835"/>
        </w:tabs>
        <w:ind w:left="2268" w:hanging="1134"/>
        <w:rPr>
          <w:i/>
          <w:iCs/>
        </w:rPr>
      </w:pPr>
      <w:r>
        <w:tab/>
      </w:r>
      <w:r w:rsidR="00FD02F4" w:rsidRPr="00FD02F4">
        <w:t>Шины необходимо испытывать на ободьях, рекомендуемых изготовителем</w:t>
      </w:r>
      <w:r w:rsidR="007C3A1A">
        <w:t>.</w:t>
      </w:r>
      <w:r w:rsidR="00FD02F4" w:rsidRPr="00FD02F4">
        <w:t>».</w:t>
      </w:r>
    </w:p>
    <w:p w14:paraId="2F016E3B" w14:textId="77777777" w:rsidR="00FD02F4" w:rsidRPr="00FD02F4" w:rsidRDefault="00FD02F4" w:rsidP="00FD02F4">
      <w:pPr>
        <w:pStyle w:val="SingleTxtG"/>
        <w:rPr>
          <w:b/>
        </w:rPr>
      </w:pPr>
      <w:r w:rsidRPr="00FD02F4">
        <w:br w:type="page"/>
      </w:r>
    </w:p>
    <w:p w14:paraId="64EEA027" w14:textId="77777777" w:rsidR="00FD02F4" w:rsidRPr="00FD02F4" w:rsidRDefault="00FD02F4" w:rsidP="00FC7FA4">
      <w:pPr>
        <w:pStyle w:val="HChG"/>
      </w:pPr>
      <w:r w:rsidRPr="00FD02F4">
        <w:lastRenderedPageBreak/>
        <w:t>Приложение VIII</w:t>
      </w:r>
    </w:p>
    <w:p w14:paraId="3182F1E4" w14:textId="77777777" w:rsidR="00FD02F4" w:rsidRPr="00FD02F4" w:rsidRDefault="00FD02F4" w:rsidP="00FC7FA4">
      <w:pPr>
        <w:pStyle w:val="HChG"/>
      </w:pPr>
      <w:r w:rsidRPr="00FD02F4">
        <w:tab/>
      </w:r>
      <w:r w:rsidRPr="00FD02F4">
        <w:tab/>
        <w:t xml:space="preserve">Неофициальные группы </w:t>
      </w:r>
      <w:proofErr w:type="spellStart"/>
      <w:r w:rsidRPr="00FD02F4">
        <w:t>GRBP</w:t>
      </w:r>
      <w:proofErr w:type="spellEnd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48"/>
        <w:gridCol w:w="3121"/>
        <w:gridCol w:w="875"/>
      </w:tblGrid>
      <w:tr w:rsidR="00FD02F4" w:rsidRPr="00E377BB" w14:paraId="5E56793B" w14:textId="77777777" w:rsidTr="00E377B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868169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377BB">
              <w:rPr>
                <w:rFonts w:cs="Times New Roman"/>
                <w:i/>
                <w:sz w:val="16"/>
                <w:szCs w:val="16"/>
              </w:rPr>
              <w:t>Неофициальная группа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1F5ADB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377BB">
              <w:rPr>
                <w:rFonts w:cs="Times New Roman"/>
                <w:i/>
                <w:sz w:val="16"/>
                <w:szCs w:val="16"/>
              </w:rPr>
              <w:t xml:space="preserve">Председатель(и) и сопредседатель(и)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ED68DD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377BB">
              <w:rPr>
                <w:rFonts w:cs="Times New Roman"/>
                <w:i/>
                <w:sz w:val="16"/>
                <w:szCs w:val="16"/>
              </w:rPr>
              <w:t>Секретарь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DCAFF0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377BB">
              <w:rPr>
                <w:rFonts w:cs="Times New Roman"/>
                <w:i/>
                <w:sz w:val="16"/>
                <w:szCs w:val="16"/>
              </w:rPr>
              <w:t>Истечение срока действия мандата</w:t>
            </w:r>
          </w:p>
        </w:tc>
      </w:tr>
      <w:tr w:rsidR="00FD02F4" w:rsidRPr="00E377BB" w14:paraId="208EAD3A" w14:textId="77777777" w:rsidTr="00837C93">
        <w:trPr>
          <w:trHeight w:val="1823"/>
        </w:trPr>
        <w:tc>
          <w:tcPr>
            <w:tcW w:w="156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3675AD9E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377BB">
              <w:rPr>
                <w:rFonts w:cs="Times New Roman"/>
                <w:sz w:val="18"/>
                <w:szCs w:val="18"/>
              </w:rPr>
              <w:t>ГТП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по бесшумным автотранспортным средствам 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БАТС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8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5B92506D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Эзана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Вондимне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(США)</w:t>
            </w:r>
          </w:p>
          <w:p w14:paraId="1724511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Тел.: +1 202 366 21 17 </w:t>
            </w:r>
          </w:p>
          <w:p w14:paraId="6748DED6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Ezana.wondimneh@dot.gov</w:t>
            </w:r>
          </w:p>
          <w:p w14:paraId="7199AA01" w14:textId="77777777" w:rsidR="00FD02F4" w:rsidRPr="00E377BB" w:rsidRDefault="00E377BB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FD02F4"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="00FD02F4" w:rsidRPr="00E377BB">
              <w:rPr>
                <w:rFonts w:cs="Times New Roman"/>
                <w:sz w:val="18"/>
                <w:szCs w:val="18"/>
              </w:rPr>
              <w:t>Ичиро</w:t>
            </w:r>
            <w:proofErr w:type="spellEnd"/>
            <w:r w:rsidR="00FD02F4" w:rsidRPr="00E377BB">
              <w:rPr>
                <w:rFonts w:cs="Times New Roman"/>
                <w:sz w:val="18"/>
                <w:szCs w:val="18"/>
              </w:rPr>
              <w:t xml:space="preserve"> Сакамото (Япония)</w:t>
            </w:r>
          </w:p>
          <w:p w14:paraId="2F1BE8A4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+81 422 41 66 18</w:t>
            </w:r>
          </w:p>
          <w:p w14:paraId="5CB8B438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+81 422 76 86 04</w:t>
            </w:r>
          </w:p>
          <w:p w14:paraId="34E69D9D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i-saka@ntsel.go.jp</w:t>
            </w:r>
          </w:p>
        </w:tc>
        <w:tc>
          <w:tcPr>
            <w:tcW w:w="312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0E395EA3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Г-н Андреас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Возинис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(Генеральный директорат по вопросам роста, Европейская комиссия)</w:t>
            </w:r>
          </w:p>
          <w:p w14:paraId="49F05B72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+ 32 2 2992116</w:t>
            </w:r>
          </w:p>
          <w:p w14:paraId="24F1022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andreas.vosinis@ec.europa.eu</w:t>
            </w:r>
          </w:p>
        </w:tc>
        <w:tc>
          <w:tcPr>
            <w:tcW w:w="875" w:type="dxa"/>
            <w:shd w:val="clear" w:color="auto" w:fill="auto"/>
            <w:tcMar>
              <w:left w:w="28" w:type="dxa"/>
              <w:right w:w="28" w:type="dxa"/>
            </w:tcMar>
          </w:tcPr>
          <w:p w14:paraId="4CEC4E8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Декабрь 2020 года</w:t>
            </w:r>
          </w:p>
        </w:tc>
      </w:tr>
      <w:tr w:rsidR="00FD02F4" w:rsidRPr="00E377BB" w14:paraId="4AFD5ED4" w14:textId="77777777" w:rsidTr="00E377BB">
        <w:tc>
          <w:tcPr>
            <w:tcW w:w="156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1C98456A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Дополнительные положения об уровне звука 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ДПУЗ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948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18ABC7F4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Бернд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Шюттлер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(Германия)</w:t>
            </w:r>
          </w:p>
          <w:p w14:paraId="1122AA52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+49 228 99300 4372</w:t>
            </w:r>
          </w:p>
          <w:p w14:paraId="79ECB49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+49 228 99300807 4372</w:t>
            </w:r>
          </w:p>
          <w:p w14:paraId="08DA37BE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bernd.schuettler@bmvi.bund.de</w:t>
            </w:r>
          </w:p>
          <w:p w14:paraId="369930CB" w14:textId="77777777" w:rsidR="00FD02F4" w:rsidRPr="00E377BB" w:rsidRDefault="00E377BB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FD02F4"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="00FD02F4" w:rsidRPr="00E377BB">
              <w:rPr>
                <w:rFonts w:cs="Times New Roman"/>
                <w:sz w:val="18"/>
                <w:szCs w:val="18"/>
              </w:rPr>
              <w:t>Дунмин</w:t>
            </w:r>
            <w:proofErr w:type="spellEnd"/>
            <w:r w:rsidR="00FD02F4" w:rsidRPr="00E377BB">
              <w:rPr>
                <w:rFonts w:cs="Times New Roman"/>
                <w:sz w:val="18"/>
                <w:szCs w:val="18"/>
              </w:rPr>
              <w:t xml:space="preserve"> Се (Китай)</w:t>
            </w:r>
          </w:p>
          <w:p w14:paraId="2DF19B23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+ 86 22 843 79284</w:t>
            </w:r>
          </w:p>
          <w:p w14:paraId="28D95AD1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+86 22 84379259</w:t>
            </w:r>
          </w:p>
          <w:p w14:paraId="357DDA3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xiedongming@catarc.ac.cn</w:t>
            </w:r>
          </w:p>
          <w:p w14:paraId="382A5FF4" w14:textId="77777777" w:rsidR="00FD02F4" w:rsidRPr="00E377BB" w:rsidRDefault="00E377BB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FD02F4"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="00FD02F4" w:rsidRPr="00E377BB">
              <w:rPr>
                <w:rFonts w:cs="Times New Roman"/>
                <w:sz w:val="18"/>
                <w:szCs w:val="18"/>
              </w:rPr>
              <w:t>Kaзухиро</w:t>
            </w:r>
            <w:proofErr w:type="spellEnd"/>
            <w:r w:rsidR="00FD02F4" w:rsidRPr="00E377B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D02F4" w:rsidRPr="00E377BB">
              <w:rPr>
                <w:rFonts w:cs="Times New Roman"/>
                <w:sz w:val="18"/>
                <w:szCs w:val="18"/>
              </w:rPr>
              <w:t>Oкaмoтo</w:t>
            </w:r>
            <w:proofErr w:type="spellEnd"/>
            <w:r w:rsidR="00FD02F4" w:rsidRPr="00E377BB">
              <w:rPr>
                <w:rFonts w:cs="Times New Roman"/>
                <w:sz w:val="18"/>
                <w:szCs w:val="18"/>
              </w:rPr>
              <w:t xml:space="preserve"> (Япония)</w:t>
            </w:r>
          </w:p>
          <w:p w14:paraId="4CAFEEE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+ 81 422 41 3227</w:t>
            </w:r>
          </w:p>
          <w:p w14:paraId="146CF6E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+81 422 41 3232</w:t>
            </w:r>
          </w:p>
          <w:p w14:paraId="3348AD5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Эл. почта: </w:t>
            </w:r>
            <w:r w:rsidR="00E377BB">
              <w:rPr>
                <w:rFonts w:cs="Times New Roman"/>
                <w:sz w:val="18"/>
                <w:szCs w:val="18"/>
              </w:rPr>
              <w:br/>
            </w:r>
            <w:r w:rsidRPr="00E377BB">
              <w:rPr>
                <w:rFonts w:cs="Times New Roman"/>
                <w:sz w:val="18"/>
                <w:szCs w:val="18"/>
              </w:rPr>
              <w:t>k-okamot@shinsa.ntsel.go.jp</w:t>
            </w:r>
          </w:p>
        </w:tc>
        <w:tc>
          <w:tcPr>
            <w:tcW w:w="312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062FEADC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Г-жа Франсуаза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Сильвани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МОПАП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>)</w:t>
            </w:r>
          </w:p>
          <w:p w14:paraId="7751A920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+33 1 76 85 05 92</w:t>
            </w:r>
          </w:p>
          <w:p w14:paraId="12D21B1A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+33 1 76 86 92 89</w:t>
            </w:r>
          </w:p>
          <w:p w14:paraId="21666C45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Эл. почта: francoise.silvani@renault.com </w:t>
            </w:r>
          </w:p>
        </w:tc>
        <w:tc>
          <w:tcPr>
            <w:tcW w:w="875" w:type="dxa"/>
            <w:shd w:val="clear" w:color="auto" w:fill="auto"/>
            <w:tcMar>
              <w:left w:w="28" w:type="dxa"/>
              <w:right w:w="28" w:type="dxa"/>
            </w:tcMar>
          </w:tcPr>
          <w:p w14:paraId="715452E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E377BB">
              <w:rPr>
                <w:rFonts w:cs="Times New Roman"/>
                <w:sz w:val="18"/>
                <w:szCs w:val="18"/>
              </w:rPr>
              <w:t>Сентябрь 2020 года</w:t>
            </w:r>
          </w:p>
        </w:tc>
      </w:tr>
      <w:tr w:rsidR="00FD02F4" w:rsidRPr="00E377BB" w14:paraId="05D75AEE" w14:textId="77777777" w:rsidTr="00E377BB">
        <w:tc>
          <w:tcPr>
            <w:tcW w:w="156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14:paraId="752BCF0B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Характеристики сцепления с мокрой поверхностью </w:t>
            </w:r>
            <w:r w:rsidR="00E377BB">
              <w:rPr>
                <w:rFonts w:cs="Times New Roman"/>
                <w:sz w:val="18"/>
                <w:szCs w:val="18"/>
              </w:rPr>
              <w:br/>
            </w:r>
            <w:r w:rsidRPr="00E377BB">
              <w:rPr>
                <w:rFonts w:cs="Times New Roman"/>
                <w:sz w:val="18"/>
                <w:szCs w:val="18"/>
              </w:rPr>
              <w:t>для шин в изношенном состоянии 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СМИШ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48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2CB2C5A5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Г-жа Элоди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Колло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(Франция)</w:t>
            </w:r>
          </w:p>
          <w:p w14:paraId="61550D1A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Тел.: +33 171 80 17 43</w:t>
            </w:r>
          </w:p>
          <w:p w14:paraId="16E48733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+ 33 1 71 80 17 17 17</w:t>
            </w:r>
          </w:p>
          <w:p w14:paraId="58236074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elodie.collot@utacceram.com</w:t>
            </w:r>
          </w:p>
          <w:p w14:paraId="6038336E" w14:textId="77777777" w:rsidR="00FD02F4" w:rsidRPr="00E377BB" w:rsidRDefault="00E377BB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br/>
            </w:r>
            <w:r w:rsidR="00FD02F4" w:rsidRPr="00E377BB">
              <w:rPr>
                <w:rFonts w:cs="Times New Roman"/>
                <w:sz w:val="18"/>
                <w:szCs w:val="18"/>
              </w:rPr>
              <w:t xml:space="preserve">Г-н Андреас </w:t>
            </w:r>
            <w:proofErr w:type="spellStart"/>
            <w:r w:rsidR="00FD02F4" w:rsidRPr="00E377BB">
              <w:rPr>
                <w:rFonts w:cs="Times New Roman"/>
                <w:sz w:val="18"/>
                <w:szCs w:val="18"/>
              </w:rPr>
              <w:t>Возинис</w:t>
            </w:r>
            <w:proofErr w:type="spellEnd"/>
            <w:r w:rsidR="00FD02F4" w:rsidRPr="00E377BB">
              <w:rPr>
                <w:rFonts w:cs="Times New Roman"/>
                <w:sz w:val="18"/>
                <w:szCs w:val="18"/>
              </w:rPr>
              <w:t xml:space="preserve"> (Генеральный директорат по вопросам роста, Европейская комиссия)</w:t>
            </w:r>
          </w:p>
          <w:p w14:paraId="6719F560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Тел.: + 32 2 299 21 16 </w:t>
            </w:r>
          </w:p>
          <w:p w14:paraId="69E74BB9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Эл. почта: andreas.vosinis@ec.europa.eu </w:t>
            </w:r>
          </w:p>
        </w:tc>
        <w:tc>
          <w:tcPr>
            <w:tcW w:w="312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14:paraId="6950EEF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Г-н Николя де Майе 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ЕТОПОК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>)</w:t>
            </w:r>
          </w:p>
          <w:p w14:paraId="60EC761C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Тел.: + 32 23 44 40 59 </w:t>
            </w:r>
          </w:p>
          <w:p w14:paraId="6A7BFE17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infio@etrto.org</w:t>
            </w:r>
          </w:p>
        </w:tc>
        <w:tc>
          <w:tcPr>
            <w:tcW w:w="8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FA41B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Сентябрь 2020 года</w:t>
            </w:r>
          </w:p>
        </w:tc>
      </w:tr>
      <w:tr w:rsidR="00FD02F4" w:rsidRPr="00E377BB" w14:paraId="66D03567" w14:textId="77777777" w:rsidTr="00E377BB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31C81C00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Неопределенность измерений </w:t>
            </w:r>
            <w:r w:rsidR="00E377BB">
              <w:rPr>
                <w:rFonts w:cs="Times New Roman"/>
                <w:sz w:val="18"/>
                <w:szCs w:val="18"/>
              </w:rPr>
              <w:br/>
            </w:r>
            <w:r w:rsidRPr="00E377BB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НРГ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НИ)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64E70709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Г-н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Трульс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Берге (Норвегия)</w:t>
            </w:r>
          </w:p>
          <w:p w14:paraId="0E05D8B6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Тел.: + 47 905 72 026 </w:t>
            </w:r>
          </w:p>
          <w:p w14:paraId="11577BF0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truls.berge@sintef.no</w:t>
            </w:r>
          </w:p>
        </w:tc>
        <w:tc>
          <w:tcPr>
            <w:tcW w:w="3121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643A540B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 xml:space="preserve">Г-н Манфред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Клопотек</w:t>
            </w:r>
            <w:proofErr w:type="spellEnd"/>
            <w:r w:rsidRPr="00E377BB">
              <w:rPr>
                <w:rFonts w:cs="Times New Roman"/>
                <w:sz w:val="18"/>
                <w:szCs w:val="18"/>
              </w:rPr>
              <w:t xml:space="preserve"> фон </w:t>
            </w:r>
            <w:proofErr w:type="spellStart"/>
            <w:r w:rsidRPr="00E377BB">
              <w:rPr>
                <w:rFonts w:cs="Times New Roman"/>
                <w:sz w:val="18"/>
                <w:szCs w:val="18"/>
              </w:rPr>
              <w:t>Глочевски</w:t>
            </w:r>
            <w:proofErr w:type="spellEnd"/>
          </w:p>
          <w:p w14:paraId="2CB70A21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Тел: +46 8 553 82158</w:t>
            </w:r>
          </w:p>
          <w:p w14:paraId="050C6F8E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Факс: +46 8 553 85604</w:t>
            </w:r>
          </w:p>
          <w:p w14:paraId="49204CB6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Эл. почта: manfred.klopotek@scania.com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BCFCF" w14:textId="77777777" w:rsidR="00FD02F4" w:rsidRPr="00E377BB" w:rsidRDefault="00FD02F4" w:rsidP="007568E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 w:rsidRPr="00E377BB">
              <w:rPr>
                <w:rFonts w:cs="Times New Roman"/>
                <w:sz w:val="18"/>
                <w:szCs w:val="18"/>
              </w:rPr>
              <w:t>Сентябрь 2021 года</w:t>
            </w:r>
          </w:p>
        </w:tc>
      </w:tr>
    </w:tbl>
    <w:p w14:paraId="5C9D9E56" w14:textId="77777777" w:rsidR="00E12C5F" w:rsidRPr="00E377BB" w:rsidRDefault="00E377BB" w:rsidP="00E377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377BB" w:rsidSect="00FD02F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1B50" w14:textId="77777777" w:rsidR="00FD02F4" w:rsidRPr="00A312BC" w:rsidRDefault="00FD02F4" w:rsidP="00A312BC"/>
  </w:endnote>
  <w:endnote w:type="continuationSeparator" w:id="0">
    <w:p w14:paraId="68A583C4" w14:textId="77777777" w:rsidR="00FD02F4" w:rsidRPr="00A312BC" w:rsidRDefault="00FD02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5745" w14:textId="77777777" w:rsidR="00FD02F4" w:rsidRPr="00FD02F4" w:rsidRDefault="00FD02F4">
    <w:pPr>
      <w:pStyle w:val="a8"/>
    </w:pPr>
    <w:r w:rsidRPr="00FD02F4">
      <w:rPr>
        <w:b/>
        <w:sz w:val="18"/>
      </w:rPr>
      <w:fldChar w:fldCharType="begin"/>
    </w:r>
    <w:r w:rsidRPr="00FD02F4">
      <w:rPr>
        <w:b/>
        <w:sz w:val="18"/>
      </w:rPr>
      <w:instrText xml:space="preserve"> PAGE  \* MERGEFORMAT </w:instrText>
    </w:r>
    <w:r w:rsidRPr="00FD02F4">
      <w:rPr>
        <w:b/>
        <w:sz w:val="18"/>
      </w:rPr>
      <w:fldChar w:fldCharType="separate"/>
    </w:r>
    <w:r w:rsidRPr="00FD02F4">
      <w:rPr>
        <w:b/>
        <w:noProof/>
        <w:sz w:val="18"/>
      </w:rPr>
      <w:t>2</w:t>
    </w:r>
    <w:r w:rsidRPr="00FD02F4">
      <w:rPr>
        <w:b/>
        <w:sz w:val="18"/>
      </w:rPr>
      <w:fldChar w:fldCharType="end"/>
    </w:r>
    <w:r>
      <w:rPr>
        <w:b/>
        <w:sz w:val="18"/>
      </w:rPr>
      <w:tab/>
    </w:r>
    <w:r>
      <w:t>GE.20-03250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D27" w14:textId="77777777" w:rsidR="00FD02F4" w:rsidRPr="00FD02F4" w:rsidRDefault="00FD02F4" w:rsidP="00FD02F4">
    <w:pPr>
      <w:pStyle w:val="a8"/>
      <w:tabs>
        <w:tab w:val="clear" w:pos="9639"/>
        <w:tab w:val="right" w:pos="9638"/>
      </w:tabs>
      <w:rPr>
        <w:b/>
        <w:sz w:val="18"/>
      </w:rPr>
    </w:pPr>
    <w:r>
      <w:t>GE.20-03250</w:t>
    </w:r>
    <w:r>
      <w:tab/>
    </w:r>
    <w:r w:rsidRPr="00FD02F4">
      <w:rPr>
        <w:b/>
        <w:sz w:val="18"/>
      </w:rPr>
      <w:fldChar w:fldCharType="begin"/>
    </w:r>
    <w:r w:rsidRPr="00FD02F4">
      <w:rPr>
        <w:b/>
        <w:sz w:val="18"/>
      </w:rPr>
      <w:instrText xml:space="preserve"> PAGE  \* MERGEFORMAT </w:instrText>
    </w:r>
    <w:r w:rsidRPr="00FD02F4">
      <w:rPr>
        <w:b/>
        <w:sz w:val="18"/>
      </w:rPr>
      <w:fldChar w:fldCharType="separate"/>
    </w:r>
    <w:r w:rsidRPr="00FD02F4">
      <w:rPr>
        <w:b/>
        <w:noProof/>
        <w:sz w:val="18"/>
      </w:rPr>
      <w:t>3</w:t>
    </w:r>
    <w:r w:rsidRPr="00FD02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1C84" w14:textId="77777777" w:rsidR="00FD02F4" w:rsidRPr="00FD02F4" w:rsidRDefault="00FD02F4" w:rsidP="00FD02F4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5F3EE3" wp14:editId="42FC74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03250  (</w:t>
    </w:r>
    <w:proofErr w:type="gramEnd"/>
    <w:r>
      <w:t>R)</w:t>
    </w:r>
    <w:r w:rsidR="00AA5A07">
      <w:t xml:space="preserve">   </w:t>
    </w:r>
    <w:r w:rsidR="00AA5A07">
      <w:rPr>
        <w:lang w:val="en-US"/>
      </w:rPr>
      <w:t>090320   1</w:t>
    </w:r>
    <w:r w:rsidR="00B273ED">
      <w:t>1</w:t>
    </w:r>
    <w:r w:rsidR="00AA5A07">
      <w:rPr>
        <w:lang w:val="en-US"/>
      </w:rPr>
      <w:t>0320</w:t>
    </w:r>
    <w:r>
      <w:br/>
    </w:r>
    <w:r w:rsidRPr="00FD02F4">
      <w:rPr>
        <w:rFonts w:ascii="C39T30Lfz" w:hAnsi="C39T30Lfz"/>
        <w:kern w:val="14"/>
        <w:sz w:val="56"/>
      </w:rPr>
      <w:t></w:t>
    </w:r>
    <w:r w:rsidRPr="00FD02F4">
      <w:rPr>
        <w:rFonts w:ascii="C39T30Lfz" w:hAnsi="C39T30Lfz"/>
        <w:kern w:val="14"/>
        <w:sz w:val="56"/>
      </w:rPr>
      <w:t></w:t>
    </w:r>
    <w:r w:rsidRPr="00FD02F4">
      <w:rPr>
        <w:rFonts w:ascii="C39T30Lfz" w:hAnsi="C39T30Lfz"/>
        <w:kern w:val="14"/>
        <w:sz w:val="56"/>
      </w:rPr>
      <w:t></w:t>
    </w:r>
    <w:r w:rsidRPr="00FD02F4">
      <w:rPr>
        <w:rFonts w:ascii="C39T30Lfz" w:hAnsi="C39T30Lfz"/>
        <w:kern w:val="14"/>
        <w:sz w:val="56"/>
      </w:rPr>
      <w:t></w:t>
    </w:r>
    <w:r w:rsidRPr="00FD02F4">
      <w:rPr>
        <w:rFonts w:ascii="C39T30Lfz" w:hAnsi="C39T30Lfz"/>
        <w:kern w:val="14"/>
        <w:sz w:val="56"/>
      </w:rPr>
      <w:t></w:t>
    </w:r>
    <w:r w:rsidRPr="00FD02F4">
      <w:rPr>
        <w:rFonts w:ascii="C39T30Lfz" w:hAnsi="C39T30Lfz"/>
        <w:kern w:val="14"/>
        <w:sz w:val="56"/>
      </w:rPr>
      <w:t></w:t>
    </w:r>
    <w:r w:rsidRPr="00FD02F4">
      <w:rPr>
        <w:rFonts w:ascii="C39T30Lfz" w:hAnsi="C39T30Lfz"/>
        <w:kern w:val="14"/>
        <w:sz w:val="56"/>
      </w:rPr>
      <w:t></w:t>
    </w:r>
    <w:r w:rsidRPr="00FD02F4">
      <w:rPr>
        <w:rFonts w:ascii="C39T30Lfz" w:hAnsi="C39T30Lfz"/>
        <w:kern w:val="14"/>
        <w:sz w:val="56"/>
      </w:rPr>
      <w:t></w:t>
    </w:r>
    <w:r w:rsidRPr="00FD02F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442F0A" wp14:editId="07CD5C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6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6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C6C1" w14:textId="77777777" w:rsidR="00FD02F4" w:rsidRPr="001075E9" w:rsidRDefault="00FD02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9BEBE7" w14:textId="77777777" w:rsidR="00FD02F4" w:rsidRDefault="00FD02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65CB0B" w14:textId="77777777" w:rsidR="00FD02F4" w:rsidRPr="003445F6" w:rsidRDefault="00FD02F4" w:rsidP="00FD02F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hyperlink r:id="rId1" w:history="1">
        <w:r w:rsidR="003445F6">
          <w:rPr>
            <w:rStyle w:val="af1"/>
          </w:rPr>
          <w:t>http://www.federalregister.gov/documents/2019/12/19/2019-27209/federal-motor-vehicle-safety-standards-tires</w:t>
        </w:r>
      </w:hyperlink>
      <w:r w:rsidR="003445F6" w:rsidRPr="003445F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B9F5" w14:textId="24FEB9FF" w:rsidR="00FD02F4" w:rsidRPr="00FD02F4" w:rsidRDefault="00FD02F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D194A">
      <w:t>ECE</w:t>
    </w:r>
    <w:proofErr w:type="spellEnd"/>
    <w:r w:rsidR="00AD194A">
      <w:t>/TRANS/WP.29/</w:t>
    </w:r>
    <w:proofErr w:type="spellStart"/>
    <w:r w:rsidR="00AD194A">
      <w:t>GRBP</w:t>
    </w:r>
    <w:proofErr w:type="spellEnd"/>
    <w:r w:rsidR="00AD194A">
      <w:t>/69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194F" w14:textId="31137CD7" w:rsidR="00FD02F4" w:rsidRPr="00FD02F4" w:rsidRDefault="00FD02F4" w:rsidP="00FD02F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D194A">
      <w:t>ECE</w:t>
    </w:r>
    <w:proofErr w:type="spellEnd"/>
    <w:r w:rsidR="00AD194A">
      <w:t>/TRANS/WP.29/</w:t>
    </w:r>
    <w:proofErr w:type="spellStart"/>
    <w:r w:rsidR="00AD194A">
      <w:t>GRBP</w:t>
    </w:r>
    <w:proofErr w:type="spellEnd"/>
    <w:r w:rsidR="00AD194A">
      <w:t>/69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33A43"/>
    <w:multiLevelType w:val="hybridMultilevel"/>
    <w:tmpl w:val="97CCF3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2"/>
    <w:rsid w:val="00033EE1"/>
    <w:rsid w:val="00042B72"/>
    <w:rsid w:val="000558BD"/>
    <w:rsid w:val="000B57E7"/>
    <w:rsid w:val="000B6373"/>
    <w:rsid w:val="000C2274"/>
    <w:rsid w:val="000E4E5B"/>
    <w:rsid w:val="000F09DF"/>
    <w:rsid w:val="000F61B2"/>
    <w:rsid w:val="001075E9"/>
    <w:rsid w:val="001108CD"/>
    <w:rsid w:val="0014152F"/>
    <w:rsid w:val="00157EB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5F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4551"/>
    <w:rsid w:val="00452493"/>
    <w:rsid w:val="00453318"/>
    <w:rsid w:val="00454AF2"/>
    <w:rsid w:val="00454E07"/>
    <w:rsid w:val="004642DC"/>
    <w:rsid w:val="00472C5C"/>
    <w:rsid w:val="004C4158"/>
    <w:rsid w:val="004E05B7"/>
    <w:rsid w:val="004E44E4"/>
    <w:rsid w:val="0050108D"/>
    <w:rsid w:val="00513081"/>
    <w:rsid w:val="00517901"/>
    <w:rsid w:val="00526683"/>
    <w:rsid w:val="005639C1"/>
    <w:rsid w:val="005709E0"/>
    <w:rsid w:val="00572E19"/>
    <w:rsid w:val="0057694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4D5E"/>
    <w:rsid w:val="006C2031"/>
    <w:rsid w:val="006D461A"/>
    <w:rsid w:val="006F35EE"/>
    <w:rsid w:val="007021FF"/>
    <w:rsid w:val="00712895"/>
    <w:rsid w:val="00734ACB"/>
    <w:rsid w:val="007568EE"/>
    <w:rsid w:val="00757357"/>
    <w:rsid w:val="00792497"/>
    <w:rsid w:val="007A6235"/>
    <w:rsid w:val="007C3A1A"/>
    <w:rsid w:val="00806737"/>
    <w:rsid w:val="0081162F"/>
    <w:rsid w:val="00825F8D"/>
    <w:rsid w:val="00834B71"/>
    <w:rsid w:val="00837C9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01D3"/>
    <w:rsid w:val="00A14DA8"/>
    <w:rsid w:val="00A312BC"/>
    <w:rsid w:val="00A84021"/>
    <w:rsid w:val="00A84D35"/>
    <w:rsid w:val="00A917B3"/>
    <w:rsid w:val="00AA0DF0"/>
    <w:rsid w:val="00AA5A07"/>
    <w:rsid w:val="00AB4B51"/>
    <w:rsid w:val="00AD194A"/>
    <w:rsid w:val="00AD23CC"/>
    <w:rsid w:val="00B10CC7"/>
    <w:rsid w:val="00B273ED"/>
    <w:rsid w:val="00B36DF7"/>
    <w:rsid w:val="00B539E7"/>
    <w:rsid w:val="00B62458"/>
    <w:rsid w:val="00B663C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77B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7FA4"/>
    <w:rsid w:val="00FD02F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0D6380"/>
  <w15:docId w15:val="{4C261CA5-32B2-4016-B852-F376A8C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34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lregister.gov/documents/2019/12/19/2019-27209/federal-motor-vehicle-safety-standards-t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22</Pages>
  <Words>6118</Words>
  <Characters>38915</Characters>
  <Application>Microsoft Office Word</Application>
  <DocSecurity>0</DocSecurity>
  <Lines>1080</Lines>
  <Paragraphs>555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ECE/TRANS/WP.29/GRBP/69</vt:lpstr>
      <vt:lpstr>A/</vt:lpstr>
      <vt:lpstr>A/</vt:lpstr>
    </vt:vector>
  </TitlesOfParts>
  <Company>DCM</Company>
  <LinksUpToDate>false</LinksUpToDate>
  <CharactersWithSpaces>44478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ECE/TRANS/WP.29/GRBP/69</dc:title>
  <dc:subject/>
  <dc:creator>Larisa MAYKOVSKAYA</dc:creator>
  <cp:keywords/>
  <cp:lastModifiedBy>Larisa Maykovskaya</cp:lastModifiedBy>
  <cp:revision>3</cp:revision>
  <cp:lastPrinted>2020-03-10T16:28:00Z</cp:lastPrinted>
  <dcterms:created xsi:type="dcterms:W3CDTF">2020-03-10T16:28:00Z</dcterms:created>
  <dcterms:modified xsi:type="dcterms:W3CDTF">2020-03-10T16:29:00Z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