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C9C7E51" w14:textId="77777777" w:rsidTr="00C97039">
        <w:trPr>
          <w:trHeight w:hRule="exact" w:val="851"/>
        </w:trPr>
        <w:tc>
          <w:tcPr>
            <w:tcW w:w="1276" w:type="dxa"/>
            <w:tcBorders>
              <w:bottom w:val="single" w:sz="4" w:space="0" w:color="auto"/>
            </w:tcBorders>
          </w:tcPr>
          <w:p w14:paraId="7E70EF65" w14:textId="77777777" w:rsidR="00F35BAF" w:rsidRPr="00DB58B5" w:rsidRDefault="00F35BAF" w:rsidP="004B7A48"/>
        </w:tc>
        <w:tc>
          <w:tcPr>
            <w:tcW w:w="2268" w:type="dxa"/>
            <w:tcBorders>
              <w:bottom w:val="single" w:sz="4" w:space="0" w:color="auto"/>
            </w:tcBorders>
            <w:vAlign w:val="bottom"/>
          </w:tcPr>
          <w:p w14:paraId="4D9CE2D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B804CA" w14:textId="77777777" w:rsidR="00F35BAF" w:rsidRPr="00DB58B5" w:rsidRDefault="004B7A48" w:rsidP="004B7A48">
            <w:pPr>
              <w:jc w:val="right"/>
            </w:pPr>
            <w:r w:rsidRPr="004B7A48">
              <w:rPr>
                <w:sz w:val="40"/>
              </w:rPr>
              <w:t>ECE</w:t>
            </w:r>
            <w:r>
              <w:t>/TRANS/WP.29/GRBP/2020/10</w:t>
            </w:r>
          </w:p>
        </w:tc>
      </w:tr>
      <w:tr w:rsidR="00F35BAF" w:rsidRPr="00DB58B5" w14:paraId="43A16289" w14:textId="77777777" w:rsidTr="00C97039">
        <w:trPr>
          <w:trHeight w:hRule="exact" w:val="2835"/>
        </w:trPr>
        <w:tc>
          <w:tcPr>
            <w:tcW w:w="1276" w:type="dxa"/>
            <w:tcBorders>
              <w:top w:val="single" w:sz="4" w:space="0" w:color="auto"/>
              <w:bottom w:val="single" w:sz="12" w:space="0" w:color="auto"/>
            </w:tcBorders>
          </w:tcPr>
          <w:p w14:paraId="0AA6C777" w14:textId="77777777" w:rsidR="00F35BAF" w:rsidRPr="00DB58B5" w:rsidRDefault="00F35BAF" w:rsidP="00C97039">
            <w:pPr>
              <w:spacing w:before="120"/>
              <w:jc w:val="center"/>
            </w:pPr>
            <w:r>
              <w:rPr>
                <w:noProof/>
                <w:lang w:eastAsia="fr-CH"/>
              </w:rPr>
              <w:drawing>
                <wp:inline distT="0" distB="0" distL="0" distR="0" wp14:anchorId="1B4B0F51" wp14:editId="299765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3ED22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4103B24" w14:textId="77777777" w:rsidR="00F35BAF" w:rsidRDefault="004B7A48" w:rsidP="00C97039">
            <w:pPr>
              <w:spacing w:before="240"/>
            </w:pPr>
            <w:r>
              <w:t>Distr. générale</w:t>
            </w:r>
          </w:p>
          <w:p w14:paraId="2DB9B749" w14:textId="77777777" w:rsidR="004B7A48" w:rsidRDefault="004B7A48" w:rsidP="004B7A48">
            <w:pPr>
              <w:spacing w:line="240" w:lineRule="exact"/>
            </w:pPr>
            <w:r>
              <w:t>18 juin 2020</w:t>
            </w:r>
          </w:p>
          <w:p w14:paraId="48B931E1" w14:textId="77777777" w:rsidR="004B7A48" w:rsidRDefault="004B7A48" w:rsidP="004B7A48">
            <w:pPr>
              <w:spacing w:line="240" w:lineRule="exact"/>
            </w:pPr>
            <w:r>
              <w:t>Français</w:t>
            </w:r>
          </w:p>
          <w:p w14:paraId="03BB4DB9" w14:textId="77777777" w:rsidR="004B7A48" w:rsidRPr="00DB58B5" w:rsidRDefault="004B7A48" w:rsidP="004B7A48">
            <w:pPr>
              <w:spacing w:line="240" w:lineRule="exact"/>
            </w:pPr>
            <w:r>
              <w:t>Original : anglais</w:t>
            </w:r>
          </w:p>
        </w:tc>
      </w:tr>
    </w:tbl>
    <w:p w14:paraId="214E01AE" w14:textId="77777777" w:rsidR="007F20FA" w:rsidRPr="000312C0" w:rsidRDefault="007F20FA" w:rsidP="007F20FA">
      <w:pPr>
        <w:spacing w:before="120"/>
        <w:rPr>
          <w:b/>
          <w:sz w:val="28"/>
          <w:szCs w:val="28"/>
        </w:rPr>
      </w:pPr>
      <w:r w:rsidRPr="000312C0">
        <w:rPr>
          <w:b/>
          <w:sz w:val="28"/>
          <w:szCs w:val="28"/>
        </w:rPr>
        <w:t>Commission économique pour l</w:t>
      </w:r>
      <w:r w:rsidR="004B7A48">
        <w:rPr>
          <w:b/>
          <w:sz w:val="28"/>
          <w:szCs w:val="28"/>
        </w:rPr>
        <w:t>’</w:t>
      </w:r>
      <w:r w:rsidRPr="000312C0">
        <w:rPr>
          <w:b/>
          <w:sz w:val="28"/>
          <w:szCs w:val="28"/>
        </w:rPr>
        <w:t>Europe</w:t>
      </w:r>
    </w:p>
    <w:p w14:paraId="48A336DE" w14:textId="77777777" w:rsidR="007F20FA" w:rsidRDefault="007F20FA" w:rsidP="007F20FA">
      <w:pPr>
        <w:spacing w:before="120"/>
        <w:rPr>
          <w:sz w:val="28"/>
          <w:szCs w:val="28"/>
        </w:rPr>
      </w:pPr>
      <w:r w:rsidRPr="00685843">
        <w:rPr>
          <w:sz w:val="28"/>
          <w:szCs w:val="28"/>
        </w:rPr>
        <w:t>Comité des transports intérieurs</w:t>
      </w:r>
    </w:p>
    <w:p w14:paraId="387CC781" w14:textId="77777777" w:rsidR="004B7A48" w:rsidRDefault="004B7A48"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5FE6613" w14:textId="77777777" w:rsidR="004B7A48" w:rsidRDefault="004B7A48" w:rsidP="002B41FD">
      <w:pPr>
        <w:spacing w:before="120" w:line="240" w:lineRule="exact"/>
        <w:rPr>
          <w:b/>
        </w:rPr>
      </w:pPr>
      <w:r>
        <w:rPr>
          <w:b/>
        </w:rPr>
        <w:t xml:space="preserve">Groupe de travail du bruit </w:t>
      </w:r>
      <w:r>
        <w:rPr>
          <w:b/>
          <w:bCs/>
          <w:lang w:val="fr-FR"/>
        </w:rPr>
        <w:t>et des pneumatiques</w:t>
      </w:r>
    </w:p>
    <w:p w14:paraId="2B9EA1F3" w14:textId="77777777" w:rsidR="004B7A48" w:rsidRPr="005D3FD3" w:rsidRDefault="004B7A48" w:rsidP="004B7A48">
      <w:pPr>
        <w:rPr>
          <w:b/>
          <w:lang w:val="fr-FR"/>
        </w:rPr>
      </w:pPr>
      <w:r>
        <w:rPr>
          <w:b/>
          <w:bCs/>
          <w:lang w:val="fr-FR"/>
        </w:rPr>
        <w:t>Soixante-douzième session</w:t>
      </w:r>
      <w:r>
        <w:rPr>
          <w:lang w:val="fr-FR"/>
        </w:rPr>
        <w:t xml:space="preserve"> </w:t>
      </w:r>
    </w:p>
    <w:p w14:paraId="7FB79FD8" w14:textId="77777777" w:rsidR="004B7A48" w:rsidRPr="005D3FD3" w:rsidRDefault="004B7A48" w:rsidP="004B7A48">
      <w:pPr>
        <w:rPr>
          <w:bCs/>
          <w:lang w:val="fr-FR"/>
        </w:rPr>
      </w:pPr>
      <w:r>
        <w:rPr>
          <w:lang w:val="fr-FR"/>
        </w:rPr>
        <w:t>Genève, 7-9 septembre 2020</w:t>
      </w:r>
    </w:p>
    <w:p w14:paraId="427C26FE" w14:textId="77777777" w:rsidR="004B7A48" w:rsidRPr="005D3FD3" w:rsidRDefault="004B7A48" w:rsidP="004B7A48">
      <w:pPr>
        <w:rPr>
          <w:bCs/>
          <w:lang w:val="fr-FR"/>
        </w:rPr>
      </w:pPr>
      <w:r>
        <w:rPr>
          <w:lang w:val="fr-FR"/>
        </w:rPr>
        <w:t>Point 3 de l’ordre du jour provisoire</w:t>
      </w:r>
    </w:p>
    <w:p w14:paraId="2FF0AC20" w14:textId="77777777" w:rsidR="004B7A48" w:rsidRDefault="004B7A48" w:rsidP="004B7A48">
      <w:pPr>
        <w:spacing w:line="240" w:lineRule="exact"/>
      </w:pPr>
      <w:r>
        <w:rPr>
          <w:b/>
          <w:bCs/>
          <w:lang w:val="fr-FR"/>
        </w:rPr>
        <w:t>Règlement ONU n</w:t>
      </w:r>
      <w:r w:rsidRPr="00211D01">
        <w:rPr>
          <w:b/>
          <w:bCs/>
          <w:vertAlign w:val="superscript"/>
          <w:lang w:val="fr-FR"/>
        </w:rPr>
        <w:t>o</w:t>
      </w:r>
      <w:r>
        <w:rPr>
          <w:b/>
          <w:bCs/>
          <w:lang w:val="fr-FR"/>
        </w:rPr>
        <w:t xml:space="preserve"> 51 (Bruit des véhicules des catégories M et N)</w:t>
      </w:r>
    </w:p>
    <w:p w14:paraId="3F0816E6" w14:textId="77777777" w:rsidR="004B7A48" w:rsidRPr="005D3FD3" w:rsidRDefault="004B7A48" w:rsidP="004B7A48">
      <w:pPr>
        <w:pStyle w:val="HChG"/>
        <w:rPr>
          <w:rFonts w:eastAsia="Times New Roman"/>
          <w:lang w:val="fr-FR"/>
        </w:rPr>
      </w:pPr>
      <w:r>
        <w:rPr>
          <w:lang w:val="fr-FR"/>
        </w:rPr>
        <w:tab/>
      </w:r>
      <w:r>
        <w:rPr>
          <w:lang w:val="fr-FR"/>
        </w:rPr>
        <w:tab/>
        <w:t xml:space="preserve">Proposition de mandat révisé pour le groupe de travail informel des prescriptions supplémentaires </w:t>
      </w:r>
      <w:r>
        <w:rPr>
          <w:lang w:val="fr-FR"/>
        </w:rPr>
        <w:br/>
        <w:t xml:space="preserve">concernant les émissions sonores </w:t>
      </w:r>
    </w:p>
    <w:p w14:paraId="34635623" w14:textId="77777777" w:rsidR="004B7A48" w:rsidRPr="005D3FD3" w:rsidRDefault="004B7A48" w:rsidP="004B7A48">
      <w:pPr>
        <w:pStyle w:val="H1G"/>
        <w:rPr>
          <w:lang w:val="fr-FR"/>
        </w:rPr>
      </w:pPr>
      <w:r>
        <w:rPr>
          <w:lang w:val="fr-FR"/>
        </w:rPr>
        <w:tab/>
      </w:r>
      <w:r>
        <w:rPr>
          <w:lang w:val="fr-FR"/>
        </w:rPr>
        <w:tab/>
        <w:t>Communication du groupe de travail informel des prescriptions supplémentaires concernant les émissions sonores</w:t>
      </w:r>
      <w:r w:rsidRPr="004B7A48">
        <w:rPr>
          <w:rStyle w:val="Appelnotedebasdep"/>
          <w:b w:val="0"/>
          <w:bCs/>
          <w:sz w:val="20"/>
          <w:vertAlign w:val="baseline"/>
          <w:lang w:val="fr-FR"/>
        </w:rPr>
        <w:footnoteReference w:customMarkFollows="1" w:id="2"/>
        <w:t>*</w:t>
      </w:r>
    </w:p>
    <w:p w14:paraId="61EC5BB9" w14:textId="77777777" w:rsidR="004B7A48" w:rsidRPr="005D3FD3" w:rsidRDefault="004B7A48" w:rsidP="004B7A48">
      <w:pPr>
        <w:pStyle w:val="SingleTxtG"/>
        <w:rPr>
          <w:lang w:val="fr-FR"/>
        </w:rPr>
      </w:pPr>
      <w:r>
        <w:rPr>
          <w:lang w:val="fr-FR"/>
        </w:rPr>
        <w:tab/>
        <w:t>Le texte ci-après a été établi par les experts du groupe de travail informel des prescriptions supplémentaires concernant les émissions sonores ( groupe de travail informel ASEP) afin d’actualiser le mandat de ce groupe, compte tenu des propositions que le groupe a formulées et qui ont déjà été approuvées, des progrès réalisés et des répercussions de la pandémie de COVID-19. Il est fondé sur l’annexe III du document ECE/TRANS/WP.29/GRB/66. Les modifications qu’il est proposé d’apporter au texte en question figurent en caractères gras pour les ajouts et biffés pour les suppressions.</w:t>
      </w:r>
    </w:p>
    <w:p w14:paraId="4387AE56" w14:textId="77777777" w:rsidR="004B7A48" w:rsidRPr="005D3FD3" w:rsidRDefault="004B7A48" w:rsidP="004B7A48">
      <w:pPr>
        <w:pStyle w:val="HChG"/>
        <w:rPr>
          <w:lang w:val="fr-FR"/>
        </w:rPr>
      </w:pPr>
      <w:r w:rsidRPr="005D3FD3">
        <w:rPr>
          <w:lang w:val="fr-FR"/>
        </w:rPr>
        <w:br w:type="page"/>
      </w:r>
      <w:r>
        <w:rPr>
          <w:lang w:val="fr-FR"/>
        </w:rPr>
        <w:lastRenderedPageBreak/>
        <w:tab/>
        <w:t>I.</w:t>
      </w:r>
      <w:r>
        <w:rPr>
          <w:lang w:val="fr-FR"/>
        </w:rPr>
        <w:tab/>
        <w:t>Proposition</w:t>
      </w:r>
    </w:p>
    <w:p w14:paraId="4737E2D2" w14:textId="77777777" w:rsidR="004B7A48" w:rsidRPr="005D3FD3" w:rsidRDefault="004B7A48" w:rsidP="004B7A48">
      <w:pPr>
        <w:pStyle w:val="H1G"/>
        <w:rPr>
          <w:lang w:val="fr-FR"/>
        </w:rPr>
      </w:pPr>
      <w:r>
        <w:rPr>
          <w:lang w:val="fr-FR"/>
        </w:rPr>
        <w:tab/>
        <w:t>A.</w:t>
      </w:r>
      <w:r>
        <w:rPr>
          <w:lang w:val="fr-FR"/>
        </w:rPr>
        <w:tab/>
        <w:t>Introduction</w:t>
      </w:r>
    </w:p>
    <w:p w14:paraId="46057A5D" w14:textId="77777777" w:rsidR="004B7A48" w:rsidRPr="005D3FD3" w:rsidRDefault="004B7A48" w:rsidP="004B7A48">
      <w:pPr>
        <w:pStyle w:val="SingleTxtG"/>
        <w:ind w:right="1042"/>
        <w:rPr>
          <w:lang w:val="fr-FR"/>
        </w:rPr>
      </w:pPr>
      <w:r>
        <w:rPr>
          <w:lang w:val="fr-FR"/>
        </w:rPr>
        <w:t>1.</w:t>
      </w:r>
      <w:r>
        <w:rPr>
          <w:lang w:val="fr-FR"/>
        </w:rPr>
        <w:tab/>
        <w:t>À la réunion du groupe de travail informel des travaux futurs du GRB</w:t>
      </w:r>
      <w:r>
        <w:rPr>
          <w:b/>
          <w:bCs/>
          <w:lang w:val="fr-FR"/>
        </w:rPr>
        <w:t>P</w:t>
      </w:r>
      <w:r>
        <w:rPr>
          <w:lang w:val="fr-FR"/>
        </w:rPr>
        <w:t xml:space="preserve"> et aux soixante-deuxième, soixante-troisième et soixante-quatrième sessions du GRB</w:t>
      </w:r>
      <w:r>
        <w:rPr>
          <w:b/>
          <w:bCs/>
          <w:lang w:val="fr-FR"/>
        </w:rPr>
        <w:t>P</w:t>
      </w:r>
      <w:r>
        <w:rPr>
          <w:lang w:val="fr-FR"/>
        </w:rPr>
        <w:t xml:space="preserve">, plusieurs remarques ont été formulées au sujet des prescriptions supplémentaires concernant les émissions sonores (PSES) : </w:t>
      </w:r>
    </w:p>
    <w:p w14:paraId="5B342716" w14:textId="77777777" w:rsidR="004B7A48" w:rsidRPr="005D3FD3" w:rsidRDefault="004B7A48" w:rsidP="004B7A48">
      <w:pPr>
        <w:pStyle w:val="Bullet1G"/>
        <w:rPr>
          <w:strike/>
          <w:lang w:val="fr-FR"/>
        </w:rPr>
      </w:pPr>
      <w:r>
        <w:rPr>
          <w:strike/>
          <w:lang w:val="fr-FR"/>
        </w:rPr>
        <w:t>Une mise à jour et une simplification du texte permettrait d’améliorer sa clarté à court terme ;</w:t>
      </w:r>
    </w:p>
    <w:p w14:paraId="7ACC6702" w14:textId="77777777" w:rsidR="004B7A48" w:rsidRPr="005D3FD3" w:rsidRDefault="004B7A48" w:rsidP="004B7A48">
      <w:pPr>
        <w:pStyle w:val="Bullet1G"/>
        <w:rPr>
          <w:strike/>
          <w:lang w:val="fr-FR"/>
        </w:rPr>
      </w:pPr>
      <w:r>
        <w:rPr>
          <w:strike/>
          <w:lang w:val="fr-FR"/>
        </w:rPr>
        <w:t>Le paragraphe 5.3 de l’annexe 7 n’indique pas de valeurs limites pour les véhicules N</w:t>
      </w:r>
      <w:r>
        <w:rPr>
          <w:strike/>
          <w:vertAlign w:val="subscript"/>
          <w:lang w:val="fr-FR"/>
        </w:rPr>
        <w:t>1</w:t>
      </w:r>
      <w:r>
        <w:rPr>
          <w:strike/>
          <w:lang w:val="fr-FR"/>
        </w:rPr>
        <w:t xml:space="preserve"> ni pour les véhicules non routiers ;</w:t>
      </w:r>
      <w:r>
        <w:rPr>
          <w:lang w:val="fr-FR"/>
        </w:rPr>
        <w:t xml:space="preserve">  </w:t>
      </w:r>
    </w:p>
    <w:p w14:paraId="0E98A6C6" w14:textId="77777777" w:rsidR="004B7A48" w:rsidRPr="005D3FD3" w:rsidRDefault="004B7A48" w:rsidP="004B7A48">
      <w:pPr>
        <w:pStyle w:val="Bullet1G"/>
        <w:rPr>
          <w:lang w:val="fr-FR"/>
        </w:rPr>
      </w:pPr>
      <w:r>
        <w:rPr>
          <w:lang w:val="fr-FR"/>
        </w:rPr>
        <w:t>De nouvelles méthodes d’essai devraient être mises au point dans le Règlement ONU n</w:t>
      </w:r>
      <w:r>
        <w:rPr>
          <w:vertAlign w:val="superscript"/>
          <w:lang w:val="fr-FR"/>
        </w:rPr>
        <w:t>o</w:t>
      </w:r>
      <w:r>
        <w:rPr>
          <w:lang w:val="fr-FR"/>
        </w:rPr>
        <w:t xml:space="preserve"> 51 pour les véhicules électriques hybrides de série qui </w:t>
      </w:r>
      <w:r>
        <w:rPr>
          <w:strike/>
          <w:lang w:val="fr-FR"/>
        </w:rPr>
        <w:t xml:space="preserve">sont </w:t>
      </w:r>
      <w:r>
        <w:rPr>
          <w:b/>
          <w:bCs/>
          <w:lang w:val="fr-FR"/>
        </w:rPr>
        <w:t xml:space="preserve">étaient </w:t>
      </w:r>
      <w:r>
        <w:rPr>
          <w:lang w:val="fr-FR"/>
        </w:rPr>
        <w:t xml:space="preserve">exclus des </w:t>
      </w:r>
      <w:r>
        <w:rPr>
          <w:strike/>
          <w:lang w:val="fr-FR"/>
        </w:rPr>
        <w:t xml:space="preserve">dispositions </w:t>
      </w:r>
      <w:r>
        <w:rPr>
          <w:lang w:val="fr-FR"/>
        </w:rPr>
        <w:t>PSES jusqu’au 30 juin 2019 ;</w:t>
      </w:r>
    </w:p>
    <w:p w14:paraId="1142B4E7" w14:textId="77777777" w:rsidR="004B7A48" w:rsidRPr="005D3FD3" w:rsidRDefault="004B7A48" w:rsidP="004B7A48">
      <w:pPr>
        <w:pStyle w:val="Bullet1G"/>
        <w:rPr>
          <w:lang w:val="fr-FR"/>
        </w:rPr>
      </w:pPr>
      <w:r>
        <w:rPr>
          <w:lang w:val="fr-FR"/>
        </w:rPr>
        <w:t xml:space="preserve">Les </w:t>
      </w:r>
      <w:r>
        <w:rPr>
          <w:strike/>
          <w:lang w:val="fr-FR"/>
        </w:rPr>
        <w:t xml:space="preserve">dispositions </w:t>
      </w:r>
      <w:r>
        <w:rPr>
          <w:lang w:val="fr-FR"/>
        </w:rPr>
        <w:t xml:space="preserve">PSES devraient être intégrées dans l’homologation de type (elles ne doivent pas être considérées comme une déclaration du constructeur) ; </w:t>
      </w:r>
    </w:p>
    <w:p w14:paraId="4722B385" w14:textId="77777777" w:rsidR="004B7A48" w:rsidRPr="005D3FD3" w:rsidRDefault="004B7A48" w:rsidP="004B7A48">
      <w:pPr>
        <w:pStyle w:val="Bullet1G"/>
        <w:rPr>
          <w:lang w:val="fr-FR"/>
        </w:rPr>
      </w:pPr>
      <w:r>
        <w:rPr>
          <w:lang w:val="fr-FR"/>
        </w:rPr>
        <w:t xml:space="preserve">Les </w:t>
      </w:r>
      <w:r>
        <w:rPr>
          <w:strike/>
          <w:lang w:val="fr-FR"/>
        </w:rPr>
        <w:t xml:space="preserve">dispositions </w:t>
      </w:r>
      <w:r>
        <w:rPr>
          <w:lang w:val="fr-FR"/>
        </w:rPr>
        <w:t>PSES, en tant qu’outil</w:t>
      </w:r>
      <w:r>
        <w:rPr>
          <w:b/>
          <w:bCs/>
          <w:lang w:val="fr-FR"/>
        </w:rPr>
        <w:t>s</w:t>
      </w:r>
      <w:r>
        <w:rPr>
          <w:lang w:val="fr-FR"/>
        </w:rPr>
        <w:t xml:space="preserve"> indispensable</w:t>
      </w:r>
      <w:r>
        <w:rPr>
          <w:b/>
          <w:bCs/>
          <w:lang w:val="fr-FR"/>
        </w:rPr>
        <w:t>s</w:t>
      </w:r>
      <w:r>
        <w:rPr>
          <w:lang w:val="fr-FR"/>
        </w:rPr>
        <w:t xml:space="preserve"> (annexes 3 et 7, contrôle technique périodique, manipulations, silencieux non d’origine, amélioration des contrôles routiers, etc.)</w:t>
      </w:r>
      <w:r>
        <w:rPr>
          <w:strike/>
          <w:lang w:val="fr-FR"/>
        </w:rPr>
        <w:t>,</w:t>
      </w:r>
      <w:r>
        <w:rPr>
          <w:lang w:val="fr-FR"/>
        </w:rPr>
        <w:t xml:space="preserve"> </w:t>
      </w:r>
      <w:r>
        <w:rPr>
          <w:strike/>
          <w:lang w:val="fr-FR"/>
        </w:rPr>
        <w:t xml:space="preserve">qui sont </w:t>
      </w:r>
      <w:r>
        <w:rPr>
          <w:lang w:val="fr-FR"/>
        </w:rPr>
        <w:t>censé</w:t>
      </w:r>
      <w:r>
        <w:rPr>
          <w:strike/>
          <w:lang w:val="fr-FR"/>
        </w:rPr>
        <w:t>e</w:t>
      </w:r>
      <w:r>
        <w:rPr>
          <w:lang w:val="fr-FR"/>
        </w:rPr>
        <w:t xml:space="preserve">s </w:t>
      </w:r>
      <w:r>
        <w:rPr>
          <w:b/>
          <w:bCs/>
          <w:lang w:val="fr-FR"/>
        </w:rPr>
        <w:t xml:space="preserve">permettre de </w:t>
      </w:r>
      <w:r>
        <w:rPr>
          <w:lang w:val="fr-FR"/>
        </w:rPr>
        <w:t>résoudre certains aspects des émissions sonores réelles, devraient être révisées avant l’adoption de toute réglementation modifiant les limites sonores prescrites dans l’homologation de type ;</w:t>
      </w:r>
    </w:p>
    <w:p w14:paraId="194DD899" w14:textId="77777777" w:rsidR="004B7A48" w:rsidRPr="005D3FD3" w:rsidRDefault="004B7A48" w:rsidP="004B7A48">
      <w:pPr>
        <w:pStyle w:val="Bullet1G"/>
        <w:rPr>
          <w:lang w:val="fr-FR"/>
        </w:rPr>
      </w:pPr>
      <w:r>
        <w:rPr>
          <w:lang w:val="fr-FR"/>
        </w:rPr>
        <w:t xml:space="preserve">Un examen technique plus général devrait être effectué en collaboration avec l’ISO (amélioration des méthodes) ;  </w:t>
      </w:r>
    </w:p>
    <w:p w14:paraId="5A7B32E8" w14:textId="77777777" w:rsidR="004B7A48" w:rsidRPr="005D3FD3" w:rsidRDefault="004B7A48" w:rsidP="004B7A48">
      <w:pPr>
        <w:pStyle w:val="Bullet1G"/>
        <w:rPr>
          <w:strike/>
          <w:lang w:val="fr-FR"/>
        </w:rPr>
      </w:pPr>
      <w:r>
        <w:rPr>
          <w:b/>
          <w:bCs/>
          <w:lang w:val="fr-FR"/>
        </w:rPr>
        <w:t>Le groupe de travail informel ASEP a débuté ses activités en 2016 et son mandat n’a pas pu prendre fin en 2020 en raison de la pandémie de COVID</w:t>
      </w:r>
      <w:r>
        <w:rPr>
          <w:b/>
          <w:bCs/>
          <w:lang w:val="fr-FR"/>
        </w:rPr>
        <w:noBreakHyphen/>
        <w:t>19 ;</w:t>
      </w:r>
      <w:r>
        <w:rPr>
          <w:lang w:val="fr-FR"/>
        </w:rPr>
        <w:t xml:space="preserve"> </w:t>
      </w:r>
      <w:r>
        <w:rPr>
          <w:b/>
          <w:bCs/>
          <w:lang w:val="fr-FR"/>
        </w:rPr>
        <w:t xml:space="preserve">les travaux du groupe sont donc prolongés jusqu’en 2021 </w:t>
      </w:r>
      <w:r>
        <w:rPr>
          <w:strike/>
          <w:lang w:val="fr-FR"/>
        </w:rPr>
        <w:t>L’idée de la création d’un groupe de travail informel PSES remonte à 2016 </w:t>
      </w:r>
      <w:r>
        <w:rPr>
          <w:lang w:val="fr-FR"/>
        </w:rPr>
        <w:t xml:space="preserve">; </w:t>
      </w:r>
    </w:p>
    <w:p w14:paraId="435CD981" w14:textId="77777777" w:rsidR="004B7A48" w:rsidRPr="005D3FD3" w:rsidRDefault="004B7A48" w:rsidP="00D24313">
      <w:pPr>
        <w:pStyle w:val="SingleTxtG"/>
        <w:rPr>
          <w:lang w:val="fr-FR"/>
        </w:rPr>
      </w:pPr>
      <w:r>
        <w:rPr>
          <w:lang w:val="fr-FR"/>
        </w:rPr>
        <w:t>2.</w:t>
      </w:r>
      <w:r>
        <w:rPr>
          <w:lang w:val="fr-FR"/>
        </w:rPr>
        <w:tab/>
        <w:t>La présente proposition vise à définir le mandat d’un nouveau groupe de travail informel ASEP (pour les Règlements ONU n</w:t>
      </w:r>
      <w:r>
        <w:rPr>
          <w:vertAlign w:val="superscript"/>
          <w:lang w:val="fr-FR"/>
        </w:rPr>
        <w:t>os</w:t>
      </w:r>
      <w:r>
        <w:rPr>
          <w:lang w:val="fr-FR"/>
        </w:rPr>
        <w:t xml:space="preserve"> 41 et 51 relevant de l’Accord de 1958).</w:t>
      </w:r>
    </w:p>
    <w:p w14:paraId="5C1100EE" w14:textId="77777777" w:rsidR="004B7A48" w:rsidRPr="005D3FD3" w:rsidRDefault="004B7A48" w:rsidP="004B7A48">
      <w:pPr>
        <w:pStyle w:val="SingleTxtG"/>
        <w:ind w:right="1042"/>
        <w:rPr>
          <w:lang w:val="fr-FR"/>
        </w:rPr>
      </w:pPr>
      <w:r>
        <w:rPr>
          <w:lang w:val="fr-FR"/>
        </w:rPr>
        <w:t>3.</w:t>
      </w:r>
      <w:r>
        <w:rPr>
          <w:lang w:val="fr-FR"/>
        </w:rPr>
        <w:tab/>
        <w:t xml:space="preserve">Le groupe de travail informel est censé proposer des </w:t>
      </w:r>
      <w:r>
        <w:rPr>
          <w:strike/>
          <w:lang w:val="fr-FR"/>
        </w:rPr>
        <w:t xml:space="preserve">modifications </w:t>
      </w:r>
      <w:r>
        <w:rPr>
          <w:b/>
          <w:bCs/>
          <w:lang w:val="fr-FR"/>
        </w:rPr>
        <w:t xml:space="preserve">améliorations </w:t>
      </w:r>
      <w:r>
        <w:rPr>
          <w:lang w:val="fr-FR"/>
        </w:rPr>
        <w:t xml:space="preserve">à </w:t>
      </w:r>
      <w:r>
        <w:rPr>
          <w:b/>
          <w:bCs/>
          <w:lang w:val="fr-FR"/>
        </w:rPr>
        <w:t xml:space="preserve">apporter à </w:t>
      </w:r>
      <w:r>
        <w:rPr>
          <w:lang w:val="fr-FR"/>
        </w:rPr>
        <w:t xml:space="preserve">ces deux Règlements.  </w:t>
      </w:r>
    </w:p>
    <w:p w14:paraId="135D86DA" w14:textId="77777777" w:rsidR="004B7A48" w:rsidRPr="005D3FD3" w:rsidRDefault="00D24313" w:rsidP="00D24313">
      <w:pPr>
        <w:pStyle w:val="H1G"/>
        <w:rPr>
          <w:lang w:val="fr-FR"/>
        </w:rPr>
      </w:pPr>
      <w:r>
        <w:rPr>
          <w:lang w:val="fr-FR"/>
        </w:rPr>
        <w:tab/>
      </w:r>
      <w:r w:rsidR="004B7A48">
        <w:rPr>
          <w:lang w:val="fr-FR"/>
        </w:rPr>
        <w:t>B.</w:t>
      </w:r>
      <w:r w:rsidR="004B7A48">
        <w:rPr>
          <w:lang w:val="fr-FR"/>
        </w:rPr>
        <w:tab/>
        <w:t>Objectifs du groupe de travail informel ASEP</w:t>
      </w:r>
    </w:p>
    <w:p w14:paraId="060B0B40" w14:textId="77777777" w:rsidR="004B7A48" w:rsidRPr="005D3FD3" w:rsidRDefault="004B7A48" w:rsidP="004B7A48">
      <w:pPr>
        <w:pStyle w:val="SingleTxtG"/>
        <w:ind w:right="1042"/>
        <w:rPr>
          <w:lang w:val="fr-FR"/>
        </w:rPr>
      </w:pPr>
      <w:r>
        <w:rPr>
          <w:lang w:val="fr-FR"/>
        </w:rPr>
        <w:t>4.</w:t>
      </w:r>
      <w:r>
        <w:rPr>
          <w:lang w:val="fr-FR"/>
        </w:rPr>
        <w:tab/>
        <w:t>Le mandat et les objectifs de ce groupe sont définis dans le document informel GRB</w:t>
      </w:r>
      <w:r w:rsidR="00D24313">
        <w:rPr>
          <w:lang w:val="fr-FR"/>
        </w:rPr>
        <w:noBreakHyphen/>
      </w:r>
      <w:r>
        <w:rPr>
          <w:lang w:val="fr-FR"/>
        </w:rPr>
        <w:t xml:space="preserve">64-16. </w:t>
      </w:r>
    </w:p>
    <w:p w14:paraId="70BB569C" w14:textId="77777777" w:rsidR="004B7A48" w:rsidRPr="005D3FD3" w:rsidRDefault="004B7A48" w:rsidP="004B7A48">
      <w:pPr>
        <w:pStyle w:val="SingleTxtG"/>
        <w:ind w:right="1042"/>
        <w:rPr>
          <w:lang w:val="fr-FR"/>
        </w:rPr>
      </w:pPr>
      <w:r>
        <w:rPr>
          <w:lang w:val="fr-FR"/>
        </w:rPr>
        <w:t>5.</w:t>
      </w:r>
      <w:r>
        <w:rPr>
          <w:lang w:val="fr-FR"/>
        </w:rPr>
        <w:tab/>
        <w:t xml:space="preserve">Dans un premier temps, </w:t>
      </w:r>
      <w:r w:rsidRPr="004E2D6B">
        <w:rPr>
          <w:strike/>
          <w:lang w:val="fr-FR"/>
        </w:rPr>
        <w:t>il</w:t>
      </w:r>
      <w:r w:rsidRPr="00D24313">
        <w:rPr>
          <w:strike/>
          <w:lang w:val="fr-FR"/>
        </w:rPr>
        <w:t xml:space="preserve"> </w:t>
      </w:r>
      <w:r w:rsidRPr="004E2D6B">
        <w:rPr>
          <w:b/>
          <w:bCs/>
          <w:lang w:val="fr-FR"/>
        </w:rPr>
        <w:t>ce mandat</w:t>
      </w:r>
      <w:r>
        <w:rPr>
          <w:lang w:val="fr-FR"/>
        </w:rPr>
        <w:t xml:space="preserve"> doit se limiter aux véhicules des catégories M</w:t>
      </w:r>
      <w:r>
        <w:rPr>
          <w:vertAlign w:val="subscript"/>
          <w:lang w:val="fr-FR"/>
        </w:rPr>
        <w:t>1</w:t>
      </w:r>
      <w:r>
        <w:rPr>
          <w:lang w:val="fr-FR"/>
        </w:rPr>
        <w:t>, N</w:t>
      </w:r>
      <w:r>
        <w:rPr>
          <w:vertAlign w:val="subscript"/>
          <w:lang w:val="fr-FR"/>
        </w:rPr>
        <w:t>1</w:t>
      </w:r>
      <w:r>
        <w:rPr>
          <w:lang w:val="fr-FR"/>
        </w:rPr>
        <w:t xml:space="preserve"> et L</w:t>
      </w:r>
      <w:r>
        <w:rPr>
          <w:vertAlign w:val="subscript"/>
          <w:lang w:val="fr-FR"/>
        </w:rPr>
        <w:t>3</w:t>
      </w:r>
      <w:r>
        <w:rPr>
          <w:lang w:val="fr-FR"/>
        </w:rPr>
        <w:t>.</w:t>
      </w:r>
    </w:p>
    <w:p w14:paraId="5DF69FFF" w14:textId="77777777" w:rsidR="004B7A48" w:rsidRPr="005D3FD3" w:rsidRDefault="004B7A48" w:rsidP="004B7A48">
      <w:pPr>
        <w:pStyle w:val="SingleTxtG"/>
        <w:ind w:right="1042"/>
        <w:rPr>
          <w:lang w:val="fr-FR"/>
        </w:rPr>
      </w:pPr>
      <w:r>
        <w:rPr>
          <w:lang w:val="fr-FR"/>
        </w:rPr>
        <w:t>6.</w:t>
      </w:r>
      <w:r>
        <w:rPr>
          <w:lang w:val="fr-FR"/>
        </w:rPr>
        <w:tab/>
      </w:r>
      <w:r>
        <w:rPr>
          <w:strike/>
          <w:lang w:val="fr-FR"/>
        </w:rPr>
        <w:t>En premier lieu, le groupe de travail informel devra</w:t>
      </w:r>
      <w:r w:rsidR="00D24313">
        <w:rPr>
          <w:strike/>
          <w:lang w:val="fr-FR"/>
        </w:rPr>
        <w:t> </w:t>
      </w:r>
      <w:r>
        <w:rPr>
          <w:strike/>
          <w:lang w:val="fr-FR"/>
        </w:rPr>
        <w:t>:</w:t>
      </w:r>
      <w:r>
        <w:rPr>
          <w:lang w:val="fr-FR"/>
        </w:rPr>
        <w:t xml:space="preserve"> </w:t>
      </w:r>
      <w:r>
        <w:rPr>
          <w:b/>
          <w:bCs/>
          <w:lang w:val="fr-FR"/>
        </w:rPr>
        <w:t xml:space="preserve">Au titre des principaux objectifs du </w:t>
      </w:r>
      <w:r w:rsidRPr="002812DF">
        <w:rPr>
          <w:b/>
          <w:bCs/>
          <w:lang w:val="fr-FR"/>
        </w:rPr>
        <w:t>groupe de travail informel</w:t>
      </w:r>
      <w:r>
        <w:rPr>
          <w:b/>
          <w:bCs/>
          <w:lang w:val="fr-FR"/>
        </w:rPr>
        <w:t> :</w:t>
      </w:r>
    </w:p>
    <w:p w14:paraId="5964E741" w14:textId="77777777" w:rsidR="004B7A48" w:rsidRPr="005D3FD3" w:rsidRDefault="004B7A48" w:rsidP="004B7A48">
      <w:pPr>
        <w:pStyle w:val="SingleTxtG"/>
        <w:ind w:left="1494" w:right="1042" w:hanging="360"/>
        <w:rPr>
          <w:i/>
          <w:strike/>
          <w:lang w:val="fr-FR"/>
        </w:rPr>
      </w:pPr>
      <w:r>
        <w:rPr>
          <w:i/>
          <w:iCs/>
          <w:strike/>
          <w:lang w:val="fr-FR"/>
        </w:rPr>
        <w:t>À court terme (pour les sessions du GRB de septembre 2018 à septembre 2019)</w:t>
      </w:r>
    </w:p>
    <w:p w14:paraId="0F089EDA" w14:textId="77777777" w:rsidR="004B7A48" w:rsidRPr="005D3FD3" w:rsidRDefault="004B7A48" w:rsidP="004B7A48">
      <w:pPr>
        <w:pStyle w:val="SingleTxtG"/>
        <w:ind w:left="1701" w:right="1042" w:hanging="567"/>
        <w:rPr>
          <w:b/>
          <w:bCs/>
          <w:i/>
          <w:lang w:val="fr-FR"/>
        </w:rPr>
      </w:pPr>
      <w:r>
        <w:rPr>
          <w:b/>
          <w:bCs/>
          <w:i/>
          <w:iCs/>
          <w:lang w:val="fr-FR"/>
        </w:rPr>
        <w:t>Celui-ci a déjà réalisé les travaux suivants :</w:t>
      </w:r>
    </w:p>
    <w:p w14:paraId="58C2DCCC" w14:textId="77777777" w:rsidR="004B7A48" w:rsidRPr="005D3FD3" w:rsidRDefault="004B7A48" w:rsidP="004B7A48">
      <w:pPr>
        <w:pStyle w:val="Bullet1G"/>
        <w:rPr>
          <w:lang w:val="fr-FR"/>
        </w:rPr>
      </w:pPr>
      <w:r>
        <w:rPr>
          <w:strike/>
          <w:lang w:val="fr-FR"/>
        </w:rPr>
        <w:t xml:space="preserve">Interpréter le </w:t>
      </w:r>
      <w:r>
        <w:rPr>
          <w:b/>
          <w:bCs/>
          <w:lang w:val="fr-FR"/>
        </w:rPr>
        <w:t xml:space="preserve">Interprétation du </w:t>
      </w:r>
      <w:r>
        <w:rPr>
          <w:lang w:val="fr-FR"/>
        </w:rPr>
        <w:t>paragraphe 6.2.3 de la série 03 d’amendements au Règlement ONU n</w:t>
      </w:r>
      <w:r>
        <w:rPr>
          <w:vertAlign w:val="superscript"/>
          <w:lang w:val="fr-FR"/>
        </w:rPr>
        <w:t>o</w:t>
      </w:r>
      <w:r>
        <w:rPr>
          <w:lang w:val="fr-FR"/>
        </w:rPr>
        <w:t xml:space="preserve"> 51</w:t>
      </w:r>
      <w:r w:rsidR="00D24313">
        <w:rPr>
          <w:lang w:val="fr-FR"/>
        </w:rPr>
        <w:t> </w:t>
      </w:r>
      <w:r>
        <w:rPr>
          <w:lang w:val="fr-FR"/>
        </w:rPr>
        <w:t>;</w:t>
      </w:r>
    </w:p>
    <w:p w14:paraId="469D6283" w14:textId="77777777" w:rsidR="004B7A48" w:rsidRPr="005D3FD3" w:rsidRDefault="004B7A48" w:rsidP="004B7A48">
      <w:pPr>
        <w:pStyle w:val="Bullet1G"/>
        <w:rPr>
          <w:b/>
          <w:bCs/>
          <w:lang w:val="fr-FR"/>
        </w:rPr>
      </w:pPr>
      <w:r>
        <w:rPr>
          <w:b/>
          <w:bCs/>
          <w:lang w:val="fr-FR"/>
        </w:rPr>
        <w:t>Intégration des PSES au titre de l’homologation de type dans le Règlement ONU n</w:t>
      </w:r>
      <w:r>
        <w:rPr>
          <w:b/>
          <w:bCs/>
          <w:vertAlign w:val="superscript"/>
          <w:lang w:val="fr-FR"/>
        </w:rPr>
        <w:t>o</w:t>
      </w:r>
      <w:r>
        <w:rPr>
          <w:b/>
          <w:bCs/>
          <w:lang w:val="fr-FR"/>
        </w:rPr>
        <w:t xml:space="preserve"> 41 ;</w:t>
      </w:r>
    </w:p>
    <w:p w14:paraId="1ED924B7" w14:textId="77777777" w:rsidR="004B7A48" w:rsidRPr="005D3FD3" w:rsidRDefault="004B7A48" w:rsidP="004B7A48">
      <w:pPr>
        <w:pStyle w:val="Bullet1G"/>
        <w:rPr>
          <w:b/>
          <w:bCs/>
          <w:lang w:val="fr-FR"/>
        </w:rPr>
      </w:pPr>
      <w:r>
        <w:rPr>
          <w:b/>
          <w:bCs/>
          <w:lang w:val="fr-FR"/>
        </w:rPr>
        <w:t>Compléments 3 à 6 à la série 03 d’amendements au Règlement ONU n</w:t>
      </w:r>
      <w:r>
        <w:rPr>
          <w:b/>
          <w:bCs/>
          <w:vertAlign w:val="superscript"/>
          <w:lang w:val="fr-FR"/>
        </w:rPr>
        <w:t>o</w:t>
      </w:r>
      <w:r>
        <w:rPr>
          <w:b/>
          <w:bCs/>
          <w:lang w:val="fr-FR"/>
        </w:rPr>
        <w:t> 51.</w:t>
      </w:r>
    </w:p>
    <w:p w14:paraId="0B625441" w14:textId="77777777" w:rsidR="004B7A48" w:rsidRPr="005D3FD3" w:rsidRDefault="004B7A48" w:rsidP="004B7A48">
      <w:pPr>
        <w:pStyle w:val="SingleTxtG"/>
        <w:ind w:right="1042"/>
        <w:rPr>
          <w:i/>
          <w:strike/>
          <w:lang w:val="fr-FR"/>
        </w:rPr>
      </w:pPr>
      <w:r>
        <w:rPr>
          <w:i/>
          <w:iCs/>
          <w:strike/>
          <w:lang w:val="fr-FR"/>
        </w:rPr>
        <w:lastRenderedPageBreak/>
        <w:t>À moyen et long terme</w:t>
      </w:r>
      <w:r>
        <w:rPr>
          <w:lang w:val="fr-FR"/>
        </w:rPr>
        <w:t xml:space="preserve"> </w:t>
      </w:r>
    </w:p>
    <w:p w14:paraId="5646F7EF" w14:textId="77777777" w:rsidR="004B7A48" w:rsidRPr="005D3FD3" w:rsidRDefault="004B7A48" w:rsidP="004B7A48">
      <w:pPr>
        <w:pStyle w:val="SingleTxtG"/>
        <w:ind w:right="1042"/>
        <w:rPr>
          <w:b/>
          <w:bCs/>
          <w:i/>
          <w:lang w:val="fr-FR"/>
        </w:rPr>
      </w:pPr>
      <w:r w:rsidRPr="0081712F">
        <w:rPr>
          <w:b/>
          <w:bCs/>
          <w:i/>
          <w:iCs/>
          <w:lang w:val="fr-FR"/>
        </w:rPr>
        <w:t>Les travaux suivants restent à achever :</w:t>
      </w:r>
    </w:p>
    <w:p w14:paraId="7BA2801C" w14:textId="77777777" w:rsidR="004B7A48" w:rsidRPr="005D3FD3" w:rsidRDefault="004B7A48" w:rsidP="004B7A48">
      <w:pPr>
        <w:pStyle w:val="Bullet1G"/>
        <w:rPr>
          <w:lang w:val="fr-FR"/>
        </w:rPr>
      </w:pPr>
      <w:r>
        <w:rPr>
          <w:lang w:val="fr-FR"/>
        </w:rPr>
        <w:t>Recueillir des données concernant toutes les conditions de conduite des véhicules des catégories M</w:t>
      </w:r>
      <w:r>
        <w:rPr>
          <w:vertAlign w:val="subscript"/>
          <w:lang w:val="fr-FR"/>
        </w:rPr>
        <w:t>1</w:t>
      </w:r>
      <w:r>
        <w:rPr>
          <w:lang w:val="fr-FR"/>
        </w:rPr>
        <w:t>, N</w:t>
      </w:r>
      <w:r>
        <w:rPr>
          <w:vertAlign w:val="subscript"/>
          <w:lang w:val="fr-FR"/>
        </w:rPr>
        <w:t>1</w:t>
      </w:r>
      <w:r>
        <w:rPr>
          <w:lang w:val="fr-FR"/>
        </w:rPr>
        <w:t xml:space="preserve"> et L</w:t>
      </w:r>
      <w:r>
        <w:rPr>
          <w:vertAlign w:val="subscript"/>
          <w:lang w:val="fr-FR"/>
        </w:rPr>
        <w:t>3</w:t>
      </w:r>
      <w:r>
        <w:rPr>
          <w:lang w:val="fr-FR"/>
        </w:rPr>
        <w:t xml:space="preserve"> en circulation</w:t>
      </w:r>
      <w:r w:rsidR="0081712F">
        <w:rPr>
          <w:lang w:val="fr-FR"/>
        </w:rPr>
        <w:t> </w:t>
      </w:r>
      <w:r>
        <w:rPr>
          <w:lang w:val="fr-FR"/>
        </w:rPr>
        <w:t>;</w:t>
      </w:r>
    </w:p>
    <w:p w14:paraId="2419AEC8" w14:textId="77777777" w:rsidR="004B7A48" w:rsidRPr="005D3FD3" w:rsidRDefault="004B7A48" w:rsidP="004B7A48">
      <w:pPr>
        <w:pStyle w:val="Bullet1G"/>
        <w:rPr>
          <w:lang w:val="fr-FR"/>
        </w:rPr>
      </w:pPr>
      <w:r>
        <w:rPr>
          <w:lang w:val="fr-FR"/>
        </w:rPr>
        <w:t>Mettre en corrélation ces données avec celles concernant les véhicules en circulation et les nouveaux véhicules</w:t>
      </w:r>
      <w:r w:rsidR="0081712F">
        <w:rPr>
          <w:lang w:val="fr-FR"/>
        </w:rPr>
        <w:t> </w:t>
      </w:r>
      <w:r>
        <w:rPr>
          <w:lang w:val="fr-FR"/>
        </w:rPr>
        <w:t xml:space="preserve">; </w:t>
      </w:r>
    </w:p>
    <w:p w14:paraId="0852E4D5" w14:textId="77777777" w:rsidR="004B7A48" w:rsidRPr="005D3FD3" w:rsidRDefault="004B7A48" w:rsidP="004B7A48">
      <w:pPr>
        <w:pStyle w:val="Bullet1G"/>
        <w:rPr>
          <w:lang w:val="fr-FR"/>
        </w:rPr>
      </w:pPr>
      <w:r>
        <w:rPr>
          <w:strike/>
          <w:lang w:val="fr-FR"/>
        </w:rPr>
        <w:t xml:space="preserve">Revoir </w:t>
      </w:r>
      <w:r>
        <w:rPr>
          <w:b/>
          <w:bCs/>
          <w:lang w:val="fr-FR"/>
        </w:rPr>
        <w:t xml:space="preserve">Réviser </w:t>
      </w:r>
      <w:r>
        <w:rPr>
          <w:lang w:val="fr-FR"/>
        </w:rPr>
        <w:t>et améliorer les procédures d’essai des véhicules à transmission automatique en position non verrouillée</w:t>
      </w:r>
      <w:r w:rsidR="0081712F">
        <w:rPr>
          <w:lang w:val="fr-FR"/>
        </w:rPr>
        <w:t> </w:t>
      </w:r>
      <w:r>
        <w:rPr>
          <w:lang w:val="fr-FR"/>
        </w:rPr>
        <w:t>;</w:t>
      </w:r>
    </w:p>
    <w:p w14:paraId="6F217F5D" w14:textId="77777777" w:rsidR="004B7A48" w:rsidRPr="005D3FD3" w:rsidRDefault="004B7A48" w:rsidP="004B7A48">
      <w:pPr>
        <w:pStyle w:val="Bullet1G"/>
        <w:rPr>
          <w:lang w:val="fr-FR"/>
        </w:rPr>
      </w:pPr>
      <w:r>
        <w:rPr>
          <w:lang w:val="fr-FR"/>
        </w:rPr>
        <w:t>Proposer une procédure d’essai pour les véhicules hybrides</w:t>
      </w:r>
      <w:r>
        <w:rPr>
          <w:b/>
          <w:bCs/>
          <w:lang w:val="fr-FR"/>
        </w:rPr>
        <w:t>, les véhicules à faible RPM</w:t>
      </w:r>
      <w:r>
        <w:rPr>
          <w:lang w:val="fr-FR"/>
        </w:rPr>
        <w:t xml:space="preserve"> et les véhicules équipés de nouvelles technologies</w:t>
      </w:r>
      <w:r w:rsidR="0081712F">
        <w:rPr>
          <w:lang w:val="fr-FR"/>
        </w:rPr>
        <w:t> </w:t>
      </w:r>
      <w:r>
        <w:rPr>
          <w:lang w:val="fr-FR"/>
        </w:rPr>
        <w:t xml:space="preserve">; </w:t>
      </w:r>
    </w:p>
    <w:p w14:paraId="732017A1" w14:textId="77777777" w:rsidR="004B7A48" w:rsidRPr="005D3FD3" w:rsidRDefault="004B7A48" w:rsidP="004B7A48">
      <w:pPr>
        <w:pStyle w:val="Bullet1G"/>
        <w:rPr>
          <w:lang w:val="fr-FR"/>
        </w:rPr>
      </w:pPr>
      <w:r>
        <w:rPr>
          <w:lang w:val="fr-FR"/>
        </w:rPr>
        <w:t xml:space="preserve">Proposer une procédure d’essai simplifiée et/ou de nouveaux essais (par exemple des essais en intérieur) pour gagner du temps et pour permettre l’application directe des </w:t>
      </w:r>
      <w:r>
        <w:rPr>
          <w:strike/>
          <w:lang w:val="fr-FR"/>
        </w:rPr>
        <w:t xml:space="preserve">dispositions </w:t>
      </w:r>
      <w:r>
        <w:rPr>
          <w:lang w:val="fr-FR"/>
        </w:rPr>
        <w:t>PSES pendant l’homologation de type</w:t>
      </w:r>
      <w:r>
        <w:rPr>
          <w:b/>
          <w:bCs/>
          <w:lang w:val="fr-FR"/>
        </w:rPr>
        <w:t>, ce qui permet de simuler de manière convaincante des conditions de conduite</w:t>
      </w:r>
      <w:r w:rsidRPr="002920E1">
        <w:rPr>
          <w:b/>
          <w:bCs/>
          <w:lang w:val="fr-FR"/>
        </w:rPr>
        <w:t xml:space="preserve"> </w:t>
      </w:r>
      <w:r>
        <w:rPr>
          <w:b/>
          <w:bCs/>
          <w:lang w:val="fr-FR"/>
        </w:rPr>
        <w:t>réalistes</w:t>
      </w:r>
      <w:r>
        <w:rPr>
          <w:lang w:val="fr-FR"/>
        </w:rPr>
        <w:t>.</w:t>
      </w:r>
    </w:p>
    <w:p w14:paraId="31377DA4" w14:textId="77777777" w:rsidR="004B7A48" w:rsidRPr="005D3FD3" w:rsidRDefault="004B7A48" w:rsidP="000854C9">
      <w:pPr>
        <w:pStyle w:val="SingleTxtG"/>
        <w:ind w:right="1042"/>
        <w:rPr>
          <w:lang w:val="fr-FR"/>
        </w:rPr>
      </w:pPr>
      <w:r>
        <w:rPr>
          <w:lang w:val="fr-FR"/>
        </w:rPr>
        <w:t>7.</w:t>
      </w:r>
      <w:r>
        <w:rPr>
          <w:lang w:val="fr-FR"/>
        </w:rPr>
        <w:tab/>
        <w:t>En outre, le groupe de travail informel pourrait aussi proposer un principe général de révision en ce qui concerne</w:t>
      </w:r>
      <w:r w:rsidR="0081712F">
        <w:rPr>
          <w:lang w:val="fr-FR"/>
        </w:rPr>
        <w:t> </w:t>
      </w:r>
      <w:r>
        <w:rPr>
          <w:lang w:val="fr-FR"/>
        </w:rPr>
        <w:t>:</w:t>
      </w:r>
      <w:bookmarkStart w:id="0" w:name="_GoBack"/>
      <w:bookmarkEnd w:id="0"/>
    </w:p>
    <w:p w14:paraId="38DBC3B0" w14:textId="77777777" w:rsidR="004B7A48" w:rsidRPr="005D3FD3" w:rsidRDefault="004B7A48" w:rsidP="004B7A48">
      <w:pPr>
        <w:pStyle w:val="Bullet1G"/>
        <w:rPr>
          <w:lang w:val="fr-FR"/>
        </w:rPr>
      </w:pPr>
      <w:r>
        <w:rPr>
          <w:lang w:val="fr-FR"/>
        </w:rPr>
        <w:t>L’examen du mandat et des objectifs pour améliorer les comportements qui font l’objet de critiques</w:t>
      </w:r>
      <w:r w:rsidR="0081712F">
        <w:rPr>
          <w:lang w:val="fr-FR"/>
        </w:rPr>
        <w:t> </w:t>
      </w:r>
      <w:r>
        <w:rPr>
          <w:lang w:val="fr-FR"/>
        </w:rPr>
        <w:t xml:space="preserve">; </w:t>
      </w:r>
    </w:p>
    <w:p w14:paraId="61EEF8DF" w14:textId="77777777" w:rsidR="004B7A48" w:rsidRPr="005D3FD3" w:rsidRDefault="004B7A48" w:rsidP="004B7A48">
      <w:pPr>
        <w:pStyle w:val="Bullet1G"/>
        <w:rPr>
          <w:lang w:val="fr-FR"/>
        </w:rPr>
      </w:pPr>
      <w:r>
        <w:rPr>
          <w:lang w:val="fr-FR"/>
        </w:rPr>
        <w:t>L’amélioration de l’efficacité de la méthode concernant par exemple les essais hors cycle</w:t>
      </w:r>
      <w:r w:rsidR="0081712F">
        <w:rPr>
          <w:lang w:val="fr-FR"/>
        </w:rPr>
        <w:t> </w:t>
      </w:r>
      <w:r>
        <w:rPr>
          <w:lang w:val="fr-FR"/>
        </w:rPr>
        <w:t xml:space="preserve">; </w:t>
      </w:r>
    </w:p>
    <w:p w14:paraId="27CE7D39" w14:textId="77777777" w:rsidR="004B7A48" w:rsidRPr="00362FFA" w:rsidRDefault="004B7A48" w:rsidP="004B7A48">
      <w:pPr>
        <w:pStyle w:val="Bullet1G"/>
      </w:pPr>
      <w:r>
        <w:rPr>
          <w:lang w:val="fr-FR"/>
        </w:rPr>
        <w:t>Le champ d’application</w:t>
      </w:r>
      <w:r w:rsidR="0081712F">
        <w:rPr>
          <w:lang w:val="fr-FR"/>
        </w:rPr>
        <w:t> </w:t>
      </w:r>
      <w:r>
        <w:rPr>
          <w:lang w:val="fr-FR"/>
        </w:rPr>
        <w:t>;</w:t>
      </w:r>
    </w:p>
    <w:p w14:paraId="37A6B100" w14:textId="77777777" w:rsidR="004B7A48" w:rsidRPr="005D3FD3" w:rsidRDefault="004B7A48" w:rsidP="004B7A48">
      <w:pPr>
        <w:pStyle w:val="Bullet1G"/>
        <w:rPr>
          <w:lang w:val="fr-FR"/>
        </w:rPr>
      </w:pPr>
      <w:r>
        <w:rPr>
          <w:lang w:val="fr-FR"/>
        </w:rPr>
        <w:t>La plage de contrôle (méthode plus représentative pour la conduite urbaine)</w:t>
      </w:r>
      <w:r w:rsidR="0081712F">
        <w:rPr>
          <w:lang w:val="fr-FR"/>
        </w:rPr>
        <w:t> </w:t>
      </w:r>
      <w:r>
        <w:rPr>
          <w:lang w:val="fr-FR"/>
        </w:rPr>
        <w:t>;</w:t>
      </w:r>
    </w:p>
    <w:p w14:paraId="10E116CF" w14:textId="77777777" w:rsidR="004B7A48" w:rsidRPr="005D3FD3" w:rsidRDefault="004B7A48" w:rsidP="004B7A48">
      <w:pPr>
        <w:pStyle w:val="Bullet1G"/>
        <w:rPr>
          <w:lang w:val="fr-FR"/>
        </w:rPr>
      </w:pPr>
      <w:r>
        <w:rPr>
          <w:lang w:val="fr-FR"/>
        </w:rPr>
        <w:t xml:space="preserve">L’insertion des </w:t>
      </w:r>
      <w:r>
        <w:rPr>
          <w:strike/>
          <w:lang w:val="fr-FR"/>
        </w:rPr>
        <w:t xml:space="preserve">dispositions </w:t>
      </w:r>
      <w:r>
        <w:rPr>
          <w:lang w:val="fr-FR"/>
        </w:rPr>
        <w:t>PSES dans le Règlement ONU n</w:t>
      </w:r>
      <w:r>
        <w:rPr>
          <w:vertAlign w:val="superscript"/>
          <w:lang w:val="fr-FR"/>
        </w:rPr>
        <w:t>o</w:t>
      </w:r>
      <w:r>
        <w:rPr>
          <w:lang w:val="fr-FR"/>
        </w:rPr>
        <w:t xml:space="preserve"> 41.  </w:t>
      </w:r>
    </w:p>
    <w:p w14:paraId="2634B374" w14:textId="77777777" w:rsidR="004B7A48" w:rsidRPr="005D3FD3" w:rsidRDefault="004B7A48" w:rsidP="004B7A48">
      <w:pPr>
        <w:pStyle w:val="SingleTxtG"/>
        <w:ind w:right="1042"/>
        <w:rPr>
          <w:lang w:val="fr-FR"/>
        </w:rPr>
      </w:pPr>
      <w:r>
        <w:rPr>
          <w:lang w:val="fr-FR"/>
        </w:rPr>
        <w:t>8.</w:t>
      </w:r>
      <w:r>
        <w:rPr>
          <w:lang w:val="fr-FR"/>
        </w:rPr>
        <w:tab/>
        <w:t>Le groupe de travail informel ASEP rendra compte au GRB</w:t>
      </w:r>
      <w:r>
        <w:rPr>
          <w:b/>
          <w:bCs/>
          <w:lang w:val="fr-FR"/>
        </w:rPr>
        <w:t>P</w:t>
      </w:r>
      <w:r>
        <w:rPr>
          <w:lang w:val="fr-FR"/>
        </w:rPr>
        <w:t>.</w:t>
      </w:r>
    </w:p>
    <w:p w14:paraId="4ED54214" w14:textId="0568C6D9" w:rsidR="004B7A48" w:rsidRDefault="0081712F" w:rsidP="0081712F">
      <w:pPr>
        <w:pStyle w:val="H1G"/>
        <w:rPr>
          <w:lang w:val="fr-FR"/>
        </w:rPr>
      </w:pPr>
      <w:r>
        <w:rPr>
          <w:lang w:val="fr-FR"/>
        </w:rPr>
        <w:tab/>
      </w:r>
      <w:r w:rsidR="004B7A48">
        <w:rPr>
          <w:lang w:val="fr-FR"/>
        </w:rPr>
        <w:t>C.</w:t>
      </w:r>
      <w:r w:rsidR="004B7A48">
        <w:rPr>
          <w:lang w:val="fr-FR"/>
        </w:rPr>
        <w:tab/>
        <w:t>Règlement intérieur</w:t>
      </w:r>
    </w:p>
    <w:p w14:paraId="6654EA68" w14:textId="77777777" w:rsidR="004B7A48" w:rsidRPr="0081712F" w:rsidRDefault="004B7A48" w:rsidP="000854C9">
      <w:pPr>
        <w:pStyle w:val="SingleTxtG"/>
        <w:ind w:right="1042"/>
        <w:rPr>
          <w:lang w:val="fr-FR"/>
        </w:rPr>
      </w:pPr>
      <w:r w:rsidRPr="005D3FD3">
        <w:rPr>
          <w:b/>
          <w:bCs/>
          <w:lang w:val="fr-FR"/>
        </w:rPr>
        <w:t>9.</w:t>
      </w:r>
      <w:r w:rsidRPr="005D3FD3">
        <w:rPr>
          <w:b/>
          <w:bCs/>
          <w:lang w:val="fr-FR"/>
        </w:rPr>
        <w:tab/>
      </w:r>
      <w:r>
        <w:rPr>
          <w:lang w:val="fr-FR"/>
        </w:rPr>
        <w:t>La participation au groupe de travail informel sera ouverte à tous les membres du GRB</w:t>
      </w:r>
      <w:r>
        <w:rPr>
          <w:b/>
          <w:bCs/>
          <w:lang w:val="fr-FR"/>
        </w:rPr>
        <w:t>P</w:t>
      </w:r>
      <w:r w:rsidR="0081712F">
        <w:rPr>
          <w:lang w:val="fr-FR"/>
        </w:rPr>
        <w:t> </w:t>
      </w:r>
      <w:r>
        <w:rPr>
          <w:lang w:val="fr-FR"/>
        </w:rPr>
        <w:t>; il serait préférable qu’elle soit limitée à deux experts par pays ou organisation</w:t>
      </w:r>
      <w:r w:rsidRPr="0081712F">
        <w:rPr>
          <w:lang w:val="fr-FR"/>
        </w:rPr>
        <w:t>.</w:t>
      </w:r>
    </w:p>
    <w:p w14:paraId="62B17C42" w14:textId="77777777" w:rsidR="004B7A48" w:rsidRPr="005D3FD3" w:rsidRDefault="004B7A48" w:rsidP="000854C9">
      <w:pPr>
        <w:pStyle w:val="SingleTxtG"/>
        <w:ind w:right="1042"/>
        <w:rPr>
          <w:b/>
          <w:bCs/>
          <w:lang w:val="fr-FR"/>
        </w:rPr>
      </w:pPr>
      <w:r w:rsidRPr="005D3FD3">
        <w:rPr>
          <w:b/>
          <w:bCs/>
          <w:lang w:val="fr-FR"/>
        </w:rPr>
        <w:t>10.</w:t>
      </w:r>
      <w:r w:rsidRPr="005D3FD3">
        <w:rPr>
          <w:b/>
          <w:bCs/>
          <w:lang w:val="fr-FR"/>
        </w:rPr>
        <w:tab/>
      </w:r>
      <w:r>
        <w:rPr>
          <w:b/>
          <w:bCs/>
          <w:lang w:val="fr-FR"/>
        </w:rPr>
        <w:t>Un groupe chargé de l’élaboration des documents du groupe de travail informel ASEP est constitué ; il comprend 10 participants au maximum, le but étant de permettre la tenue de réunions présentielles.</w:t>
      </w:r>
      <w:r>
        <w:rPr>
          <w:lang w:val="fr-FR"/>
        </w:rPr>
        <w:t xml:space="preserve"> </w:t>
      </w:r>
    </w:p>
    <w:p w14:paraId="4DF8E012" w14:textId="77777777" w:rsidR="004B7A48" w:rsidRPr="005D3FD3" w:rsidRDefault="004B7A48" w:rsidP="000854C9">
      <w:pPr>
        <w:pStyle w:val="SingleTxtG"/>
        <w:ind w:right="1042"/>
        <w:rPr>
          <w:b/>
          <w:bCs/>
          <w:lang w:val="fr-FR"/>
        </w:rPr>
      </w:pPr>
      <w:r w:rsidRPr="005D3FD3">
        <w:rPr>
          <w:b/>
          <w:bCs/>
          <w:lang w:val="fr-FR"/>
        </w:rPr>
        <w:t>11.</w:t>
      </w:r>
      <w:r w:rsidRPr="005D3FD3">
        <w:rPr>
          <w:b/>
          <w:bCs/>
          <w:lang w:val="fr-FR"/>
        </w:rPr>
        <w:tab/>
      </w:r>
      <w:r>
        <w:rPr>
          <w:b/>
          <w:bCs/>
          <w:lang w:val="fr-FR"/>
        </w:rPr>
        <w:t>Les réunions autres que celles de ce groupe de rédaction sont organisées de manière que d’autres personnes compétentes pour les PSES puissent participer à distance.</w:t>
      </w:r>
    </w:p>
    <w:p w14:paraId="5FB8E230" w14:textId="77777777" w:rsidR="004B7A48" w:rsidRPr="005D3FD3" w:rsidRDefault="004B7A48" w:rsidP="000854C9">
      <w:pPr>
        <w:pStyle w:val="SingleTxtG"/>
        <w:ind w:right="1042"/>
        <w:rPr>
          <w:lang w:val="fr-FR"/>
        </w:rPr>
      </w:pPr>
      <w:r w:rsidRPr="005D3FD3">
        <w:rPr>
          <w:b/>
          <w:bCs/>
          <w:lang w:val="fr-FR"/>
        </w:rPr>
        <w:t>12.</w:t>
      </w:r>
      <w:r w:rsidRPr="005D3FD3">
        <w:rPr>
          <w:b/>
          <w:bCs/>
          <w:lang w:val="fr-FR"/>
        </w:rPr>
        <w:tab/>
      </w:r>
      <w:r>
        <w:rPr>
          <w:lang w:val="fr-FR"/>
        </w:rPr>
        <w:t xml:space="preserve">Le groupe de travail informel sera présidé par l’Allemagne </w:t>
      </w:r>
      <w:r w:rsidRPr="002920E1">
        <w:rPr>
          <w:strike/>
          <w:lang w:val="fr-FR"/>
        </w:rPr>
        <w:t>ou</w:t>
      </w:r>
      <w:r w:rsidRPr="0081712F">
        <w:rPr>
          <w:strike/>
          <w:lang w:val="fr-FR"/>
        </w:rPr>
        <w:t xml:space="preserve"> </w:t>
      </w:r>
      <w:r w:rsidRPr="002920E1">
        <w:rPr>
          <w:b/>
          <w:bCs/>
          <w:lang w:val="fr-FR"/>
        </w:rPr>
        <w:t>et</w:t>
      </w:r>
      <w:r>
        <w:rPr>
          <w:lang w:val="fr-FR"/>
        </w:rPr>
        <w:t xml:space="preserve"> la Chine et coprésidé par le Japon, </w:t>
      </w:r>
      <w:r w:rsidRPr="00042395">
        <w:rPr>
          <w:b/>
          <w:bCs/>
          <w:lang w:val="fr-FR"/>
        </w:rPr>
        <w:t>et</w:t>
      </w:r>
      <w:r>
        <w:rPr>
          <w:lang w:val="fr-FR"/>
        </w:rPr>
        <w:t xml:space="preserve"> l’OICA </w:t>
      </w:r>
      <w:r w:rsidRPr="00042395">
        <w:rPr>
          <w:strike/>
          <w:lang w:val="fr-FR"/>
        </w:rPr>
        <w:t>faisant office de secrétaire</w:t>
      </w:r>
      <w:r w:rsidR="0081712F">
        <w:rPr>
          <w:strike/>
          <w:lang w:val="fr-FR"/>
        </w:rPr>
        <w:t xml:space="preserve"> </w:t>
      </w:r>
      <w:r w:rsidRPr="00042395">
        <w:rPr>
          <w:b/>
          <w:bCs/>
          <w:lang w:val="fr-FR"/>
        </w:rPr>
        <w:t>en assurera le secrétariat</w:t>
      </w:r>
      <w:r>
        <w:rPr>
          <w:lang w:val="fr-FR"/>
        </w:rPr>
        <w:t>.</w:t>
      </w:r>
    </w:p>
    <w:p w14:paraId="52CA287F" w14:textId="77777777" w:rsidR="004B7A48" w:rsidRPr="005D3FD3" w:rsidRDefault="004B7A48" w:rsidP="000854C9">
      <w:pPr>
        <w:pStyle w:val="SingleTxtG"/>
        <w:ind w:right="1042"/>
        <w:rPr>
          <w:lang w:val="fr-FR"/>
        </w:rPr>
      </w:pPr>
      <w:r w:rsidRPr="005D3FD3">
        <w:rPr>
          <w:b/>
          <w:bCs/>
          <w:lang w:val="fr-FR"/>
        </w:rPr>
        <w:t>13.</w:t>
      </w:r>
      <w:r w:rsidRPr="005D3FD3">
        <w:rPr>
          <w:b/>
          <w:bCs/>
          <w:lang w:val="fr-FR"/>
        </w:rPr>
        <w:tab/>
      </w:r>
      <w:r>
        <w:rPr>
          <w:lang w:val="fr-FR"/>
        </w:rPr>
        <w:t>La langue de travail sera l’anglais.</w:t>
      </w:r>
    </w:p>
    <w:p w14:paraId="308080E8" w14:textId="77777777" w:rsidR="004B7A48" w:rsidRPr="005D3FD3" w:rsidRDefault="00364C24" w:rsidP="000854C9">
      <w:pPr>
        <w:pStyle w:val="SingleTxtG"/>
        <w:ind w:right="1042"/>
        <w:rPr>
          <w:lang w:val="fr-FR"/>
        </w:rPr>
      </w:pPr>
      <w:r>
        <w:rPr>
          <w:b/>
          <w:bCs/>
          <w:lang w:val="fr-FR"/>
        </w:rPr>
        <w:t>14</w:t>
      </w:r>
      <w:r w:rsidR="004B7A48" w:rsidRPr="005D3FD3">
        <w:rPr>
          <w:b/>
          <w:bCs/>
          <w:lang w:val="fr-FR"/>
        </w:rPr>
        <w:t>.</w:t>
      </w:r>
      <w:r w:rsidR="004B7A48" w:rsidRPr="005D3FD3">
        <w:rPr>
          <w:b/>
          <w:bCs/>
          <w:lang w:val="fr-FR"/>
        </w:rPr>
        <w:tab/>
      </w:r>
      <w:r w:rsidR="004B7A48">
        <w:rPr>
          <w:lang w:val="fr-FR"/>
        </w:rPr>
        <w:t xml:space="preserve">Tous les documents et les propositions seront soumis au secrétaire du groupe sous une forme électronique appropriée au moins une semaine avant la réunion. </w:t>
      </w:r>
    </w:p>
    <w:p w14:paraId="4CDE05EB" w14:textId="77777777" w:rsidR="004B7A48" w:rsidRPr="005D3FD3" w:rsidRDefault="004B7A48" w:rsidP="000854C9">
      <w:pPr>
        <w:pStyle w:val="SingleTxtG"/>
        <w:ind w:right="1042"/>
        <w:rPr>
          <w:lang w:val="fr-FR"/>
        </w:rPr>
      </w:pPr>
      <w:r w:rsidRPr="005D3FD3">
        <w:rPr>
          <w:b/>
          <w:bCs/>
          <w:lang w:val="fr-FR"/>
        </w:rPr>
        <w:t>15.</w:t>
      </w:r>
      <w:r w:rsidRPr="005D3FD3">
        <w:rPr>
          <w:b/>
          <w:bCs/>
          <w:lang w:val="fr-FR"/>
        </w:rPr>
        <w:tab/>
      </w:r>
      <w:r>
        <w:rPr>
          <w:lang w:val="fr-FR"/>
        </w:rPr>
        <w:t>L’ordre du jour et les derniers documents soumis seront distribués à tous les membres du groupe de travail informel avant la réunion.</w:t>
      </w:r>
    </w:p>
    <w:p w14:paraId="7C95E6B4" w14:textId="77777777" w:rsidR="004B7A48" w:rsidRPr="005D3FD3" w:rsidRDefault="004B7A48" w:rsidP="000854C9">
      <w:pPr>
        <w:pStyle w:val="SingleTxtG"/>
        <w:ind w:right="1042"/>
        <w:rPr>
          <w:lang w:val="fr-FR"/>
        </w:rPr>
      </w:pPr>
      <w:r w:rsidRPr="005D3FD3">
        <w:rPr>
          <w:b/>
          <w:bCs/>
          <w:lang w:val="fr-FR"/>
        </w:rPr>
        <w:t>16.</w:t>
      </w:r>
      <w:r w:rsidRPr="005D3FD3">
        <w:rPr>
          <w:b/>
          <w:bCs/>
          <w:lang w:val="fr-FR"/>
        </w:rPr>
        <w:tab/>
      </w:r>
      <w:r>
        <w:rPr>
          <w:lang w:val="fr-FR"/>
        </w:rPr>
        <w:t>Tous les documents du groupe de travail informel seront disponibles sur le site Web de la CEE.</w:t>
      </w:r>
    </w:p>
    <w:p w14:paraId="1DC07B88" w14:textId="77777777" w:rsidR="004B7A48" w:rsidRPr="005D3FD3" w:rsidRDefault="0081712F" w:rsidP="0081712F">
      <w:pPr>
        <w:pStyle w:val="H1G"/>
        <w:rPr>
          <w:lang w:val="fr-FR"/>
        </w:rPr>
      </w:pPr>
      <w:r>
        <w:rPr>
          <w:lang w:val="fr-FR"/>
        </w:rPr>
        <w:lastRenderedPageBreak/>
        <w:tab/>
      </w:r>
      <w:r w:rsidR="004B7A48">
        <w:rPr>
          <w:lang w:val="fr-FR"/>
        </w:rPr>
        <w:t>D.</w:t>
      </w:r>
      <w:r w:rsidR="004B7A48">
        <w:rPr>
          <w:lang w:val="fr-FR"/>
        </w:rPr>
        <w:tab/>
        <w:t xml:space="preserve">Calendrier </w:t>
      </w:r>
    </w:p>
    <w:p w14:paraId="7C4FD8DC" w14:textId="77777777" w:rsidR="004B7A48" w:rsidRPr="005D3FD3" w:rsidRDefault="004B7A48" w:rsidP="004B7A48">
      <w:pPr>
        <w:pStyle w:val="SingleTxtG"/>
        <w:ind w:right="1042"/>
        <w:rPr>
          <w:lang w:val="fr-FR"/>
        </w:rPr>
      </w:pPr>
      <w:r w:rsidRPr="005D3FD3">
        <w:rPr>
          <w:b/>
          <w:bCs/>
          <w:lang w:val="fr-FR"/>
        </w:rPr>
        <w:t>17</w:t>
      </w:r>
      <w:r>
        <w:rPr>
          <w:lang w:val="fr-FR"/>
        </w:rPr>
        <w:t>.</w:t>
      </w:r>
      <w:r>
        <w:rPr>
          <w:lang w:val="fr-FR"/>
        </w:rPr>
        <w:tab/>
        <w:t>Le but du groupe de travail informel est de soumettre des documents de travail pour examen aux sessions du GRB</w:t>
      </w:r>
      <w:r>
        <w:rPr>
          <w:b/>
          <w:bCs/>
          <w:lang w:val="fr-FR"/>
        </w:rPr>
        <w:t>P</w:t>
      </w:r>
      <w:r w:rsidRPr="005D3FD3">
        <w:rPr>
          <w:lang w:val="fr-FR"/>
        </w:rPr>
        <w:t>,</w:t>
      </w:r>
      <w:r>
        <w:rPr>
          <w:lang w:val="fr-FR"/>
        </w:rPr>
        <w:t xml:space="preserve"> ainsi qu’un plan de travail et un calendrier détaillés. Le groupe de travail informel présentera des rapports d’activité, qui contiendront notamment les résultats obtenus ainsi que des propositions détaillées, d’ici à</w:t>
      </w:r>
      <w:r w:rsidR="0081712F">
        <w:rPr>
          <w:lang w:val="fr-FR"/>
        </w:rPr>
        <w:t> </w:t>
      </w:r>
      <w:r>
        <w:rPr>
          <w:b/>
          <w:bCs/>
          <w:lang w:val="fr-FR"/>
        </w:rPr>
        <w:t>:</w:t>
      </w:r>
    </w:p>
    <w:p w14:paraId="1E3F6291" w14:textId="77777777" w:rsidR="004B7A48" w:rsidRPr="005D3FD3" w:rsidRDefault="004B7A48" w:rsidP="00364C24">
      <w:pPr>
        <w:pStyle w:val="Bullet1G"/>
        <w:rPr>
          <w:b/>
          <w:bCs/>
          <w:lang w:val="fr-FR"/>
        </w:rPr>
      </w:pPr>
      <w:r>
        <w:rPr>
          <w:b/>
          <w:bCs/>
          <w:lang w:val="fr-FR"/>
        </w:rPr>
        <w:t>septembre 2020, et en janvier 2021 au plus tard, pour les motocycles ;</w:t>
      </w:r>
    </w:p>
    <w:p w14:paraId="00B504DC" w14:textId="77777777" w:rsidR="004B7A48" w:rsidRPr="005D3FD3" w:rsidRDefault="004B7A48" w:rsidP="00364C24">
      <w:pPr>
        <w:pStyle w:val="Bullet1G"/>
        <w:rPr>
          <w:b/>
          <w:bCs/>
          <w:lang w:val="fr-FR"/>
        </w:rPr>
      </w:pPr>
      <w:r>
        <w:rPr>
          <w:b/>
          <w:bCs/>
          <w:lang w:val="fr-FR"/>
        </w:rPr>
        <w:t>septembre 2021 pour les véhicules des catégories M</w:t>
      </w:r>
      <w:r>
        <w:rPr>
          <w:b/>
          <w:bCs/>
          <w:vertAlign w:val="subscript"/>
          <w:lang w:val="fr-FR"/>
        </w:rPr>
        <w:t>1</w:t>
      </w:r>
      <w:r>
        <w:rPr>
          <w:b/>
          <w:bCs/>
          <w:lang w:val="fr-FR"/>
        </w:rPr>
        <w:t xml:space="preserve"> et N</w:t>
      </w:r>
      <w:r>
        <w:rPr>
          <w:b/>
          <w:bCs/>
          <w:vertAlign w:val="subscript"/>
          <w:lang w:val="fr-FR"/>
        </w:rPr>
        <w:t>1</w:t>
      </w:r>
    </w:p>
    <w:p w14:paraId="3B881788" w14:textId="77777777" w:rsidR="004B7A48" w:rsidRPr="005D3FD3" w:rsidRDefault="004B7A48" w:rsidP="004B7A48">
      <w:pPr>
        <w:pStyle w:val="SingleTxtG"/>
        <w:ind w:right="1042"/>
        <w:rPr>
          <w:lang w:val="fr-FR"/>
        </w:rPr>
      </w:pPr>
      <w:r>
        <w:rPr>
          <w:strike/>
          <w:lang w:val="fr-FR"/>
        </w:rPr>
        <w:t>septembre 2020 et éventuellement, pour chaque catégorie, un calendrier de préférence final ou au moins suffisamment avancé avant l’adoption de toute réglementation visant à abaisser les valeurs limites des émissions sonores</w:t>
      </w:r>
      <w:r>
        <w:rPr>
          <w:lang w:val="fr-FR"/>
        </w:rPr>
        <w:t>.</w:t>
      </w:r>
    </w:p>
    <w:p w14:paraId="6EFB8B4E" w14:textId="77777777" w:rsidR="004B7A48" w:rsidRPr="005D3FD3" w:rsidRDefault="002B41FD" w:rsidP="002B41FD">
      <w:pPr>
        <w:pStyle w:val="HChG"/>
        <w:rPr>
          <w:lang w:val="fr-FR"/>
        </w:rPr>
      </w:pPr>
      <w:r>
        <w:rPr>
          <w:lang w:val="fr-FR"/>
        </w:rPr>
        <w:tab/>
      </w:r>
      <w:r w:rsidR="004B7A48">
        <w:rPr>
          <w:lang w:val="fr-FR"/>
        </w:rPr>
        <w:t>II.</w:t>
      </w:r>
      <w:r w:rsidR="004B7A48">
        <w:rPr>
          <w:lang w:val="fr-FR"/>
        </w:rPr>
        <w:tab/>
        <w:t>Justification</w:t>
      </w:r>
    </w:p>
    <w:p w14:paraId="431C1EE8" w14:textId="77777777" w:rsidR="004B7A48" w:rsidRPr="005D3FD3" w:rsidRDefault="004B7A48" w:rsidP="004B7A48">
      <w:pPr>
        <w:widowControl w:val="0"/>
        <w:suppressAutoHyphens w:val="0"/>
        <w:spacing w:after="120"/>
        <w:ind w:left="1134" w:right="1134"/>
        <w:jc w:val="both"/>
        <w:rPr>
          <w:lang w:val="fr-FR"/>
        </w:rPr>
      </w:pPr>
      <w:r>
        <w:rPr>
          <w:lang w:val="fr-FR"/>
        </w:rPr>
        <w:t>1.</w:t>
      </w:r>
      <w:r>
        <w:rPr>
          <w:lang w:val="fr-FR"/>
        </w:rPr>
        <w:tab/>
        <w:t>Le mandat du groupe de travail informel ASEP doit être mis à jour compte tenu des propositions de ce groupe qui ont déjà été approuvées, des progrès réalisés et des répercussions de la pandémie de COVID-19.</w:t>
      </w:r>
    </w:p>
    <w:p w14:paraId="28DA6F97" w14:textId="77777777" w:rsidR="004B7A48" w:rsidRPr="005D3FD3" w:rsidRDefault="004B7A48" w:rsidP="004B7A48">
      <w:pPr>
        <w:widowControl w:val="0"/>
        <w:suppressAutoHyphens w:val="0"/>
        <w:spacing w:after="120"/>
        <w:ind w:left="1134" w:right="1134"/>
        <w:jc w:val="both"/>
        <w:rPr>
          <w:lang w:val="fr-FR"/>
        </w:rPr>
      </w:pPr>
      <w:r>
        <w:rPr>
          <w:lang w:val="fr-FR"/>
        </w:rPr>
        <w:t>2.</w:t>
      </w:r>
      <w:r>
        <w:rPr>
          <w:lang w:val="fr-FR"/>
        </w:rPr>
        <w:tab/>
        <w:t>Les points qui ont été résolus par les compléments 3, 4, 5 et 6 à la série 03 d’amendements au Règlement ONU n</w:t>
      </w:r>
      <w:r>
        <w:rPr>
          <w:vertAlign w:val="superscript"/>
          <w:lang w:val="fr-FR"/>
        </w:rPr>
        <w:t>o</w:t>
      </w:r>
      <w:r>
        <w:rPr>
          <w:lang w:val="fr-FR"/>
        </w:rPr>
        <w:t xml:space="preserve"> 51, conformément aux propositions du groupe de travail informel ASEP que le Forum mondial (WP.29) a approuvées, sont supprimés et/ou adaptés compte tenu de l’état d’avancement actuel des travaux du groupe de travail informel. Depuis la dernière révision de ce mandat en septembre 2018, plusieurs propositions formulées par le groupe de travail informel ASEP dans le but modifier la série</w:t>
      </w:r>
      <w:r w:rsidR="002B41FD">
        <w:rPr>
          <w:lang w:val="fr-FR"/>
        </w:rPr>
        <w:t> </w:t>
      </w:r>
      <w:r>
        <w:rPr>
          <w:lang w:val="fr-FR"/>
        </w:rPr>
        <w:t>03 d’amendements au Règlement ONU n</w:t>
      </w:r>
      <w:r>
        <w:rPr>
          <w:vertAlign w:val="superscript"/>
          <w:lang w:val="fr-FR"/>
        </w:rPr>
        <w:t>o</w:t>
      </w:r>
      <w:r>
        <w:rPr>
          <w:lang w:val="fr-FR"/>
        </w:rPr>
        <w:t xml:space="preserve"> 51 ont été approuvées, à savoir :</w:t>
      </w:r>
    </w:p>
    <w:p w14:paraId="5EF7CE5E" w14:textId="77777777" w:rsidR="004B7A48" w:rsidRPr="005D3FD3" w:rsidRDefault="004B7A48" w:rsidP="004B7A48">
      <w:pPr>
        <w:widowControl w:val="0"/>
        <w:spacing w:after="120"/>
        <w:ind w:left="1134" w:right="1134"/>
        <w:jc w:val="both"/>
        <w:rPr>
          <w:i/>
          <w:iCs/>
          <w:lang w:val="fr-FR"/>
        </w:rPr>
      </w:pPr>
      <w:r>
        <w:rPr>
          <w:i/>
          <w:iCs/>
          <w:lang w:val="fr-FR"/>
        </w:rPr>
        <w:t>À la 177</w:t>
      </w:r>
      <w:r>
        <w:rPr>
          <w:i/>
          <w:iCs/>
          <w:vertAlign w:val="superscript"/>
          <w:lang w:val="fr-FR"/>
        </w:rPr>
        <w:t>e</w:t>
      </w:r>
      <w:r>
        <w:rPr>
          <w:i/>
          <w:iCs/>
          <w:lang w:val="fr-FR"/>
        </w:rPr>
        <w:t xml:space="preserve"> session du WP.29, en mars 2019 :</w:t>
      </w:r>
    </w:p>
    <w:p w14:paraId="63B4D62C" w14:textId="77777777" w:rsidR="004B7A48" w:rsidRPr="005D3FD3" w:rsidRDefault="004B7A48" w:rsidP="00364C24">
      <w:pPr>
        <w:pStyle w:val="Bullet1G"/>
        <w:rPr>
          <w:lang w:val="fr-FR"/>
        </w:rPr>
      </w:pPr>
      <w:r w:rsidRPr="002920E1">
        <w:rPr>
          <w:lang w:val="fr-FR"/>
        </w:rPr>
        <w:t>Les documents ECE/TRANS/WP.29/2019/4 et Rev.1 (complément 5), sur la base du document ECE/TRANS/WP.29/GRB/2018/10 tel que modifié par le par</w:t>
      </w:r>
      <w:r w:rsidR="002B41FD">
        <w:rPr>
          <w:lang w:val="fr-FR"/>
        </w:rPr>
        <w:t>agraphe </w:t>
      </w:r>
      <w:r w:rsidRPr="002920E1">
        <w:rPr>
          <w:lang w:val="fr-FR"/>
        </w:rPr>
        <w:t>5 du rapport de la soixante-huitième session du GRBP (ECE/TRANS/WP.29/</w:t>
      </w:r>
      <w:r w:rsidR="002B41FD">
        <w:rPr>
          <w:lang w:val="fr-FR"/>
        </w:rPr>
        <w:br/>
      </w:r>
      <w:r w:rsidRPr="002920E1">
        <w:rPr>
          <w:lang w:val="fr-FR"/>
        </w:rPr>
        <w:t>GRB/66), et des documents ECE/TRANS/WP.29/GRB/2019/9 et ECE/TRANS/</w:t>
      </w:r>
      <w:r w:rsidR="002B41FD">
        <w:rPr>
          <w:lang w:val="fr-FR"/>
        </w:rPr>
        <w:br/>
      </w:r>
      <w:r w:rsidRPr="002920E1">
        <w:rPr>
          <w:lang w:val="fr-FR"/>
        </w:rPr>
        <w:t>WP.29/GRB/2019/11</w:t>
      </w:r>
      <w:r w:rsidR="002B41FD">
        <w:rPr>
          <w:lang w:val="fr-FR"/>
        </w:rPr>
        <w:t> </w:t>
      </w:r>
      <w:r w:rsidRPr="002920E1">
        <w:rPr>
          <w:lang w:val="fr-FR"/>
        </w:rPr>
        <w:t>;</w:t>
      </w:r>
    </w:p>
    <w:p w14:paraId="2B8930A6" w14:textId="77777777" w:rsidR="004B7A48" w:rsidRPr="005D3FD3" w:rsidRDefault="004B7A48" w:rsidP="00364C24">
      <w:pPr>
        <w:pStyle w:val="Bullet1G"/>
        <w:rPr>
          <w:lang w:val="fr-FR"/>
        </w:rPr>
      </w:pPr>
      <w:r w:rsidRPr="002920E1">
        <w:rPr>
          <w:lang w:val="fr-FR"/>
        </w:rPr>
        <w:t>Le document ECE/TRANS/WP.29/GRB/2019/8 (rectificatif au complément 3)</w:t>
      </w:r>
      <w:r w:rsidR="002B41FD">
        <w:rPr>
          <w:lang w:val="fr-FR"/>
        </w:rPr>
        <w:t> </w:t>
      </w:r>
      <w:r w:rsidRPr="002920E1">
        <w:rPr>
          <w:lang w:val="fr-FR"/>
        </w:rPr>
        <w:t xml:space="preserve">; </w:t>
      </w:r>
    </w:p>
    <w:p w14:paraId="491C21E7" w14:textId="77777777" w:rsidR="004B7A48" w:rsidRPr="005D3FD3" w:rsidRDefault="004B7A48" w:rsidP="00364C24">
      <w:pPr>
        <w:pStyle w:val="Bullet1G"/>
        <w:rPr>
          <w:lang w:val="fr-FR"/>
        </w:rPr>
      </w:pPr>
      <w:r w:rsidRPr="002920E1">
        <w:rPr>
          <w:lang w:val="fr-FR"/>
        </w:rPr>
        <w:t>Le document ECE/TRANS/WP.29/GRB/2019/9 (rectificatif au complément 4)</w:t>
      </w:r>
      <w:r w:rsidR="002B41FD">
        <w:rPr>
          <w:lang w:val="fr-FR"/>
        </w:rPr>
        <w:t>.</w:t>
      </w:r>
    </w:p>
    <w:p w14:paraId="574D6D57" w14:textId="77777777" w:rsidR="004B7A48" w:rsidRPr="005D3FD3" w:rsidRDefault="004B7A48" w:rsidP="004B7A48">
      <w:pPr>
        <w:widowControl w:val="0"/>
        <w:spacing w:after="120"/>
        <w:ind w:left="1134" w:right="1134"/>
        <w:jc w:val="both"/>
        <w:rPr>
          <w:i/>
          <w:iCs/>
          <w:lang w:val="fr-FR"/>
        </w:rPr>
      </w:pPr>
      <w:r w:rsidRPr="002920E1">
        <w:rPr>
          <w:i/>
          <w:iCs/>
          <w:lang w:val="fr-FR"/>
        </w:rPr>
        <w:t>À la 180</w:t>
      </w:r>
      <w:r w:rsidRPr="002920E1">
        <w:rPr>
          <w:i/>
          <w:iCs/>
          <w:vertAlign w:val="superscript"/>
          <w:lang w:val="fr-FR"/>
        </w:rPr>
        <w:t>e</w:t>
      </w:r>
      <w:r w:rsidRPr="002920E1">
        <w:rPr>
          <w:i/>
          <w:iCs/>
          <w:lang w:val="fr-FR"/>
        </w:rPr>
        <w:t xml:space="preserve"> session du WP.29, en mars 2020</w:t>
      </w:r>
      <w:r w:rsidR="002B41FD">
        <w:rPr>
          <w:i/>
          <w:iCs/>
          <w:lang w:val="fr-FR"/>
        </w:rPr>
        <w:t> </w:t>
      </w:r>
      <w:r w:rsidRPr="002920E1">
        <w:rPr>
          <w:i/>
          <w:iCs/>
          <w:lang w:val="fr-FR"/>
        </w:rPr>
        <w:t>:</w:t>
      </w:r>
    </w:p>
    <w:p w14:paraId="506874F3" w14:textId="77777777" w:rsidR="004B7A48" w:rsidRPr="005D3FD3" w:rsidRDefault="004B7A48" w:rsidP="00364C24">
      <w:pPr>
        <w:pStyle w:val="Bullet1G"/>
        <w:rPr>
          <w:lang w:val="fr-FR"/>
        </w:rPr>
      </w:pPr>
      <w:r w:rsidRPr="002920E1">
        <w:rPr>
          <w:lang w:val="fr-FR"/>
        </w:rPr>
        <w:t>Le document ECE/TRANS/WP.29/2020/4 (complément 6), fondé sur l</w:t>
      </w:r>
      <w:r>
        <w:rPr>
          <w:lang w:val="fr-FR"/>
        </w:rPr>
        <w:t>’</w:t>
      </w:r>
      <w:r w:rsidRPr="002920E1">
        <w:rPr>
          <w:lang w:val="fr-FR"/>
        </w:rPr>
        <w:t>annexe II du rapport de la soixante-dixième session du GRBP (ECE/TRANS/WP.29/GRBP/68), laquelle avait été établie sur la base du document ECE/TRANS/WP.29/</w:t>
      </w:r>
      <w:r w:rsidR="002B41FD">
        <w:rPr>
          <w:lang w:val="fr-FR"/>
        </w:rPr>
        <w:br/>
      </w:r>
      <w:r w:rsidRPr="002920E1">
        <w:rPr>
          <w:lang w:val="fr-FR"/>
        </w:rPr>
        <w:t>GRBP/2019/13 et du document informel GRBP-70-26 Rev.1.</w:t>
      </w:r>
    </w:p>
    <w:p w14:paraId="525B8005" w14:textId="77777777" w:rsidR="00F9573C" w:rsidRPr="004B7A48" w:rsidRDefault="004B7A48" w:rsidP="004B7A4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4B7A48" w:rsidSect="004B7A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6B235" w14:textId="77777777" w:rsidR="00FB46C5" w:rsidRDefault="00FB46C5" w:rsidP="00F95C08">
      <w:pPr>
        <w:spacing w:line="240" w:lineRule="auto"/>
      </w:pPr>
    </w:p>
  </w:endnote>
  <w:endnote w:type="continuationSeparator" w:id="0">
    <w:p w14:paraId="75970FF9" w14:textId="77777777" w:rsidR="00FB46C5" w:rsidRPr="00AC3823" w:rsidRDefault="00FB46C5" w:rsidP="00AC3823">
      <w:pPr>
        <w:pStyle w:val="Pieddepage"/>
      </w:pPr>
    </w:p>
  </w:endnote>
  <w:endnote w:type="continuationNotice" w:id="1">
    <w:p w14:paraId="7C857863" w14:textId="77777777" w:rsidR="00FB46C5" w:rsidRDefault="00FB46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21D8" w14:textId="77777777" w:rsidR="004B7A48" w:rsidRPr="004B7A48" w:rsidRDefault="004B7A48" w:rsidP="004B7A48">
    <w:pPr>
      <w:pStyle w:val="Pieddepage"/>
      <w:tabs>
        <w:tab w:val="right" w:pos="9638"/>
      </w:tabs>
    </w:pPr>
    <w:r w:rsidRPr="004B7A48">
      <w:rPr>
        <w:b/>
        <w:sz w:val="18"/>
      </w:rPr>
      <w:fldChar w:fldCharType="begin"/>
    </w:r>
    <w:r w:rsidRPr="004B7A48">
      <w:rPr>
        <w:b/>
        <w:sz w:val="18"/>
      </w:rPr>
      <w:instrText xml:space="preserve"> PAGE  \* MERGEFORMAT </w:instrText>
    </w:r>
    <w:r w:rsidRPr="004B7A48">
      <w:rPr>
        <w:b/>
        <w:sz w:val="18"/>
      </w:rPr>
      <w:fldChar w:fldCharType="separate"/>
    </w:r>
    <w:r w:rsidRPr="004B7A48">
      <w:rPr>
        <w:b/>
        <w:noProof/>
        <w:sz w:val="18"/>
      </w:rPr>
      <w:t>2</w:t>
    </w:r>
    <w:r w:rsidRPr="004B7A48">
      <w:rPr>
        <w:b/>
        <w:sz w:val="18"/>
      </w:rPr>
      <w:fldChar w:fldCharType="end"/>
    </w:r>
    <w:r>
      <w:rPr>
        <w:b/>
        <w:sz w:val="18"/>
      </w:rPr>
      <w:tab/>
    </w:r>
    <w:r>
      <w:t>GE.20-08079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CA8A" w14:textId="77777777" w:rsidR="004B7A48" w:rsidRPr="004B7A48" w:rsidRDefault="004B7A48" w:rsidP="004B7A48">
    <w:pPr>
      <w:pStyle w:val="Pieddepage"/>
      <w:tabs>
        <w:tab w:val="right" w:pos="9638"/>
      </w:tabs>
      <w:rPr>
        <w:b/>
        <w:sz w:val="18"/>
      </w:rPr>
    </w:pPr>
    <w:r>
      <w:t>GE.20-08079</w:t>
    </w:r>
    <w:r>
      <w:tab/>
    </w:r>
    <w:r w:rsidRPr="004B7A48">
      <w:rPr>
        <w:b/>
        <w:sz w:val="18"/>
      </w:rPr>
      <w:fldChar w:fldCharType="begin"/>
    </w:r>
    <w:r w:rsidRPr="004B7A48">
      <w:rPr>
        <w:b/>
        <w:sz w:val="18"/>
      </w:rPr>
      <w:instrText xml:space="preserve"> PAGE  \* MERGEFORMAT </w:instrText>
    </w:r>
    <w:r w:rsidRPr="004B7A48">
      <w:rPr>
        <w:b/>
        <w:sz w:val="18"/>
      </w:rPr>
      <w:fldChar w:fldCharType="separate"/>
    </w:r>
    <w:r w:rsidRPr="004B7A48">
      <w:rPr>
        <w:b/>
        <w:noProof/>
        <w:sz w:val="18"/>
      </w:rPr>
      <w:t>3</w:t>
    </w:r>
    <w:r w:rsidRPr="004B7A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64AD" w14:textId="77777777" w:rsidR="007F20FA" w:rsidRPr="004B7A48" w:rsidRDefault="004B7A48" w:rsidP="004B7A4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6AE7E12" wp14:editId="2F27439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20-08079  (F)    080720    090720</w:t>
    </w:r>
    <w:r>
      <w:rPr>
        <w:sz w:val="20"/>
      </w:rPr>
      <w:br/>
    </w:r>
    <w:r w:rsidRPr="004B7A48">
      <w:rPr>
        <w:rFonts w:ascii="C39T30Lfz" w:hAnsi="C39T30Lfz"/>
        <w:sz w:val="56"/>
      </w:rPr>
      <w:t></w:t>
    </w:r>
    <w:r w:rsidRPr="004B7A48">
      <w:rPr>
        <w:rFonts w:ascii="C39T30Lfz" w:hAnsi="C39T30Lfz"/>
        <w:sz w:val="56"/>
      </w:rPr>
      <w:t></w:t>
    </w:r>
    <w:r w:rsidRPr="004B7A48">
      <w:rPr>
        <w:rFonts w:ascii="C39T30Lfz" w:hAnsi="C39T30Lfz"/>
        <w:sz w:val="56"/>
      </w:rPr>
      <w:t></w:t>
    </w:r>
    <w:r w:rsidRPr="004B7A48">
      <w:rPr>
        <w:rFonts w:ascii="C39T30Lfz" w:hAnsi="C39T30Lfz"/>
        <w:sz w:val="56"/>
      </w:rPr>
      <w:t></w:t>
    </w:r>
    <w:r w:rsidRPr="004B7A48">
      <w:rPr>
        <w:rFonts w:ascii="C39T30Lfz" w:hAnsi="C39T30Lfz"/>
        <w:sz w:val="56"/>
      </w:rPr>
      <w:t></w:t>
    </w:r>
    <w:r w:rsidRPr="004B7A48">
      <w:rPr>
        <w:rFonts w:ascii="C39T30Lfz" w:hAnsi="C39T30Lfz"/>
        <w:sz w:val="56"/>
      </w:rPr>
      <w:t></w:t>
    </w:r>
    <w:r w:rsidRPr="004B7A48">
      <w:rPr>
        <w:rFonts w:ascii="C39T30Lfz" w:hAnsi="C39T30Lfz"/>
        <w:sz w:val="56"/>
      </w:rPr>
      <w:t></w:t>
    </w:r>
    <w:r w:rsidRPr="004B7A48">
      <w:rPr>
        <w:rFonts w:ascii="C39T30Lfz" w:hAnsi="C39T30Lfz"/>
        <w:sz w:val="56"/>
      </w:rPr>
      <w:t></w:t>
    </w:r>
    <w:r w:rsidRPr="004B7A48">
      <w:rPr>
        <w:rFonts w:ascii="C39T30Lfz" w:hAnsi="C39T30Lfz"/>
        <w:sz w:val="56"/>
      </w:rPr>
      <w:t></w:t>
    </w:r>
    <w:r>
      <w:rPr>
        <w:noProof/>
        <w:sz w:val="20"/>
      </w:rPr>
      <w:drawing>
        <wp:anchor distT="0" distB="0" distL="114300" distR="114300" simplePos="0" relativeHeight="251658240" behindDoc="0" locked="0" layoutInCell="1" allowOverlap="1" wp14:anchorId="1059DE64" wp14:editId="62B55B9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FC6FC" w14:textId="77777777" w:rsidR="00FB46C5" w:rsidRPr="00AC3823" w:rsidRDefault="00FB46C5" w:rsidP="00AC3823">
      <w:pPr>
        <w:pStyle w:val="Pieddepage"/>
        <w:tabs>
          <w:tab w:val="right" w:pos="2155"/>
        </w:tabs>
        <w:spacing w:after="80" w:line="240" w:lineRule="atLeast"/>
        <w:ind w:left="680"/>
        <w:rPr>
          <w:u w:val="single"/>
        </w:rPr>
      </w:pPr>
      <w:r>
        <w:rPr>
          <w:u w:val="single"/>
        </w:rPr>
        <w:tab/>
      </w:r>
    </w:p>
  </w:footnote>
  <w:footnote w:type="continuationSeparator" w:id="0">
    <w:p w14:paraId="09DD4DE6" w14:textId="77777777" w:rsidR="00FB46C5" w:rsidRPr="00AC3823" w:rsidRDefault="00FB46C5" w:rsidP="00AC3823">
      <w:pPr>
        <w:pStyle w:val="Pieddepage"/>
        <w:tabs>
          <w:tab w:val="right" w:pos="2155"/>
        </w:tabs>
        <w:spacing w:after="80" w:line="240" w:lineRule="atLeast"/>
        <w:ind w:left="680"/>
        <w:rPr>
          <w:u w:val="single"/>
        </w:rPr>
      </w:pPr>
      <w:r>
        <w:rPr>
          <w:u w:val="single"/>
        </w:rPr>
        <w:tab/>
      </w:r>
    </w:p>
  </w:footnote>
  <w:footnote w:type="continuationNotice" w:id="1">
    <w:p w14:paraId="1032ACD0" w14:textId="77777777" w:rsidR="00FB46C5" w:rsidRPr="00AC3823" w:rsidRDefault="00FB46C5">
      <w:pPr>
        <w:spacing w:line="240" w:lineRule="auto"/>
        <w:rPr>
          <w:sz w:val="2"/>
          <w:szCs w:val="2"/>
        </w:rPr>
      </w:pPr>
    </w:p>
  </w:footnote>
  <w:footnote w:id="2">
    <w:p w14:paraId="6286E78C" w14:textId="77777777" w:rsidR="004B7A48" w:rsidRPr="005D3FD3" w:rsidRDefault="004B7A48" w:rsidP="004B7A48">
      <w:pPr>
        <w:pStyle w:val="Notedebasdepage"/>
        <w:rPr>
          <w:lang w:val="fr-FR"/>
        </w:rPr>
      </w:pPr>
      <w:r>
        <w:rPr>
          <w:lang w:val="fr-FR"/>
        </w:rPr>
        <w:tab/>
      </w:r>
      <w:r w:rsidRPr="004B7A48">
        <w:rPr>
          <w:sz w:val="20"/>
          <w:lang w:val="fr-FR"/>
        </w:rPr>
        <w:t>*</w:t>
      </w:r>
      <w:r>
        <w:rPr>
          <w:lang w:val="fr-FR"/>
        </w:rPr>
        <w:tab/>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B79A5" w14:textId="23AB80C8" w:rsidR="004B7A48" w:rsidRPr="004B7A48" w:rsidRDefault="00943896">
    <w:pPr>
      <w:pStyle w:val="En-tte"/>
    </w:pPr>
    <w:r>
      <w:fldChar w:fldCharType="begin"/>
    </w:r>
    <w:r>
      <w:instrText xml:space="preserve"> TITLE  \* MERGEFORMAT </w:instrText>
    </w:r>
    <w:r>
      <w:fldChar w:fldCharType="separate"/>
    </w:r>
    <w:r w:rsidR="000854C9">
      <w:t>ECE/TRANS/WP.29/GRBP/2020/10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CCBBC" w14:textId="734C8BF4" w:rsidR="004B7A48" w:rsidRPr="004B7A48" w:rsidRDefault="00943896" w:rsidP="004B7A48">
    <w:pPr>
      <w:pStyle w:val="En-tte"/>
      <w:jc w:val="right"/>
    </w:pPr>
    <w:r>
      <w:fldChar w:fldCharType="begin"/>
    </w:r>
    <w:r>
      <w:instrText xml:space="preserve"> TITLE  \* MERGEFORMAT </w:instrText>
    </w:r>
    <w:r>
      <w:fldChar w:fldCharType="separate"/>
    </w:r>
    <w:r w:rsidR="000854C9">
      <w:t>ECE/TRANS/WP.29/GRBP/2020/10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378C5"/>
    <w:multiLevelType w:val="hybridMultilevel"/>
    <w:tmpl w:val="F1E0CCAA"/>
    <w:lvl w:ilvl="0" w:tplc="04090001">
      <w:start w:val="1"/>
      <w:numFmt w:val="bullet"/>
      <w:lvlText w:val=""/>
      <w:lvlJc w:val="left"/>
      <w:pPr>
        <w:ind w:left="1854" w:hanging="360"/>
      </w:pPr>
      <w:rPr>
        <w:rFonts w:ascii="Symbol" w:hAnsi="Symbol" w:hint="default"/>
      </w:rPr>
    </w:lvl>
    <w:lvl w:ilvl="1" w:tplc="43CAE7AC">
      <w:numFmt w:val="bullet"/>
      <w:lvlText w:val=""/>
      <w:lvlJc w:val="left"/>
      <w:pPr>
        <w:ind w:left="2790" w:hanging="576"/>
      </w:pPr>
      <w:rPr>
        <w:rFonts w:ascii="Times New Roman" w:eastAsia="Times New Roman" w:hAnsi="Times New Roman"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0AA1654D"/>
    <w:multiLevelType w:val="hybridMultilevel"/>
    <w:tmpl w:val="28EC38AE"/>
    <w:lvl w:ilvl="0" w:tplc="0409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851B33"/>
    <w:multiLevelType w:val="hybridMultilevel"/>
    <w:tmpl w:val="738422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B14E6D48">
      <w:start w:val="9"/>
      <w:numFmt w:val="decimal"/>
      <w:lvlText w:val="%3."/>
      <w:lvlJc w:val="left"/>
      <w:pPr>
        <w:ind w:left="2160" w:hanging="180"/>
      </w:pPr>
      <w:rPr>
        <w:rFonts w:hint="default"/>
        <w:b/>
        <w:bCs/>
        <w:color w:val="auto"/>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66626F"/>
    <w:multiLevelType w:val="hybridMultilevel"/>
    <w:tmpl w:val="3230D5F6"/>
    <w:lvl w:ilvl="0" w:tplc="5496815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F4456"/>
    <w:multiLevelType w:val="hybridMultilevel"/>
    <w:tmpl w:val="B3E0096A"/>
    <w:lvl w:ilvl="0" w:tplc="0409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1730F0A"/>
    <w:multiLevelType w:val="hybridMultilevel"/>
    <w:tmpl w:val="420079C6"/>
    <w:lvl w:ilvl="0" w:tplc="0409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45BA243E"/>
    <w:multiLevelType w:val="hybridMultilevel"/>
    <w:tmpl w:val="271A762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5B6F6E87"/>
    <w:multiLevelType w:val="hybridMultilevel"/>
    <w:tmpl w:val="1B480B9E"/>
    <w:lvl w:ilvl="0" w:tplc="040C0005">
      <w:start w:val="1"/>
      <w:numFmt w:val="bullet"/>
      <w:lvlText w:val=""/>
      <w:lvlJc w:val="left"/>
      <w:pPr>
        <w:ind w:left="1854" w:hanging="360"/>
      </w:pPr>
      <w:rPr>
        <w:rFonts w:ascii="Wingdings" w:hAnsi="Wingdings" w:hint="default"/>
      </w:rPr>
    </w:lvl>
    <w:lvl w:ilvl="1" w:tplc="04090001">
      <w:start w:val="1"/>
      <w:numFmt w:val="bullet"/>
      <w:lvlText w:val=""/>
      <w:lvlJc w:val="left"/>
      <w:pPr>
        <w:ind w:left="2574" w:hanging="360"/>
      </w:pPr>
      <w:rPr>
        <w:rFonts w:ascii="Symbol" w:hAnsi="Symbol" w:hint="default"/>
      </w:rPr>
    </w:lvl>
    <w:lvl w:ilvl="2" w:tplc="5496815C">
      <w:start w:val="1"/>
      <w:numFmt w:val="bullet"/>
      <w:lvlText w:val="-"/>
      <w:lvlJc w:val="left"/>
      <w:pPr>
        <w:ind w:left="3294" w:hanging="360"/>
      </w:pPr>
      <w:rPr>
        <w:rFonts w:ascii="Times New Roman" w:eastAsiaTheme="minorEastAsia" w:hAnsi="Times New Roman" w:cs="Times New Roman"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6"/>
  </w:num>
  <w:num w:numId="16">
    <w:abstractNumId w:val="12"/>
  </w:num>
  <w:num w:numId="17">
    <w:abstractNumId w:val="13"/>
    <w:lvlOverride w:ilvl="2">
      <w:lvl w:ilvl="2" w:tplc="B14E6D48">
        <w:start w:val="9"/>
        <w:numFmt w:val="decimal"/>
        <w:lvlText w:val="%1.%2.%3."/>
        <w:lvlJc w:val="left"/>
        <w:pPr>
          <w:ind w:left="2160" w:hanging="180"/>
        </w:pPr>
        <w:rPr>
          <w:rFonts w:hint="default"/>
          <w:b/>
          <w:bCs/>
          <w:color w:val="auto"/>
        </w:rPr>
      </w:lvl>
    </w:lvlOverride>
  </w:num>
  <w:num w:numId="18">
    <w:abstractNumId w:val="17"/>
    <w:lvlOverride w:ilvl="0">
      <w:lvl w:ilvl="0" w:tplc="04090001">
        <w:start w:val="1"/>
        <w:numFmt w:val="bullet"/>
        <w:lvlText w:val=""/>
        <w:lvlJc w:val="left"/>
        <w:pPr>
          <w:ind w:left="1854" w:hanging="360"/>
        </w:pPr>
        <w:rPr>
          <w:rFonts w:ascii="Symbol" w:hAnsi="Symbol" w:hint="default"/>
        </w:rPr>
      </w:lvl>
    </w:lvlOverride>
  </w:num>
  <w:num w:numId="19">
    <w:abstractNumId w:val="10"/>
    <w:lvlOverride w:ilvl="0">
      <w:lvl w:ilvl="0" w:tplc="04090001">
        <w:start w:val="1"/>
        <w:numFmt w:val="bullet"/>
        <w:lvlText w:val=""/>
        <w:lvlJc w:val="left"/>
        <w:pPr>
          <w:ind w:left="1854" w:hanging="360"/>
        </w:pPr>
        <w:rPr>
          <w:rFonts w:ascii="Symbol" w:hAnsi="Symbol" w:hint="default"/>
        </w:rPr>
      </w:lvl>
    </w:lvlOverride>
  </w:num>
  <w:num w:numId="20">
    <w:abstractNumId w:val="19"/>
    <w:lvlOverride w:ilvl="1">
      <w:lvl w:ilvl="1" w:tplc="04090001">
        <w:start w:val="1"/>
        <w:numFmt w:val="bullet"/>
        <w:lvlText w:val=""/>
        <w:lvlJc w:val="left"/>
        <w:pPr>
          <w:ind w:left="2574" w:hanging="360"/>
        </w:pPr>
        <w:rPr>
          <w:rFonts w:ascii="Symbol" w:hAnsi="Symbol" w:hint="default"/>
        </w:rPr>
      </w:lvl>
    </w:lvlOverride>
  </w:num>
  <w:num w:numId="21">
    <w:abstractNumId w:val="15"/>
    <w:lvlOverride w:ilvl="0">
      <w:lvl w:ilvl="0" w:tplc="04090001">
        <w:start w:val="1"/>
        <w:numFmt w:val="bullet"/>
        <w:lvlText w:val=""/>
        <w:lvlJc w:val="left"/>
        <w:pPr>
          <w:ind w:left="1854" w:hanging="360"/>
        </w:pPr>
        <w:rPr>
          <w:rFonts w:ascii="Symbol" w:hAnsi="Symbol" w:hint="default"/>
        </w:rPr>
      </w:lvl>
    </w:lvlOverride>
  </w:num>
  <w:num w:numId="22">
    <w:abstractNumId w:val="11"/>
    <w:lvlOverride w:ilvl="0">
      <w:lvl w:ilvl="0" w:tplc="04090001">
        <w:start w:val="1"/>
        <w:numFmt w:val="bullet"/>
        <w:lvlText w:val=""/>
        <w:lvlJc w:val="left"/>
        <w:pPr>
          <w:ind w:left="1854" w:hanging="360"/>
        </w:pPr>
        <w:rPr>
          <w:rFonts w:ascii="Symbol" w:hAnsi="Symbol" w:hint="default"/>
        </w:rPr>
      </w:lvl>
    </w:lvlOverride>
  </w:num>
  <w:num w:numId="23">
    <w:abstractNumId w:val="18"/>
    <w:lvlOverride w:ilvl="2">
      <w:lvl w:ilvl="2" w:tplc="04090001">
        <w:start w:val="1"/>
        <w:numFmt w:val="bullet"/>
        <w:lvlText w:val=""/>
        <w:lvlJc w:val="left"/>
        <w:pPr>
          <w:ind w:left="3294" w:hanging="360"/>
        </w:pPr>
        <w:rPr>
          <w:rFonts w:ascii="Symbol" w:hAnsi="Symbol" w:hint="default"/>
        </w:rPr>
      </w:lvl>
    </w:lvlOverride>
  </w:num>
  <w:num w:numId="24">
    <w:abstractNumId w:val="14"/>
    <w:lvlOverride w:ilvl="4">
      <w:lvl w:ilvl="4" w:tplc="04090001">
        <w:start w:val="1"/>
        <w:numFmt w:val="bullet"/>
        <w:lvlText w:val=""/>
        <w:lvlJc w:val="left"/>
        <w:pPr>
          <w:ind w:left="3600" w:hanging="360"/>
        </w:pPr>
        <w:rPr>
          <w:rFonts w:ascii="Symbol" w:hAnsi="Symbol" w:hint="default"/>
        </w:rPr>
      </w:lvl>
    </w:lvlOverride>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46C5"/>
    <w:rsid w:val="00017F94"/>
    <w:rsid w:val="00023842"/>
    <w:rsid w:val="000334F9"/>
    <w:rsid w:val="00045FEB"/>
    <w:rsid w:val="0007796D"/>
    <w:rsid w:val="000854C9"/>
    <w:rsid w:val="000B7790"/>
    <w:rsid w:val="00111F2F"/>
    <w:rsid w:val="0014365E"/>
    <w:rsid w:val="00143C66"/>
    <w:rsid w:val="00176178"/>
    <w:rsid w:val="001F525A"/>
    <w:rsid w:val="00223272"/>
    <w:rsid w:val="0024779E"/>
    <w:rsid w:val="00257168"/>
    <w:rsid w:val="002744B8"/>
    <w:rsid w:val="002832AC"/>
    <w:rsid w:val="002B41FD"/>
    <w:rsid w:val="002D7C93"/>
    <w:rsid w:val="00305801"/>
    <w:rsid w:val="00364C24"/>
    <w:rsid w:val="003916DE"/>
    <w:rsid w:val="00421996"/>
    <w:rsid w:val="00441C3B"/>
    <w:rsid w:val="00446FE5"/>
    <w:rsid w:val="00452396"/>
    <w:rsid w:val="004837D8"/>
    <w:rsid w:val="004B7A48"/>
    <w:rsid w:val="004E2EED"/>
    <w:rsid w:val="004E468C"/>
    <w:rsid w:val="005505B7"/>
    <w:rsid w:val="00573BE5"/>
    <w:rsid w:val="00586ED3"/>
    <w:rsid w:val="00596AA9"/>
    <w:rsid w:val="0071601D"/>
    <w:rsid w:val="007A62E6"/>
    <w:rsid w:val="007F20FA"/>
    <w:rsid w:val="0080684C"/>
    <w:rsid w:val="0081712F"/>
    <w:rsid w:val="00871C75"/>
    <w:rsid w:val="008776DC"/>
    <w:rsid w:val="00943896"/>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24313"/>
    <w:rsid w:val="00D3439C"/>
    <w:rsid w:val="00DA6A51"/>
    <w:rsid w:val="00DB1831"/>
    <w:rsid w:val="00DD3BFD"/>
    <w:rsid w:val="00DE7196"/>
    <w:rsid w:val="00DF6678"/>
    <w:rsid w:val="00E0299A"/>
    <w:rsid w:val="00E43FD8"/>
    <w:rsid w:val="00E85C74"/>
    <w:rsid w:val="00EA6547"/>
    <w:rsid w:val="00EF2E22"/>
    <w:rsid w:val="00F35BAF"/>
    <w:rsid w:val="00F660DF"/>
    <w:rsid w:val="00F94664"/>
    <w:rsid w:val="00F9573C"/>
    <w:rsid w:val="00F95C08"/>
    <w:rsid w:val="00FB46C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06055E"/>
  <w15:docId w15:val="{6CFE3150-A617-47F7-9444-929E817A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4B7A48"/>
    <w:rPr>
      <w:rFonts w:ascii="Times New Roman" w:eastAsiaTheme="minorHAnsi" w:hAnsi="Times New Roman" w:cs="Times New Roman"/>
      <w:sz w:val="20"/>
      <w:szCs w:val="20"/>
      <w:lang w:eastAsia="en-US"/>
    </w:rPr>
  </w:style>
  <w:style w:type="character" w:customStyle="1" w:styleId="HChGChar">
    <w:name w:val="_ H _Ch_G Char"/>
    <w:link w:val="HChG"/>
    <w:rsid w:val="004B7A48"/>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4B7A48"/>
    <w:pPr>
      <w:suppressAutoHyphens w:val="0"/>
      <w:kinsoku/>
      <w:overflowPunct/>
      <w:autoSpaceDE/>
      <w:autoSpaceDN/>
      <w:adjustRightInd/>
      <w:snapToGrid/>
      <w:spacing w:line="240" w:lineRule="auto"/>
      <w:ind w:left="720"/>
      <w:contextualSpacing/>
    </w:pPr>
    <w:rPr>
      <w:rFonts w:eastAsiaTheme="minorEastAsia"/>
      <w:sz w:val="24"/>
      <w:szCs w:val="24"/>
      <w:lang w:val="en-GB" w:eastAsia="en-GB"/>
    </w:rPr>
  </w:style>
  <w:style w:type="character" w:customStyle="1" w:styleId="H1GChar">
    <w:name w:val="_ H_1_G Char"/>
    <w:link w:val="H1G"/>
    <w:rsid w:val="004B7A48"/>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4</Pages>
  <Words>1394</Words>
  <Characters>7578</Characters>
  <Application>Microsoft Office Word</Application>
  <DocSecurity>0</DocSecurity>
  <Lines>153</Lines>
  <Paragraphs>76</Paragraphs>
  <ScaleCrop>false</ScaleCrop>
  <HeadingPairs>
    <vt:vector size="2" baseType="variant">
      <vt:variant>
        <vt:lpstr>Titre</vt:lpstr>
      </vt:variant>
      <vt:variant>
        <vt:i4>1</vt:i4>
      </vt:variant>
    </vt:vector>
  </HeadingPairs>
  <TitlesOfParts>
    <vt:vector size="1" baseType="lpstr">
      <vt:lpstr>ECE/TRANS/WP.29/GRBP/2020/10</vt:lpstr>
    </vt:vector>
  </TitlesOfParts>
  <Company>DCM</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ECE/TRANS/WP.29/GRBP/2020/10</dc:title>
  <dc:subject/>
  <dc:creator>Sandrine CLERE</dc:creator>
  <cp:keywords/>
  <cp:lastModifiedBy>Sandrine CLERE</cp:lastModifiedBy>
  <cp:revision>4</cp:revision>
  <cp:lastPrinted>2020-07-09T05:08:00Z</cp:lastPrinted>
  <dcterms:created xsi:type="dcterms:W3CDTF">2020-07-09T05:08:00Z</dcterms:created>
  <dcterms:modified xsi:type="dcterms:W3CDTF">2020-07-09T05:10:00Z</dcterms:modified>
</cp:coreProperties>
</file>