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2FF39124"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w:t>
            </w:r>
            <w:r w:rsidR="00CE7914">
              <w:t>2020/</w:t>
            </w:r>
            <w:r w:rsidR="00D61338">
              <w:t>3</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6236C1C2" w:rsidR="00803BF8" w:rsidRPr="00593753" w:rsidRDefault="00CE7914" w:rsidP="00D5792F">
            <w:pPr>
              <w:spacing w:line="240" w:lineRule="exact"/>
            </w:pPr>
            <w:r>
              <w:t>11 November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1FDDA10" w:rsidR="0054033E" w:rsidRPr="00744CCE" w:rsidRDefault="00CE7914" w:rsidP="00744CCE">
      <w:pPr>
        <w:spacing w:before="120"/>
        <w:rPr>
          <w:rFonts w:eastAsia="Times New Roman"/>
          <w:b/>
        </w:rPr>
      </w:pPr>
      <w:r>
        <w:rPr>
          <w:rFonts w:eastAsia="Times New Roman"/>
          <w:b/>
        </w:rPr>
        <w:t xml:space="preserve">Seventy-first </w:t>
      </w:r>
      <w:r w:rsidR="0054033E" w:rsidRPr="00744CCE">
        <w:rPr>
          <w:rFonts w:eastAsia="Times New Roman"/>
          <w:b/>
        </w:rPr>
        <w:t>session</w:t>
      </w:r>
    </w:p>
    <w:p w14:paraId="344AECBD" w14:textId="5CBC682A" w:rsidR="0054033E" w:rsidRPr="00D315CD" w:rsidRDefault="0054033E" w:rsidP="0054033E">
      <w:pPr>
        <w:rPr>
          <w:bCs/>
        </w:rPr>
      </w:pPr>
      <w:r w:rsidRPr="00D315CD">
        <w:t>Geneva</w:t>
      </w:r>
      <w:r w:rsidR="006E04E4">
        <w:rPr>
          <w:bCs/>
        </w:rPr>
        <w:t xml:space="preserve">, </w:t>
      </w:r>
      <w:r w:rsidR="00CE7914">
        <w:rPr>
          <w:bCs/>
        </w:rPr>
        <w:t>28</w:t>
      </w:r>
      <w:r w:rsidR="00366990">
        <w:rPr>
          <w:bCs/>
        </w:rPr>
        <w:t>-</w:t>
      </w:r>
      <w:r w:rsidR="00CE7914">
        <w:rPr>
          <w:bCs/>
        </w:rPr>
        <w:t xml:space="preserve">31 January 2020 </w:t>
      </w:r>
    </w:p>
    <w:p w14:paraId="3968ED85" w14:textId="5AF29E74" w:rsidR="0054033E" w:rsidRPr="00D912FF" w:rsidRDefault="0054033E" w:rsidP="0054033E">
      <w:pPr>
        <w:ind w:right="1134"/>
        <w:rPr>
          <w:bCs/>
        </w:rPr>
      </w:pPr>
      <w:r w:rsidRPr="00D912FF">
        <w:rPr>
          <w:bCs/>
        </w:rPr>
        <w:t xml:space="preserve">Item </w:t>
      </w:r>
      <w:r w:rsidR="004D5C98">
        <w:rPr>
          <w:bCs/>
        </w:rPr>
        <w:t xml:space="preserve">5 (a) </w:t>
      </w:r>
      <w:r w:rsidRPr="00D912FF">
        <w:rPr>
          <w:bCs/>
        </w:rPr>
        <w:t>of the provisional agenda</w:t>
      </w:r>
    </w:p>
    <w:p w14:paraId="096CDF83" w14:textId="26CACD23" w:rsidR="0054033E" w:rsidRPr="00E11E7B" w:rsidRDefault="004D5C98" w:rsidP="00E11E7B">
      <w:pPr>
        <w:rPr>
          <w:lang w:val="en-US"/>
        </w:rPr>
      </w:pPr>
      <w:r>
        <w:rPr>
          <w:b/>
        </w:rPr>
        <w:t>Tyres</w:t>
      </w:r>
      <w:r w:rsidR="00366990">
        <w:rPr>
          <w:b/>
        </w:rPr>
        <w:t xml:space="preserve">: </w:t>
      </w:r>
      <w:r w:rsidR="002A3CE6">
        <w:rPr>
          <w:b/>
          <w:lang w:val="en-US"/>
        </w:rPr>
        <w:t xml:space="preserve">UN </w:t>
      </w:r>
      <w:r w:rsidR="007F19F0" w:rsidRPr="009A03A7">
        <w:rPr>
          <w:b/>
          <w:lang w:val="en-US"/>
        </w:rPr>
        <w:t xml:space="preserve">Regulation No. </w:t>
      </w:r>
      <w:r>
        <w:rPr>
          <w:b/>
          <w:lang w:val="en-US"/>
        </w:rPr>
        <w:t>30</w:t>
      </w:r>
      <w:r w:rsidR="007F19F0" w:rsidRPr="009A03A7">
        <w:rPr>
          <w:b/>
          <w:lang w:val="en-US"/>
        </w:rPr>
        <w:t xml:space="preserve"> </w:t>
      </w:r>
      <w:r w:rsidRPr="004D5C98">
        <w:rPr>
          <w:b/>
          <w:lang w:val="en-US"/>
        </w:rPr>
        <w:t>(</w:t>
      </w:r>
      <w:proofErr w:type="spellStart"/>
      <w:r w:rsidRPr="004D5C98">
        <w:rPr>
          <w:b/>
          <w:lang w:val="en-US"/>
        </w:rPr>
        <w:t>Tyres</w:t>
      </w:r>
      <w:proofErr w:type="spellEnd"/>
      <w:r w:rsidRPr="004D5C98">
        <w:rPr>
          <w:b/>
          <w:lang w:val="en-US"/>
        </w:rPr>
        <w:t xml:space="preserve"> for passenger cars and their trailers)</w:t>
      </w:r>
    </w:p>
    <w:p w14:paraId="30C7500D" w14:textId="5EF8B9C4" w:rsidR="007F19F0" w:rsidRPr="004124C8" w:rsidRDefault="004124C8" w:rsidP="00573F4C">
      <w:pPr>
        <w:pStyle w:val="HChG"/>
        <w:rPr>
          <w:rFonts w:eastAsia="Times New Roman"/>
        </w:rPr>
      </w:pPr>
      <w:r>
        <w:rPr>
          <w:rFonts w:eastAsia="Times New Roman"/>
        </w:rPr>
        <w:tab/>
      </w:r>
      <w:r>
        <w:rPr>
          <w:rFonts w:eastAsia="Times New Roman"/>
        </w:rPr>
        <w:tab/>
      </w:r>
      <w:r w:rsidR="00395535" w:rsidRPr="00395535">
        <w:rPr>
          <w:rFonts w:eastAsia="Times New Roman"/>
        </w:rPr>
        <w:t xml:space="preserve">Proposal for amendments to UN Regulation No. </w:t>
      </w:r>
      <w:r w:rsidR="00BE3F62">
        <w:rPr>
          <w:rFonts w:eastAsia="Times New Roman"/>
        </w:rPr>
        <w:t>30</w:t>
      </w:r>
      <w:r w:rsidR="006D55AE">
        <w:rPr>
          <w:rFonts w:eastAsia="Times New Roman"/>
        </w:rPr>
        <w:t xml:space="preserve"> </w:t>
      </w:r>
      <w:r w:rsidR="00E11E7B">
        <w:rPr>
          <w:rFonts w:eastAsia="Times New Roman"/>
        </w:rPr>
        <w:t xml:space="preserve"> </w:t>
      </w:r>
    </w:p>
    <w:p w14:paraId="6956C3AF" w14:textId="346651DD" w:rsidR="0054033E" w:rsidRPr="00D315CD" w:rsidRDefault="004D5C98" w:rsidP="007021C0">
      <w:pPr>
        <w:pStyle w:val="H1G"/>
        <w:ind w:right="1467" w:firstLine="0"/>
      </w:pPr>
      <w:r w:rsidRPr="004D5C98">
        <w:t>Submitted by the experts from the European Tyre and Rim Technical Organisation</w:t>
      </w:r>
      <w:r w:rsidR="00F4611C" w:rsidRPr="008B64E0">
        <w:rPr>
          <w:rFonts w:ascii="Times New Roman Bold" w:hAnsi="Times New Roman Bold"/>
          <w:sz w:val="20"/>
          <w:vertAlign w:val="superscript"/>
        </w:rPr>
        <w:footnoteReference w:customMarkFollows="1" w:id="2"/>
        <w:t>*</w:t>
      </w:r>
    </w:p>
    <w:p w14:paraId="409DFCEC" w14:textId="0BF1D88A" w:rsidR="0054033E" w:rsidRPr="006A2893" w:rsidRDefault="00395535" w:rsidP="002D1FF1">
      <w:pPr>
        <w:pStyle w:val="SingleTxtG"/>
      </w:pPr>
      <w:r>
        <w:tab/>
      </w:r>
      <w:r>
        <w:tab/>
      </w:r>
      <w:r w:rsidR="004D5C98" w:rsidRPr="004D5C98">
        <w:t>The text reproduced below was prepared by the experts from the European Tyre and Rim Technical Organisation (ETRTO). The modifications to the existing text of the UN Regulation are marked in bold for new or strikethrough for deleted characters.</w:t>
      </w:r>
      <w:r w:rsidR="004D5C98">
        <w:t xml:space="preserve"> </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13B08CB3" w14:textId="4D2C8018" w:rsidR="004D5C98" w:rsidRPr="00B70E73" w:rsidRDefault="004D5C98" w:rsidP="00704F7F">
      <w:pPr>
        <w:spacing w:after="120"/>
        <w:ind w:left="1134" w:right="1134"/>
        <w:jc w:val="both"/>
      </w:pPr>
      <w:r>
        <w:rPr>
          <w:i/>
        </w:rPr>
        <w:t>Paragraph 2.9.2</w:t>
      </w:r>
      <w:r w:rsidR="00366990">
        <w:rPr>
          <w:i/>
        </w:rPr>
        <w:t>.</w:t>
      </w:r>
      <w:r>
        <w:rPr>
          <w:i/>
        </w:rPr>
        <w:t xml:space="preserve">, </w:t>
      </w:r>
      <w:r>
        <w:t>amend to read:</w:t>
      </w:r>
    </w:p>
    <w:p w14:paraId="16234E81" w14:textId="5D2A40CB" w:rsidR="004D5C98" w:rsidRPr="00190AF6" w:rsidRDefault="00704F7F" w:rsidP="00704F7F">
      <w:pPr>
        <w:spacing w:after="120"/>
        <w:ind w:left="2268" w:right="1134" w:hanging="1134"/>
        <w:jc w:val="both"/>
      </w:pPr>
      <w:r>
        <w:t>"</w:t>
      </w:r>
      <w:r w:rsidR="004D5C98" w:rsidRPr="00190AF6">
        <w:t>2.</w:t>
      </w:r>
      <w:r w:rsidR="004D5C98">
        <w:t>9</w:t>
      </w:r>
      <w:r w:rsidR="004D5C98" w:rsidRPr="00190AF6">
        <w:t>.2</w:t>
      </w:r>
      <w:r w:rsidR="004D5C98">
        <w:t>.</w:t>
      </w:r>
      <w:r w:rsidR="004D5C98" w:rsidRPr="00190AF6">
        <w:tab/>
      </w:r>
      <w:r>
        <w:tab/>
      </w:r>
      <w:r w:rsidR="004D5C98" w:rsidRPr="00190AF6">
        <w:t>"</w:t>
      </w:r>
      <w:r w:rsidR="004D5C98" w:rsidRPr="00190AF6">
        <w:rPr>
          <w:u w:val="single"/>
        </w:rPr>
        <w:t>Bias-belted</w:t>
      </w:r>
      <w:r w:rsidR="004D5C98" w:rsidRPr="00190AF6">
        <w:t xml:space="preserve">" describes a tyre structure </w:t>
      </w:r>
      <w:r w:rsidR="004D5C98" w:rsidRPr="007C717F">
        <w:rPr>
          <w:strike/>
        </w:rPr>
        <w:t xml:space="preserve">of diagonal (bias-ply) type </w:t>
      </w:r>
      <w:r w:rsidR="004D5C98" w:rsidRPr="00190AF6">
        <w:t xml:space="preserve">in which </w:t>
      </w:r>
      <w:r w:rsidR="004D5C98" w:rsidRPr="007C717F">
        <w:rPr>
          <w:strike/>
        </w:rPr>
        <w:t xml:space="preserve">the carcass is </w:t>
      </w:r>
      <w:r w:rsidR="004D5C98" w:rsidRPr="007C717F">
        <w:rPr>
          <w:b/>
        </w:rPr>
        <w:t>the ply cords that extend to the beads are laid at alternate angles of substantially less than 90° to the centre line of the tread, the structure being</w:t>
      </w:r>
      <w:r w:rsidR="004D5C98" w:rsidRPr="00B70E73">
        <w:t xml:space="preserve"> </w:t>
      </w:r>
      <w:r w:rsidR="004D5C98" w:rsidRPr="00190AF6">
        <w:t xml:space="preserve">restricted by a belt comprising </w:t>
      </w:r>
      <w:r w:rsidR="004D5C98" w:rsidRPr="00B70E73">
        <w:rPr>
          <w:strike/>
        </w:rPr>
        <w:t xml:space="preserve">two </w:t>
      </w:r>
      <w:r w:rsidR="004D5C98">
        <w:rPr>
          <w:b/>
        </w:rPr>
        <w:t>one</w:t>
      </w:r>
      <w:r w:rsidR="004D5C98" w:rsidRPr="00190AF6">
        <w:t xml:space="preserve"> or more layers of substantially inextensible cord material </w:t>
      </w:r>
      <w:r w:rsidR="004D5C98" w:rsidRPr="00B70E73">
        <w:rPr>
          <w:strike/>
        </w:rPr>
        <w:t xml:space="preserve">laid at alternate </w:t>
      </w:r>
      <w:r w:rsidR="004D5C98" w:rsidRPr="00E641E5">
        <w:rPr>
          <w:strike/>
        </w:rPr>
        <w:t>angles close to those of the carcass</w:t>
      </w:r>
      <w:r w:rsidR="004D5C98" w:rsidRPr="00190AF6">
        <w:t>;</w:t>
      </w:r>
      <w:r>
        <w:t>"</w:t>
      </w:r>
    </w:p>
    <w:p w14:paraId="5EA4D9F6" w14:textId="4A2139DF" w:rsidR="004D5C98" w:rsidRDefault="00704F7F" w:rsidP="00704F7F">
      <w:pPr>
        <w:spacing w:after="120"/>
        <w:ind w:left="1134" w:right="1134"/>
        <w:jc w:val="both"/>
        <w:rPr>
          <w:i/>
        </w:rPr>
      </w:pPr>
      <w:r>
        <w:rPr>
          <w:i/>
        </w:rPr>
        <w:t xml:space="preserve">Paragraph 3.1.15. </w:t>
      </w:r>
      <w:r w:rsidRPr="00704F7F">
        <w:rPr>
          <w:iCs/>
        </w:rPr>
        <w:t>r</w:t>
      </w:r>
      <w:r w:rsidR="004D5C98" w:rsidRPr="00704F7F">
        <w:rPr>
          <w:iCs/>
        </w:rPr>
        <w:t>enumber to 3.1.14.</w:t>
      </w:r>
    </w:p>
    <w:p w14:paraId="49DA48F1" w14:textId="76BFEB58" w:rsidR="004D5C98" w:rsidRPr="00B96206" w:rsidRDefault="004D5C98" w:rsidP="00704F7F">
      <w:pPr>
        <w:pStyle w:val="SingleTxtG"/>
        <w:rPr>
          <w:rFonts w:eastAsia="MS Mincho"/>
        </w:rPr>
      </w:pPr>
      <w:r>
        <w:rPr>
          <w:rFonts w:eastAsia="MS Mincho"/>
          <w:i/>
        </w:rPr>
        <w:t xml:space="preserve">Paragraph </w:t>
      </w:r>
      <w:r w:rsidRPr="00B96206">
        <w:rPr>
          <w:rFonts w:eastAsia="MS Mincho"/>
          <w:i/>
        </w:rPr>
        <w:t xml:space="preserve">4.1.10., </w:t>
      </w:r>
      <w:r w:rsidRPr="00B96206">
        <w:rPr>
          <w:rFonts w:eastAsia="MS Mincho"/>
        </w:rPr>
        <w:t>amend to read:</w:t>
      </w:r>
    </w:p>
    <w:p w14:paraId="562D14E6" w14:textId="0C0E39BA" w:rsidR="004D5C98" w:rsidRDefault="00704F7F" w:rsidP="00704F7F">
      <w:pPr>
        <w:spacing w:after="120"/>
        <w:ind w:left="2268" w:right="1134" w:hanging="1134"/>
        <w:jc w:val="both"/>
        <w:rPr>
          <w:rFonts w:eastAsia="MS Mincho"/>
        </w:rPr>
      </w:pPr>
      <w:r>
        <w:rPr>
          <w:rFonts w:eastAsia="MS Mincho"/>
        </w:rPr>
        <w:t>"</w:t>
      </w:r>
      <w:r w:rsidR="004D5C98" w:rsidRPr="00B96206">
        <w:rPr>
          <w:rFonts w:eastAsia="MS Mincho"/>
        </w:rPr>
        <w:t>4.1.10.</w:t>
      </w:r>
      <w:r w:rsidR="004D5C98">
        <w:rPr>
          <w:rFonts w:eastAsia="MS Mincho"/>
        </w:rPr>
        <w:tab/>
      </w:r>
      <w:r w:rsidR="004D5C98" w:rsidRPr="00B96206">
        <w:rPr>
          <w:rFonts w:eastAsia="MS Mincho"/>
        </w:rPr>
        <w:t>The ply-rating number of diagonal (bias-ply) tyres</w:t>
      </w:r>
      <w:r w:rsidR="004D5C98" w:rsidRPr="00B96206">
        <w:rPr>
          <w:rFonts w:eastAsia="MS Mincho"/>
          <w:b/>
        </w:rPr>
        <w:t>, except for T-type temporary use spare tyres</w:t>
      </w:r>
      <w:r w:rsidR="004D5C98" w:rsidRPr="00B96206">
        <w:rPr>
          <w:rFonts w:eastAsia="MS Mincho"/>
        </w:rPr>
        <w:t>;</w:t>
      </w:r>
      <w:r>
        <w:rPr>
          <w:rFonts w:eastAsia="MS Mincho"/>
        </w:rPr>
        <w:t>"</w:t>
      </w:r>
    </w:p>
    <w:p w14:paraId="60891DB2" w14:textId="51BE66F6" w:rsidR="004D5C98" w:rsidRPr="006B6928" w:rsidRDefault="004D5C98" w:rsidP="00704F7F">
      <w:pPr>
        <w:spacing w:after="120"/>
        <w:ind w:left="1134" w:right="1134"/>
        <w:jc w:val="both"/>
        <w:rPr>
          <w:rFonts w:eastAsia="MS Mincho"/>
        </w:rPr>
      </w:pPr>
      <w:r>
        <w:rPr>
          <w:rFonts w:eastAsia="MS Mincho"/>
          <w:i/>
        </w:rPr>
        <w:t>Paragraph 6.2.3.,</w:t>
      </w:r>
      <w:r>
        <w:rPr>
          <w:rFonts w:eastAsia="MS Mincho"/>
        </w:rPr>
        <w:t xml:space="preserve"> amend to read:</w:t>
      </w:r>
    </w:p>
    <w:p w14:paraId="07451C2B" w14:textId="4CD28388" w:rsidR="004D5C98" w:rsidRDefault="00704F7F" w:rsidP="00704F7F">
      <w:pPr>
        <w:spacing w:after="120"/>
        <w:ind w:left="2268" w:right="1134" w:hanging="1134"/>
        <w:jc w:val="both"/>
        <w:rPr>
          <w:rFonts w:eastAsia="MS Mincho"/>
        </w:rPr>
      </w:pPr>
      <w:r>
        <w:rPr>
          <w:rFonts w:eastAsia="MS Mincho"/>
        </w:rPr>
        <w:t>"</w:t>
      </w:r>
      <w:r w:rsidR="004D5C98" w:rsidRPr="006B6928">
        <w:rPr>
          <w:rFonts w:eastAsia="MS Mincho"/>
        </w:rPr>
        <w:t>6.2.3.</w:t>
      </w:r>
      <w:r w:rsidR="004D5C98" w:rsidRPr="006B6928">
        <w:rPr>
          <w:rFonts w:eastAsia="MS Mincho"/>
        </w:rPr>
        <w:tab/>
      </w:r>
      <w:r>
        <w:rPr>
          <w:rFonts w:eastAsia="MS Mincho"/>
        </w:rPr>
        <w:tab/>
      </w:r>
      <w:r w:rsidR="004D5C98">
        <w:rPr>
          <w:rFonts w:eastAsia="MS Mincho"/>
          <w:b/>
        </w:rPr>
        <w:t>In case of</w:t>
      </w:r>
      <w:r w:rsidR="004D5C98" w:rsidRPr="006B6928">
        <w:rPr>
          <w:rFonts w:eastAsia="MS Mincho"/>
          <w:b/>
        </w:rPr>
        <w:t xml:space="preserve"> </w:t>
      </w:r>
      <w:r w:rsidR="004D5C98" w:rsidRPr="006B6928">
        <w:rPr>
          <w:b/>
        </w:rPr>
        <w:t>diagonal (bias-ply)</w:t>
      </w:r>
      <w:r w:rsidR="004D5C98">
        <w:rPr>
          <w:b/>
        </w:rPr>
        <w:t xml:space="preserve"> or</w:t>
      </w:r>
      <w:r w:rsidR="004D5C98" w:rsidRPr="006B6928">
        <w:rPr>
          <w:b/>
        </w:rPr>
        <w:t xml:space="preserve"> bias-belted structures,</w:t>
      </w:r>
      <w:r w:rsidR="004D5C98">
        <w:rPr>
          <w:b/>
        </w:rPr>
        <w:t xml:space="preserve"> the</w:t>
      </w:r>
      <w:r w:rsidR="004D5C98" w:rsidRPr="006B6928">
        <w:rPr>
          <w:b/>
        </w:rPr>
        <w:t xml:space="preserve"> </w:t>
      </w:r>
      <w:proofErr w:type="spellStart"/>
      <w:r w:rsidR="004D5C98" w:rsidRPr="006B6928">
        <w:rPr>
          <w:rFonts w:eastAsia="MS Mincho"/>
          <w:strike/>
        </w:rPr>
        <w:t>The</w:t>
      </w:r>
      <w:proofErr w:type="spellEnd"/>
      <w:r w:rsidR="004D5C98" w:rsidRPr="006B6928">
        <w:rPr>
          <w:rFonts w:eastAsia="MS Mincho"/>
          <w:strike/>
        </w:rPr>
        <w:t xml:space="preserve"> </w:t>
      </w:r>
      <w:r w:rsidR="004D5C98" w:rsidRPr="006B6928">
        <w:rPr>
          <w:rFonts w:eastAsia="MS Mincho"/>
        </w:rPr>
        <w:t>outer diameter of the tyre, measured six hours after the load/speed performance test as specified in paragraph 2. of Annex 7, must not differ by more than ±3.5 per cent from the outer diameter as measured before the test.</w:t>
      </w:r>
      <w:r>
        <w:rPr>
          <w:rFonts w:eastAsia="MS Mincho"/>
        </w:rPr>
        <w:t>"</w:t>
      </w:r>
    </w:p>
    <w:p w14:paraId="6A3ADDAE" w14:textId="53F0BE56" w:rsidR="004D5C98" w:rsidRDefault="004D5C98" w:rsidP="00704F7F">
      <w:pPr>
        <w:spacing w:after="120"/>
        <w:ind w:left="1134" w:right="1134"/>
        <w:jc w:val="both"/>
      </w:pPr>
      <w:r>
        <w:rPr>
          <w:i/>
        </w:rPr>
        <w:t>Paragraph 6.1.4.2.1.,</w:t>
      </w:r>
      <w:r>
        <w:t xml:space="preserve"> amend to read:</w:t>
      </w:r>
    </w:p>
    <w:p w14:paraId="6F574363" w14:textId="3F5F8516" w:rsidR="004D5C98" w:rsidRPr="00A06EE1" w:rsidRDefault="00704F7F" w:rsidP="00704F7F">
      <w:pPr>
        <w:spacing w:after="120"/>
        <w:ind w:left="1134" w:right="1134"/>
        <w:jc w:val="both"/>
      </w:pPr>
      <w:r>
        <w:t>"</w:t>
      </w:r>
      <w:r w:rsidR="004D5C98" w:rsidRPr="00A06EE1">
        <w:t>6.1.4.2.1.</w:t>
      </w:r>
      <w:r w:rsidR="004D5C98" w:rsidRPr="00A06EE1">
        <w:tab/>
        <w:t>in diagonal (bias-ply)</w:t>
      </w:r>
      <w:r w:rsidR="004D5C98">
        <w:t xml:space="preserve"> </w:t>
      </w:r>
      <w:r w:rsidR="004D5C98">
        <w:rPr>
          <w:b/>
        </w:rPr>
        <w:t>and bias-belted</w:t>
      </w:r>
      <w:r w:rsidR="004D5C98" w:rsidRPr="00A06EE1">
        <w:t xml:space="preserve"> tyres:  6 per cent;</w:t>
      </w:r>
      <w:r>
        <w:t>"</w:t>
      </w:r>
    </w:p>
    <w:p w14:paraId="407A3B41" w14:textId="77777777" w:rsidR="00704F7F" w:rsidRDefault="00704F7F" w:rsidP="00704F7F">
      <w:pPr>
        <w:spacing w:after="120"/>
        <w:ind w:left="1134" w:right="1134"/>
        <w:rPr>
          <w:i/>
          <w:iCs/>
        </w:rPr>
      </w:pPr>
      <w:bookmarkStart w:id="0" w:name="_Hlk22638202"/>
      <w:r>
        <w:rPr>
          <w:i/>
          <w:iCs/>
        </w:rPr>
        <w:t xml:space="preserve">Insert a new paragraph 11.4. </w:t>
      </w:r>
      <w:r>
        <w:t>to read:</w:t>
      </w:r>
    </w:p>
    <w:p w14:paraId="2C4002DB" w14:textId="71E98F3A" w:rsidR="00704F7F" w:rsidRDefault="00704F7F" w:rsidP="00704F7F">
      <w:pPr>
        <w:pStyle w:val="SingleTxtG"/>
        <w:ind w:left="2268" w:hanging="1134"/>
        <w:rPr>
          <w:b/>
          <w:bCs/>
        </w:rPr>
      </w:pPr>
      <w:r>
        <w:rPr>
          <w:bCs/>
        </w:rPr>
        <w:t>"</w:t>
      </w:r>
      <w:r>
        <w:rPr>
          <w:b/>
          <w:bCs/>
        </w:rPr>
        <w:t>11.4.</w:t>
      </w:r>
      <w:r>
        <w:rPr>
          <w:b/>
          <w:bCs/>
        </w:rPr>
        <w:tab/>
      </w:r>
      <w:r>
        <w:rPr>
          <w:b/>
          <w:bCs/>
        </w:rPr>
        <w:tab/>
        <w:t>Unless specified differently, until 3 months after the date of entry into force of a new Supplement to the 02 series of amendments to this Regulation, Contracting Parties applying this Regulation may continue to grant and/or extend type approvals according to the 02 series of amendments to this Regulation, without taking into account the provisions of this new Supplement.</w:t>
      </w:r>
      <w:r>
        <w:rPr>
          <w:bCs/>
        </w:rPr>
        <w:t>"</w:t>
      </w:r>
    </w:p>
    <w:bookmarkEnd w:id="0"/>
    <w:p w14:paraId="679602E8" w14:textId="40356733" w:rsidR="004D5C98" w:rsidRDefault="004D5C98" w:rsidP="00704F7F">
      <w:pPr>
        <w:pStyle w:val="para"/>
        <w:ind w:left="1134" w:firstLine="0"/>
      </w:pPr>
      <w:r>
        <w:rPr>
          <w:i/>
        </w:rPr>
        <w:t xml:space="preserve">Annex 7, </w:t>
      </w:r>
      <w:r w:rsidR="00704F7F">
        <w:rPr>
          <w:i/>
        </w:rPr>
        <w:t>p</w:t>
      </w:r>
      <w:r>
        <w:rPr>
          <w:i/>
        </w:rPr>
        <w:t xml:space="preserve">aragraph 3.2., </w:t>
      </w:r>
      <w:r>
        <w:t>amend to read:</w:t>
      </w:r>
    </w:p>
    <w:p w14:paraId="1420A623" w14:textId="7C87FAAC" w:rsidR="004D5C98" w:rsidRDefault="004D5C98" w:rsidP="00704F7F">
      <w:pPr>
        <w:pStyle w:val="para"/>
        <w:rPr>
          <w:i/>
          <w:color w:val="000000" w:themeColor="text1"/>
        </w:rPr>
      </w:pPr>
      <w:r>
        <w:t>"3.2.</w:t>
      </w:r>
      <w:r>
        <w:tab/>
      </w:r>
      <w:r w:rsidR="00704F7F">
        <w:tab/>
      </w:r>
      <w:r>
        <w:t xml:space="preserve">Carry out the procedure as detailed in paragraphs 1.2. to 1.5. above with a test room temperature at </w:t>
      </w:r>
      <w:r w:rsidRPr="00B96206">
        <w:rPr>
          <w:strike/>
        </w:rPr>
        <w:t>38 ºC + 3 ºC</w:t>
      </w:r>
      <w:r>
        <w:t xml:space="preserve"> </w:t>
      </w:r>
      <w:r w:rsidRPr="00B96206">
        <w:rPr>
          <w:b/>
        </w:rPr>
        <w:t xml:space="preserve">38 ºC </w:t>
      </w:r>
      <w:r>
        <w:rPr>
          <w:b/>
        </w:rPr>
        <w:t>±</w:t>
      </w:r>
      <w:r w:rsidRPr="00B96206">
        <w:rPr>
          <w:b/>
        </w:rPr>
        <w:t xml:space="preserve"> 3 ºC</w:t>
      </w:r>
      <w:r>
        <w:rPr>
          <w:b/>
        </w:rPr>
        <w:t xml:space="preserve"> </w:t>
      </w:r>
      <w:r>
        <w:t>in relation to conditioning the tyre-and-wheel assembly as detailed in paragraph 1.4. The temperature sensor shall be at a distance not less than 0.15 m and not more than 1.00 m from the tyre sidewall."</w:t>
      </w:r>
    </w:p>
    <w:p w14:paraId="11E50E77" w14:textId="06DBB9D6" w:rsidR="00573F4C" w:rsidRPr="002F5791" w:rsidRDefault="00C819F1" w:rsidP="00A116DF">
      <w:pPr>
        <w:pStyle w:val="HChG"/>
        <w:rPr>
          <w:rFonts w:eastAsia="Times New Roman"/>
          <w:i/>
          <w:color w:val="0D0D0D" w:themeColor="text1" w:themeTint="F2"/>
        </w:rPr>
      </w:pPr>
      <w:r w:rsidRPr="002F5791">
        <w:rPr>
          <w:color w:val="0D0D0D" w:themeColor="text1" w:themeTint="F2"/>
          <w:lang w:val="en-US"/>
        </w:rPr>
        <w:tab/>
      </w:r>
      <w:r w:rsidR="008B0EB2" w:rsidRPr="002F5791">
        <w:rPr>
          <w:color w:val="0D0D0D" w:themeColor="text1" w:themeTint="F2"/>
          <w:lang w:val="en-US"/>
        </w:rPr>
        <w:t>II.</w:t>
      </w:r>
      <w:r w:rsidR="008B0EB2" w:rsidRPr="002F5791">
        <w:rPr>
          <w:color w:val="0D0D0D" w:themeColor="text1" w:themeTint="F2"/>
          <w:lang w:val="en-US"/>
        </w:rPr>
        <w:tab/>
        <w:t>Justification</w:t>
      </w:r>
    </w:p>
    <w:p w14:paraId="1DAEE6ED" w14:textId="649B63DE" w:rsidR="004D5C98" w:rsidRPr="004D5C98" w:rsidRDefault="00BD5EA0" w:rsidP="004D5C98">
      <w:pPr>
        <w:spacing w:after="120"/>
        <w:ind w:left="1134" w:right="1134"/>
        <w:jc w:val="both"/>
      </w:pPr>
      <w:r w:rsidRPr="004D5C98">
        <w:rPr>
          <w:color w:val="0D0D0D" w:themeColor="text1" w:themeTint="F2"/>
        </w:rPr>
        <w:tab/>
      </w:r>
      <w:r w:rsidR="004D5C98">
        <w:rPr>
          <w:color w:val="0D0D0D" w:themeColor="text1" w:themeTint="F2"/>
        </w:rPr>
        <w:t>1.</w:t>
      </w:r>
      <w:r w:rsidR="004D5C98">
        <w:rPr>
          <w:color w:val="0D0D0D" w:themeColor="text1" w:themeTint="F2"/>
        </w:rPr>
        <w:tab/>
      </w:r>
      <w:r w:rsidR="004D5C98" w:rsidRPr="004D5C98">
        <w:t xml:space="preserve">The purpose of this change is to converge to consistent definitions across tyre </w:t>
      </w:r>
      <w:r w:rsidR="004D5C98">
        <w:t>UN R</w:t>
      </w:r>
      <w:r w:rsidR="004D5C98" w:rsidRPr="004D5C98">
        <w:t xml:space="preserve">egulations as presented in Informal </w:t>
      </w:r>
      <w:r w:rsidR="004D5C98">
        <w:t>d</w:t>
      </w:r>
      <w:r w:rsidR="004D5C98" w:rsidRPr="004D5C98">
        <w:t xml:space="preserve">ocument GRRF-82-21, </w:t>
      </w:r>
      <w:r w:rsidR="004D5C98">
        <w:t xml:space="preserve">which should </w:t>
      </w:r>
      <w:r w:rsidR="004D5C98" w:rsidRPr="004D5C98">
        <w:t xml:space="preserve">be amended in order to allow technical progress. This is in line with the proposed amendment to </w:t>
      </w:r>
      <w:r w:rsidR="004D5C98">
        <w:t xml:space="preserve">UN </w:t>
      </w:r>
      <w:r w:rsidR="004D5C98" w:rsidRPr="004D5C98">
        <w:t>Regulation No. 75.</w:t>
      </w:r>
    </w:p>
    <w:p w14:paraId="59DDD741" w14:textId="5C6546FA" w:rsidR="004D5C98" w:rsidRPr="004D5C98" w:rsidRDefault="004D5C98" w:rsidP="004D5C98">
      <w:pPr>
        <w:spacing w:after="120"/>
        <w:ind w:left="1134" w:right="1134"/>
        <w:jc w:val="both"/>
      </w:pPr>
      <w:r>
        <w:t>2.</w:t>
      </w:r>
      <w:r>
        <w:tab/>
      </w:r>
      <w:r w:rsidRPr="004D5C98">
        <w:t xml:space="preserve">This proposal is aimed to cure an editorial error made </w:t>
      </w:r>
      <w:r>
        <w:t xml:space="preserve">when </w:t>
      </w:r>
      <w:r w:rsidRPr="004D5C98">
        <w:t>merging documents ECE/TRANS/WP.29/GRVA/2018/6, ECE/TRANS/WP.29/GRB/2019/5 and Annex III to the report.</w:t>
      </w:r>
    </w:p>
    <w:p w14:paraId="2E97CB8E" w14:textId="45EBB0E3" w:rsidR="004D5C98" w:rsidRPr="004D5C98" w:rsidRDefault="004D5C98" w:rsidP="004D5C98">
      <w:pPr>
        <w:spacing w:after="120"/>
        <w:ind w:left="1134" w:right="1134"/>
        <w:jc w:val="both"/>
      </w:pPr>
      <w:r>
        <w:t>3.</w:t>
      </w:r>
      <w:r>
        <w:tab/>
        <w:t>The p</w:t>
      </w:r>
      <w:r w:rsidRPr="004D5C98">
        <w:t>ly-rating number is not relevant for T-type temporary use spare tyres because all these tyres are tested at the same inflation pressure independent of their construction.</w:t>
      </w:r>
    </w:p>
    <w:p w14:paraId="1068D27E" w14:textId="5879EC44" w:rsidR="004D5C98" w:rsidRPr="004D5C98" w:rsidRDefault="004D5C98" w:rsidP="004D5C98">
      <w:pPr>
        <w:spacing w:after="120"/>
        <w:ind w:left="1134" w:right="1134"/>
        <w:jc w:val="both"/>
      </w:pPr>
      <w:r>
        <w:lastRenderedPageBreak/>
        <w:t>4.</w:t>
      </w:r>
      <w:r>
        <w:tab/>
      </w:r>
      <w:r w:rsidRPr="004D5C98">
        <w:t xml:space="preserve">For radial and run flat tyres the variation of outer diameter </w:t>
      </w:r>
      <w:r w:rsidR="00705A25">
        <w:rPr>
          <w:rFonts w:eastAsia="MS Mincho"/>
        </w:rPr>
        <w:t xml:space="preserve">of the tyre, measured six </w:t>
      </w:r>
      <w:r w:rsidRPr="004D5C98">
        <w:rPr>
          <w:rFonts w:eastAsia="MS Mincho"/>
        </w:rPr>
        <w:t>hours after the load/speed performance test as specified in paragraph 2 of Annex 7, is far below ±3.5 per cent from the outer diameter as measured before the test.</w:t>
      </w:r>
    </w:p>
    <w:p w14:paraId="205FDF54" w14:textId="62E9FEB1" w:rsidR="004D5C98" w:rsidRPr="004D5C98" w:rsidRDefault="004D5C98" w:rsidP="004D5C98">
      <w:pPr>
        <w:spacing w:after="120"/>
        <w:ind w:left="1134" w:right="1134"/>
        <w:jc w:val="both"/>
      </w:pPr>
      <w:r>
        <w:t>5.</w:t>
      </w:r>
      <w:r>
        <w:tab/>
      </w:r>
      <w:r w:rsidRPr="004D5C98">
        <w:t>The reference to bias-belted tyres has been added for correctness.</w:t>
      </w:r>
    </w:p>
    <w:p w14:paraId="19074BCC" w14:textId="6ED16F0F" w:rsidR="004D5C98" w:rsidRPr="004D5C98" w:rsidRDefault="004D5C98" w:rsidP="004D5C98">
      <w:pPr>
        <w:spacing w:after="120"/>
        <w:ind w:left="1134" w:right="1134"/>
        <w:jc w:val="both"/>
      </w:pPr>
      <w:r>
        <w:t>6.</w:t>
      </w:r>
      <w:r>
        <w:tab/>
      </w:r>
      <w:r w:rsidRPr="004D5C98">
        <w:t>This amendment provides a correction to a typographical error origination from a wrong formatting of “±”.</w:t>
      </w:r>
    </w:p>
    <w:p w14:paraId="47F38004" w14:textId="311E8EC0" w:rsidR="004D5C98" w:rsidRPr="004D5C98" w:rsidRDefault="004D5C98" w:rsidP="004D5C98">
      <w:pPr>
        <w:spacing w:after="120"/>
        <w:ind w:left="1134" w:right="1134"/>
        <w:jc w:val="both"/>
      </w:pPr>
      <w:r>
        <w:t>7.</w:t>
      </w:r>
      <w:r>
        <w:tab/>
      </w:r>
      <w:r w:rsidRPr="004D5C98">
        <w:t xml:space="preserve">It is proposed to include a general provision addressing the gap between the effective date of entry into force and the date of notification of the adoption of the </w:t>
      </w:r>
      <w:r w:rsidR="00704F7F">
        <w:t>S</w:t>
      </w:r>
      <w:r w:rsidRPr="004D5C98">
        <w:t xml:space="preserve">upplement to the Contracting Parties. Currently, during this period, the type approval cannot be granted pursuant to the new </w:t>
      </w:r>
      <w:r w:rsidR="00704F7F">
        <w:t>S</w:t>
      </w:r>
      <w:r w:rsidRPr="004D5C98">
        <w:t>upplement in force</w:t>
      </w:r>
      <w:r w:rsidR="00704F7F">
        <w:t>,</w:t>
      </w:r>
      <w:r w:rsidRPr="004D5C98">
        <w:t xml:space="preserve"> although it is mandatory. Even after the notification of the adoption of the </w:t>
      </w:r>
      <w:r w:rsidR="00704F7F">
        <w:t>S</w:t>
      </w:r>
      <w:r w:rsidRPr="004D5C98">
        <w:t xml:space="preserve">upplement, the Type Approval Authorities and Technical Services may need further time to implement the requirements of the new </w:t>
      </w:r>
      <w:r w:rsidR="00704F7F">
        <w:t>S</w:t>
      </w:r>
      <w:r w:rsidRPr="004D5C98">
        <w:t>upplement. This period shall also be covered by the proposed provisions.</w:t>
      </w:r>
    </w:p>
    <w:p w14:paraId="61818BCA" w14:textId="49580421" w:rsidR="005F7935" w:rsidRPr="00366990" w:rsidRDefault="00366990" w:rsidP="00366990">
      <w:pPr>
        <w:spacing w:before="240"/>
        <w:jc w:val="center"/>
        <w:rPr>
          <w:u w:val="single"/>
        </w:rPr>
      </w:pPr>
      <w:r>
        <w:rPr>
          <w:u w:val="single"/>
        </w:rPr>
        <w:tab/>
      </w:r>
      <w:r>
        <w:rPr>
          <w:u w:val="single"/>
        </w:rPr>
        <w:tab/>
      </w:r>
      <w:r>
        <w:rPr>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bookmarkStart w:id="1" w:name="_GoBack"/>
      <w:bookmarkEnd w:id="1"/>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DCF68" w14:textId="77777777" w:rsidR="0037167D" w:rsidRDefault="0037167D"/>
  </w:endnote>
  <w:endnote w:type="continuationSeparator" w:id="0">
    <w:p w14:paraId="41480C4F" w14:textId="77777777" w:rsidR="0037167D" w:rsidRDefault="0037167D"/>
  </w:endnote>
  <w:endnote w:type="continuationNotice" w:id="1">
    <w:p w14:paraId="052DCA38" w14:textId="77777777" w:rsidR="0037167D" w:rsidRDefault="00371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27B047AD"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05A2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7B4C79F7"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05A25">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83E7" w14:textId="4DA4588A" w:rsidR="0033231C" w:rsidRDefault="0033231C" w:rsidP="0033231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D95AE23" wp14:editId="4D5BF4A2">
          <wp:simplePos x="0" y="0"/>
          <wp:positionH relativeFrom="margin">
            <wp:posOffset>5478780</wp:posOffset>
          </wp:positionH>
          <wp:positionV relativeFrom="margin">
            <wp:posOffset>7928476</wp:posOffset>
          </wp:positionV>
          <wp:extent cx="638175" cy="638175"/>
          <wp:effectExtent l="0" t="0" r="9525" b="9525"/>
          <wp:wrapNone/>
          <wp:docPr id="2" name="Picture 1" descr="https://undocs.org/m2/QRCode.ashx?DS=ECE/TRANS/WP.29/GRBP/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4BABEAB" wp14:editId="29F0A6FD">
          <wp:simplePos x="0" y="0"/>
          <wp:positionH relativeFrom="margin">
            <wp:posOffset>4320540</wp:posOffset>
          </wp:positionH>
          <wp:positionV relativeFrom="margin">
            <wp:posOffset>8278495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BF46C62" w14:textId="1245FB39" w:rsidR="0033231C" w:rsidRDefault="0033231C" w:rsidP="0033231C">
    <w:pPr>
      <w:pStyle w:val="Footer"/>
      <w:ind w:right="1134"/>
      <w:rPr>
        <w:sz w:val="20"/>
      </w:rPr>
    </w:pPr>
    <w:r>
      <w:rPr>
        <w:sz w:val="20"/>
      </w:rPr>
      <w:t>GE.19-19439(E)</w:t>
    </w:r>
  </w:p>
  <w:p w14:paraId="7423E058" w14:textId="237F0E5F" w:rsidR="0033231C" w:rsidRPr="0033231C" w:rsidRDefault="0033231C" w:rsidP="003323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1E02" w14:textId="77777777" w:rsidR="0037167D" w:rsidRPr="000B175B" w:rsidRDefault="0037167D" w:rsidP="000B175B">
      <w:pPr>
        <w:tabs>
          <w:tab w:val="right" w:pos="2155"/>
        </w:tabs>
        <w:spacing w:after="80"/>
        <w:ind w:left="680"/>
        <w:rPr>
          <w:u w:val="single"/>
        </w:rPr>
      </w:pPr>
      <w:r>
        <w:rPr>
          <w:u w:val="single"/>
        </w:rPr>
        <w:tab/>
      </w:r>
    </w:p>
  </w:footnote>
  <w:footnote w:type="continuationSeparator" w:id="0">
    <w:p w14:paraId="6317DAF4" w14:textId="77777777" w:rsidR="0037167D" w:rsidRPr="00FC68B7" w:rsidRDefault="0037167D" w:rsidP="00FC68B7">
      <w:pPr>
        <w:tabs>
          <w:tab w:val="left" w:pos="2155"/>
        </w:tabs>
        <w:spacing w:after="80"/>
        <w:ind w:left="680"/>
        <w:rPr>
          <w:u w:val="single"/>
        </w:rPr>
      </w:pPr>
      <w:r>
        <w:rPr>
          <w:u w:val="single"/>
        </w:rPr>
        <w:tab/>
      </w:r>
    </w:p>
  </w:footnote>
  <w:footnote w:type="continuationNotice" w:id="1">
    <w:p w14:paraId="631BB99A" w14:textId="77777777" w:rsidR="0037167D" w:rsidRDefault="0037167D"/>
  </w:footnote>
  <w:footnote w:id="2">
    <w:p w14:paraId="35866C80" w14:textId="2033E49C"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490FBC" w:rsidRPr="00490FBC">
        <w:rPr>
          <w:szCs w:val="18"/>
          <w:lang w:val="en-US"/>
        </w:rPr>
        <w:t xml:space="preserve">In accordance with the </w:t>
      </w:r>
      <w:proofErr w:type="spellStart"/>
      <w:r w:rsidR="00490FBC" w:rsidRPr="00490FBC">
        <w:rPr>
          <w:szCs w:val="18"/>
          <w:lang w:val="en-US"/>
        </w:rPr>
        <w:t>programme</w:t>
      </w:r>
      <w:proofErr w:type="spellEnd"/>
      <w:r w:rsidR="00490FBC" w:rsidRPr="00490FBC">
        <w:rPr>
          <w:szCs w:val="18"/>
          <w:lang w:val="en-US"/>
        </w:rPr>
        <w:t xml:space="preserve"> of work of the Inland Transport Committee for 2020 as outlined in proposed </w:t>
      </w:r>
      <w:proofErr w:type="spellStart"/>
      <w:r w:rsidR="00490FBC" w:rsidRPr="00490FBC">
        <w:rPr>
          <w:szCs w:val="18"/>
          <w:lang w:val="en-US"/>
        </w:rPr>
        <w:t>programme</w:t>
      </w:r>
      <w:proofErr w:type="spellEnd"/>
      <w:r w:rsidR="00490FBC" w:rsidRPr="00490FBC">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5CB5BDD4" w:rsidR="00D83633" w:rsidRPr="00803BF8" w:rsidRDefault="00D83633" w:rsidP="00FE5C8C">
    <w:pPr>
      <w:pStyle w:val="Header"/>
    </w:pPr>
    <w:r>
      <w:t>ECE/TRANS/WP.29/GRB</w:t>
    </w:r>
    <w:r w:rsidR="00FE5C8C">
      <w:t>P</w:t>
    </w:r>
    <w:r>
      <w:t>/</w:t>
    </w:r>
    <w:r w:rsidRPr="00DF418A">
      <w:t>20</w:t>
    </w:r>
    <w:r w:rsidR="00CE7914">
      <w:t>20</w:t>
    </w:r>
    <w:r w:rsidR="00FE5C8C">
      <w:t>/</w:t>
    </w:r>
    <w:r w:rsidR="00D61338">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174D48FD" w:rsidR="00D83633" w:rsidRPr="00803BF8" w:rsidRDefault="00D83633" w:rsidP="00803BF8">
    <w:pPr>
      <w:pStyle w:val="Header"/>
      <w:jc w:val="right"/>
    </w:pPr>
    <w:r w:rsidRPr="00754B4B">
      <w:t>ECE/TRANS/WP.29/GR</w:t>
    </w:r>
    <w:r>
      <w:t>B</w:t>
    </w:r>
    <w:r w:rsidR="00D103F8">
      <w:t>P</w:t>
    </w:r>
    <w:r w:rsidRPr="00754B4B">
      <w:t>/20</w:t>
    </w:r>
    <w:r w:rsidR="00CE7914">
      <w:t>20</w:t>
    </w:r>
    <w:r w:rsidRPr="00754B4B">
      <w:t>/</w:t>
    </w:r>
    <w:r w:rsidR="00D61338">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4"/>
  </w:num>
  <w:num w:numId="16">
    <w:abstractNumId w:val="10"/>
  </w:num>
  <w:num w:numId="17">
    <w:abstractNumId w:val="14"/>
  </w:num>
  <w:num w:numId="18">
    <w:abstractNumId w:val="23"/>
  </w:num>
  <w:num w:numId="19">
    <w:abstractNumId w:val="13"/>
  </w:num>
  <w:num w:numId="20">
    <w:abstractNumId w:val="20"/>
  </w:num>
  <w:num w:numId="21">
    <w:abstractNumId w:val="16"/>
  </w:num>
  <w:num w:numId="22">
    <w:abstractNumId w:val="15"/>
  </w:num>
  <w:num w:numId="23">
    <w:abstractNumId w:val="17"/>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339"/>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A6BAD"/>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3AC"/>
    <w:rsid w:val="00197D24"/>
    <w:rsid w:val="00197EC7"/>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9F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1FF1"/>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791"/>
    <w:rsid w:val="002F5AC5"/>
    <w:rsid w:val="002F7DE0"/>
    <w:rsid w:val="0030272D"/>
    <w:rsid w:val="00302E18"/>
    <w:rsid w:val="0031067C"/>
    <w:rsid w:val="00312F59"/>
    <w:rsid w:val="0031733E"/>
    <w:rsid w:val="00321CAD"/>
    <w:rsid w:val="003229D8"/>
    <w:rsid w:val="003237A4"/>
    <w:rsid w:val="00325908"/>
    <w:rsid w:val="00326932"/>
    <w:rsid w:val="00330F1A"/>
    <w:rsid w:val="0033231C"/>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4184"/>
    <w:rsid w:val="00365763"/>
    <w:rsid w:val="00366990"/>
    <w:rsid w:val="0037032C"/>
    <w:rsid w:val="00371178"/>
    <w:rsid w:val="0037167D"/>
    <w:rsid w:val="00377817"/>
    <w:rsid w:val="003800C8"/>
    <w:rsid w:val="0038196E"/>
    <w:rsid w:val="00383155"/>
    <w:rsid w:val="0038696B"/>
    <w:rsid w:val="00392E47"/>
    <w:rsid w:val="00394CC7"/>
    <w:rsid w:val="00395535"/>
    <w:rsid w:val="003968BF"/>
    <w:rsid w:val="00396E5F"/>
    <w:rsid w:val="003A06B5"/>
    <w:rsid w:val="003A0EE0"/>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0FBC"/>
    <w:rsid w:val="00490FCC"/>
    <w:rsid w:val="004935FC"/>
    <w:rsid w:val="00493DB9"/>
    <w:rsid w:val="004A1EF3"/>
    <w:rsid w:val="004A6A9B"/>
    <w:rsid w:val="004A79FD"/>
    <w:rsid w:val="004B05F0"/>
    <w:rsid w:val="004B3889"/>
    <w:rsid w:val="004B4EA5"/>
    <w:rsid w:val="004B5DF0"/>
    <w:rsid w:val="004C1E84"/>
    <w:rsid w:val="004C2461"/>
    <w:rsid w:val="004C3774"/>
    <w:rsid w:val="004C7462"/>
    <w:rsid w:val="004D0424"/>
    <w:rsid w:val="004D3FC5"/>
    <w:rsid w:val="004D4458"/>
    <w:rsid w:val="004D5C98"/>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0881"/>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001"/>
    <w:rsid w:val="00573F4C"/>
    <w:rsid w:val="00574006"/>
    <w:rsid w:val="005751FB"/>
    <w:rsid w:val="00577094"/>
    <w:rsid w:val="00581DFE"/>
    <w:rsid w:val="00583457"/>
    <w:rsid w:val="00590382"/>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1600"/>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4F7F"/>
    <w:rsid w:val="00705894"/>
    <w:rsid w:val="00705A25"/>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4D31"/>
    <w:rsid w:val="007756F0"/>
    <w:rsid w:val="00775F7C"/>
    <w:rsid w:val="0077691F"/>
    <w:rsid w:val="007836F4"/>
    <w:rsid w:val="00790A9A"/>
    <w:rsid w:val="00792D92"/>
    <w:rsid w:val="00793B94"/>
    <w:rsid w:val="00796008"/>
    <w:rsid w:val="007A36CE"/>
    <w:rsid w:val="007A3BAE"/>
    <w:rsid w:val="007A52E6"/>
    <w:rsid w:val="007B1D3B"/>
    <w:rsid w:val="007B6BA5"/>
    <w:rsid w:val="007C035E"/>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0DDE"/>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2C20"/>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17761"/>
    <w:rsid w:val="00B20844"/>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D5EA0"/>
    <w:rsid w:val="00BD7F58"/>
    <w:rsid w:val="00BE0686"/>
    <w:rsid w:val="00BE1BD5"/>
    <w:rsid w:val="00BE24CA"/>
    <w:rsid w:val="00BE3F62"/>
    <w:rsid w:val="00BE41AC"/>
    <w:rsid w:val="00BE54D3"/>
    <w:rsid w:val="00BE584F"/>
    <w:rsid w:val="00BF30D6"/>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E7914"/>
    <w:rsid w:val="00CF1FA5"/>
    <w:rsid w:val="00CF263E"/>
    <w:rsid w:val="00CF2B7C"/>
    <w:rsid w:val="00CF7C95"/>
    <w:rsid w:val="00D0541A"/>
    <w:rsid w:val="00D05E5E"/>
    <w:rsid w:val="00D073A2"/>
    <w:rsid w:val="00D0762B"/>
    <w:rsid w:val="00D103F8"/>
    <w:rsid w:val="00D12117"/>
    <w:rsid w:val="00D153A7"/>
    <w:rsid w:val="00D2031B"/>
    <w:rsid w:val="00D22BD9"/>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1338"/>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DF7ADF"/>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25B6"/>
    <w:rsid w:val="00E55173"/>
    <w:rsid w:val="00E560CA"/>
    <w:rsid w:val="00E624D3"/>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5C8C"/>
    <w:rsid w:val="00FE7450"/>
    <w:rsid w:val="00FF09FE"/>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qFormat/>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6878881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D089-2092-4FA9-8C40-05855EBD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692</Words>
  <Characters>3640</Characters>
  <Application>Microsoft Office Word</Application>
  <DocSecurity>0</DocSecurity>
  <Lines>85</Lines>
  <Paragraphs>39</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ECE/TRANS/WP.29/GRBP/2019/25</vt:lpstr>
      <vt:lpstr>1719777</vt:lpstr>
      <vt:lpstr>1719777</vt:lpstr>
      <vt:lpstr>United Nations</vt:lpstr>
    </vt:vector>
  </TitlesOfParts>
  <Company>CSD</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ECE/TRANS/WP.29/GRBP/2020/3</dc:title>
  <dc:subject>1919439</dc:subject>
  <dc:creator>Romain HUBERT</dc:creator>
  <cp:keywords>066-NWG-19</cp:keywords>
  <dc:description/>
  <cp:lastModifiedBy>Generic Pdf eng</cp:lastModifiedBy>
  <cp:revision>2</cp:revision>
  <cp:lastPrinted>2017-11-06T09:14:00Z</cp:lastPrinted>
  <dcterms:created xsi:type="dcterms:W3CDTF">2019-11-11T10:54:00Z</dcterms:created>
  <dcterms:modified xsi:type="dcterms:W3CDTF">2019-11-11T10:54:00Z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