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E3F5F" w14:paraId="04C0A15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72CC8B" w14:textId="77777777" w:rsidR="00F35BAF" w:rsidRPr="00DB58B5" w:rsidRDefault="00F35BAF" w:rsidP="003E3F5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1DDB7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7A594D" w14:textId="77777777" w:rsidR="00F35BAF" w:rsidRPr="003E3F5F" w:rsidRDefault="003E3F5F" w:rsidP="003E3F5F">
            <w:pPr>
              <w:jc w:val="right"/>
              <w:rPr>
                <w:lang w:val="en-US"/>
              </w:rPr>
            </w:pPr>
            <w:r w:rsidRPr="003E3F5F">
              <w:rPr>
                <w:sz w:val="40"/>
                <w:lang w:val="en-US"/>
              </w:rPr>
              <w:t>ECE</w:t>
            </w:r>
            <w:r w:rsidRPr="003E3F5F">
              <w:rPr>
                <w:lang w:val="en-US"/>
              </w:rPr>
              <w:t>/TRANS/WP.29/GRBP/2019/25/Rev.1</w:t>
            </w:r>
          </w:p>
        </w:tc>
      </w:tr>
      <w:tr w:rsidR="00F35BAF" w:rsidRPr="00DB58B5" w14:paraId="2BEF297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FB1DB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DF170DF" wp14:editId="7283F84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AFC06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9754833" w14:textId="77777777" w:rsidR="00F35BAF" w:rsidRDefault="003E3F5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35F8E16" w14:textId="77777777" w:rsidR="003E3F5F" w:rsidRDefault="003E3F5F" w:rsidP="003E3F5F">
            <w:pPr>
              <w:spacing w:line="240" w:lineRule="exact"/>
            </w:pPr>
            <w:r>
              <w:t>13 novembre 2019</w:t>
            </w:r>
          </w:p>
          <w:p w14:paraId="33DADFB9" w14:textId="77777777" w:rsidR="003E3F5F" w:rsidRDefault="003E3F5F" w:rsidP="003E3F5F">
            <w:pPr>
              <w:spacing w:line="240" w:lineRule="exact"/>
            </w:pPr>
            <w:r>
              <w:t>Français</w:t>
            </w:r>
          </w:p>
          <w:p w14:paraId="6EC58E40" w14:textId="77777777" w:rsidR="003E3F5F" w:rsidRPr="00DB58B5" w:rsidRDefault="003E3F5F" w:rsidP="003E3F5F">
            <w:pPr>
              <w:spacing w:line="240" w:lineRule="exact"/>
            </w:pPr>
            <w:r>
              <w:t>Original : anglais</w:t>
            </w:r>
          </w:p>
        </w:tc>
      </w:tr>
    </w:tbl>
    <w:p w14:paraId="111733D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22BB47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1B7F7E7" w14:textId="77777777" w:rsidR="00462BA7" w:rsidRPr="000B5113" w:rsidRDefault="00462BA7" w:rsidP="000B5113">
      <w:pPr>
        <w:spacing w:before="120"/>
        <w:rPr>
          <w:b/>
          <w:sz w:val="24"/>
          <w:szCs w:val="24"/>
        </w:rPr>
      </w:pPr>
      <w:r w:rsidRPr="000B5113">
        <w:rPr>
          <w:b/>
          <w:sz w:val="24"/>
          <w:szCs w:val="24"/>
        </w:rPr>
        <w:t>Forum mondial de l’harmonisation</w:t>
      </w:r>
      <w:r w:rsidR="000B5113">
        <w:rPr>
          <w:b/>
          <w:sz w:val="24"/>
          <w:szCs w:val="24"/>
        </w:rPr>
        <w:t xml:space="preserve"> </w:t>
      </w:r>
      <w:r w:rsidRPr="000B5113">
        <w:rPr>
          <w:b/>
          <w:sz w:val="24"/>
          <w:szCs w:val="24"/>
        </w:rPr>
        <w:t xml:space="preserve">des Règlements </w:t>
      </w:r>
      <w:r w:rsidR="000B5113">
        <w:rPr>
          <w:b/>
          <w:sz w:val="24"/>
          <w:szCs w:val="24"/>
        </w:rPr>
        <w:br/>
      </w:r>
      <w:r w:rsidRPr="000B5113">
        <w:rPr>
          <w:b/>
          <w:sz w:val="24"/>
          <w:szCs w:val="24"/>
        </w:rPr>
        <w:t>concernant les véhicules</w:t>
      </w:r>
    </w:p>
    <w:p w14:paraId="29AE2040" w14:textId="77777777" w:rsidR="00462BA7" w:rsidRDefault="00462BA7" w:rsidP="00462BA7">
      <w:pPr>
        <w:spacing w:before="120"/>
        <w:rPr>
          <w:b/>
          <w:szCs w:val="24"/>
        </w:rPr>
      </w:pPr>
      <w:r w:rsidRPr="00AB236E">
        <w:rPr>
          <w:b/>
          <w:szCs w:val="24"/>
        </w:rPr>
        <w:t>Groupe de travail du bruit et des pneumatiques</w:t>
      </w:r>
    </w:p>
    <w:p w14:paraId="18180E18" w14:textId="77777777" w:rsidR="00462BA7" w:rsidRPr="00A70ED8" w:rsidRDefault="00462BA7" w:rsidP="00462BA7">
      <w:pPr>
        <w:spacing w:before="120"/>
        <w:rPr>
          <w:rFonts w:eastAsia="Times New Roman"/>
          <w:b/>
          <w:szCs w:val="24"/>
        </w:rPr>
      </w:pPr>
      <w:r>
        <w:rPr>
          <w:b/>
          <w:szCs w:val="24"/>
        </w:rPr>
        <w:t>Soixante et onzième session</w:t>
      </w:r>
    </w:p>
    <w:p w14:paraId="6DE17633" w14:textId="77777777" w:rsidR="00462BA7" w:rsidRPr="00A70ED8" w:rsidRDefault="00462BA7" w:rsidP="00462BA7">
      <w:pPr>
        <w:rPr>
          <w:bCs/>
          <w:szCs w:val="24"/>
        </w:rPr>
      </w:pPr>
      <w:r w:rsidRPr="00A70ED8">
        <w:rPr>
          <w:szCs w:val="24"/>
        </w:rPr>
        <w:t>Gen</w:t>
      </w:r>
      <w:r>
        <w:rPr>
          <w:szCs w:val="24"/>
        </w:rPr>
        <w:t>ève</w:t>
      </w:r>
      <w:r w:rsidRPr="00A70ED8">
        <w:rPr>
          <w:bCs/>
          <w:szCs w:val="24"/>
        </w:rPr>
        <w:t xml:space="preserve">, 28-31 </w:t>
      </w:r>
      <w:r>
        <w:rPr>
          <w:bCs/>
          <w:szCs w:val="24"/>
        </w:rPr>
        <w:t>janvier</w:t>
      </w:r>
      <w:r w:rsidRPr="00A70ED8">
        <w:rPr>
          <w:bCs/>
          <w:szCs w:val="24"/>
        </w:rPr>
        <w:t xml:space="preserve"> 2020 </w:t>
      </w:r>
    </w:p>
    <w:p w14:paraId="7D80674D" w14:textId="77777777" w:rsidR="00462BA7" w:rsidRPr="00A70ED8" w:rsidRDefault="00462BA7" w:rsidP="00462BA7">
      <w:pPr>
        <w:ind w:right="1134"/>
        <w:rPr>
          <w:bCs/>
          <w:szCs w:val="24"/>
        </w:rPr>
      </w:pPr>
      <w:r>
        <w:rPr>
          <w:bCs/>
          <w:szCs w:val="24"/>
        </w:rPr>
        <w:t>Point</w:t>
      </w:r>
      <w:r w:rsidRPr="00A70ED8">
        <w:rPr>
          <w:bCs/>
          <w:szCs w:val="24"/>
        </w:rPr>
        <w:t xml:space="preserve"> 2 </w:t>
      </w:r>
      <w:r>
        <w:rPr>
          <w:bCs/>
          <w:szCs w:val="24"/>
        </w:rPr>
        <w:t>de l’ordre du jour provisoire</w:t>
      </w:r>
    </w:p>
    <w:p w14:paraId="42080104" w14:textId="77777777" w:rsidR="00462BA7" w:rsidRPr="004B45DF" w:rsidRDefault="00462BA7" w:rsidP="00462BA7">
      <w:pPr>
        <w:rPr>
          <w:szCs w:val="24"/>
        </w:rPr>
      </w:pPr>
      <w:r w:rsidRPr="004B45DF">
        <w:rPr>
          <w:b/>
          <w:szCs w:val="24"/>
        </w:rPr>
        <w:t>Règlement ONU n</w:t>
      </w:r>
      <w:r w:rsidRPr="004B45DF">
        <w:rPr>
          <w:b/>
          <w:szCs w:val="24"/>
          <w:vertAlign w:val="superscript"/>
        </w:rPr>
        <w:t>o</w:t>
      </w:r>
      <w:r w:rsidR="00B72885">
        <w:rPr>
          <w:b/>
          <w:szCs w:val="24"/>
        </w:rPr>
        <w:t> </w:t>
      </w:r>
      <w:r w:rsidRPr="004B45DF">
        <w:rPr>
          <w:b/>
          <w:szCs w:val="24"/>
        </w:rPr>
        <w:t xml:space="preserve">41 (Bruit émis par les motocycles) </w:t>
      </w:r>
    </w:p>
    <w:p w14:paraId="481BBCA9" w14:textId="77777777" w:rsidR="00462BA7" w:rsidRPr="00A70ED8" w:rsidRDefault="00462BA7" w:rsidP="00B72885">
      <w:pPr>
        <w:pStyle w:val="HChG"/>
      </w:pPr>
      <w:r w:rsidRPr="00A70ED8">
        <w:tab/>
      </w:r>
      <w:r w:rsidRPr="00A70ED8">
        <w:tab/>
      </w:r>
      <w:r w:rsidRPr="00406F10">
        <w:t>Proposition de complément à la série 04 d</w:t>
      </w:r>
      <w:r>
        <w:t>’</w:t>
      </w:r>
      <w:r w:rsidRPr="00406F10">
        <w:t xml:space="preserve">amendements </w:t>
      </w:r>
      <w:r w:rsidR="00B72885">
        <w:br/>
      </w:r>
      <w:r w:rsidRPr="00406F10">
        <w:t xml:space="preserve">au Règlement ONU </w:t>
      </w:r>
      <w:r w:rsidR="00B72885">
        <w:rPr>
          <w:rFonts w:eastAsia="MS Mincho"/>
        </w:rPr>
        <w:t>n</w:t>
      </w:r>
      <w:r w:rsidR="00B72885">
        <w:rPr>
          <w:rFonts w:eastAsia="MS Mincho"/>
          <w:vertAlign w:val="superscript"/>
        </w:rPr>
        <w:t>o</w:t>
      </w:r>
      <w:r w:rsidR="00B72885">
        <w:t> </w:t>
      </w:r>
      <w:r w:rsidRPr="00406F10">
        <w:t>41 (Bruit émis par les motocycles)</w:t>
      </w:r>
    </w:p>
    <w:p w14:paraId="6B2180CD" w14:textId="77777777" w:rsidR="00462BA7" w:rsidRPr="00A70ED8" w:rsidRDefault="00B72885" w:rsidP="00B72885">
      <w:pPr>
        <w:pStyle w:val="H1G"/>
      </w:pPr>
      <w:r>
        <w:tab/>
      </w:r>
      <w:r>
        <w:tab/>
      </w:r>
      <w:r w:rsidR="00462BA7" w:rsidRPr="00406F10">
        <w:t>Communication de l</w:t>
      </w:r>
      <w:r w:rsidR="00462BA7">
        <w:t>’</w:t>
      </w:r>
      <w:r w:rsidR="00462BA7" w:rsidRPr="00406F10">
        <w:t xml:space="preserve">expert de </w:t>
      </w:r>
      <w:bookmarkStart w:id="0" w:name="_Hlk24707928"/>
      <w:r w:rsidR="00462BA7" w:rsidRPr="00406F10">
        <w:t>l</w:t>
      </w:r>
      <w:r w:rsidR="00462BA7">
        <w:t>’</w:t>
      </w:r>
      <w:r w:rsidR="00462BA7" w:rsidRPr="00406F10">
        <w:t xml:space="preserve">Association internationale </w:t>
      </w:r>
      <w:r>
        <w:br/>
      </w:r>
      <w:r w:rsidR="00462BA7" w:rsidRPr="00406F10">
        <w:t>des constructeurs de motocycles</w:t>
      </w:r>
      <w:bookmarkEnd w:id="0"/>
      <w:r w:rsidRPr="00B7288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F571767" w14:textId="77777777" w:rsidR="00462BA7" w:rsidRDefault="00462BA7" w:rsidP="00B72885">
      <w:pPr>
        <w:pStyle w:val="SingleTxtG"/>
        <w:ind w:firstLine="567"/>
      </w:pPr>
      <w:r w:rsidRPr="00A20855">
        <w:t>Le texte ci-après, établi par l</w:t>
      </w:r>
      <w:r>
        <w:t>’</w:t>
      </w:r>
      <w:r w:rsidRPr="00A20855">
        <w:t>expert de l</w:t>
      </w:r>
      <w:r>
        <w:t>’</w:t>
      </w:r>
      <w:r w:rsidRPr="00A20855">
        <w:t xml:space="preserve">Association internationale des constructeurs de motocycles </w:t>
      </w:r>
      <w:r>
        <w:t>(</w:t>
      </w:r>
      <w:r w:rsidRPr="00A20855">
        <w:t>IMMA</w:t>
      </w:r>
      <w:r>
        <w:t>)</w:t>
      </w:r>
      <w:r w:rsidRPr="00A20855">
        <w:t>, vise à réduire la multiplication des numéros d</w:t>
      </w:r>
      <w:r>
        <w:t>’</w:t>
      </w:r>
      <w:r w:rsidRPr="00A20855">
        <w:t>homologation. Les</w:t>
      </w:r>
      <w:r w:rsidR="00B72885">
        <w:t> </w:t>
      </w:r>
      <w:r w:rsidRPr="00A20855">
        <w:t>modifications qu</w:t>
      </w:r>
      <w:r>
        <w:t>’</w:t>
      </w:r>
      <w:r w:rsidRPr="00A20855">
        <w:t>il est proposé d</w:t>
      </w:r>
      <w:r>
        <w:t>’</w:t>
      </w:r>
      <w:r w:rsidRPr="00A20855">
        <w:t>apporter figurent en caractères gras pour les ajouts et biffés pour les suppressions.</w:t>
      </w:r>
    </w:p>
    <w:p w14:paraId="4B29D004" w14:textId="77777777" w:rsidR="00462BA7" w:rsidRPr="00907190" w:rsidRDefault="00462BA7" w:rsidP="00907190">
      <w:pPr>
        <w:pStyle w:val="HChG"/>
        <w:rPr>
          <w:sz w:val="20"/>
        </w:rPr>
      </w:pPr>
      <w:r w:rsidRPr="004B45DF">
        <w:br w:type="page"/>
      </w:r>
      <w:r w:rsidRPr="004B45DF">
        <w:lastRenderedPageBreak/>
        <w:tab/>
        <w:t>I.</w:t>
      </w:r>
      <w:r w:rsidRPr="004B45DF">
        <w:tab/>
        <w:t>Propo</w:t>
      </w:r>
      <w:r w:rsidR="00907190">
        <w:t>sition</w:t>
      </w:r>
    </w:p>
    <w:p w14:paraId="1E1DFE33" w14:textId="77777777" w:rsidR="00462BA7" w:rsidRPr="00A20855" w:rsidRDefault="00462BA7" w:rsidP="00797821">
      <w:pPr>
        <w:pStyle w:val="SingleTxtG"/>
        <w:keepNext/>
        <w:rPr>
          <w:color w:val="000000"/>
        </w:rPr>
      </w:pPr>
      <w:r w:rsidRPr="00907190">
        <w:rPr>
          <w:i/>
        </w:rPr>
        <w:t>Paragraphe 2</w:t>
      </w:r>
      <w:r w:rsidRPr="00A20855">
        <w:t>, lire :</w:t>
      </w:r>
    </w:p>
    <w:p w14:paraId="7FADAEB5" w14:textId="77777777" w:rsidR="00462BA7" w:rsidRPr="00A20855" w:rsidRDefault="00462BA7" w:rsidP="00907190">
      <w:pPr>
        <w:pStyle w:val="SingleTxtG"/>
        <w:ind w:left="2268" w:hanging="1134"/>
        <w:rPr>
          <w:color w:val="000000"/>
        </w:rPr>
      </w:pPr>
      <w:r w:rsidRPr="00A20855">
        <w:t>« 2.</w:t>
      </w:r>
      <w:r w:rsidRPr="00A20855">
        <w:tab/>
        <w:t>…</w:t>
      </w:r>
    </w:p>
    <w:p w14:paraId="45146132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2.1</w:t>
      </w:r>
      <w:r w:rsidRPr="00A20855">
        <w:rPr>
          <w:szCs w:val="24"/>
        </w:rPr>
        <w:tab/>
        <w:t>Par “</w:t>
      </w:r>
      <w:r w:rsidRPr="00A20855">
        <w:rPr>
          <w:i/>
          <w:iCs/>
          <w:szCs w:val="24"/>
        </w:rPr>
        <w:t>homologation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>un motocycle</w:t>
      </w:r>
      <w:r w:rsidRPr="00A20855">
        <w:rPr>
          <w:szCs w:val="24"/>
        </w:rPr>
        <w:t>”, l</w:t>
      </w:r>
      <w:r>
        <w:rPr>
          <w:szCs w:val="24"/>
        </w:rPr>
        <w:t>’</w:t>
      </w:r>
      <w:r w:rsidRPr="00A20855">
        <w:rPr>
          <w:szCs w:val="24"/>
        </w:rPr>
        <w:t>homologation d</w:t>
      </w:r>
      <w:r>
        <w:rPr>
          <w:szCs w:val="24"/>
        </w:rPr>
        <w:t>’</w:t>
      </w:r>
      <w:r w:rsidRPr="00A20855">
        <w:rPr>
          <w:szCs w:val="24"/>
        </w:rPr>
        <w:t>un type de motocycle en ce qui concerne le bruit ;</w:t>
      </w:r>
    </w:p>
    <w:p w14:paraId="39E1965A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2.2</w:t>
      </w:r>
      <w:r w:rsidRPr="00A20855">
        <w:rPr>
          <w:szCs w:val="24"/>
        </w:rPr>
        <w:tab/>
        <w:t>Par “</w:t>
      </w:r>
      <w:r w:rsidRPr="00A20855">
        <w:rPr>
          <w:i/>
          <w:iCs/>
          <w:szCs w:val="24"/>
        </w:rPr>
        <w:t>type de motocycle en ce qui concerne son niveau sonore</w:t>
      </w:r>
      <w:r w:rsidRPr="00A20855">
        <w:rPr>
          <w:i/>
          <w:iCs/>
          <w:strike/>
          <w:szCs w:val="24"/>
        </w:rPr>
        <w:t xml:space="preserve"> et son dispositif d</w:t>
      </w:r>
      <w:r>
        <w:rPr>
          <w:i/>
          <w:iCs/>
          <w:strike/>
          <w:szCs w:val="24"/>
        </w:rPr>
        <w:t>’</w:t>
      </w:r>
      <w:r w:rsidRPr="00A20855">
        <w:rPr>
          <w:i/>
          <w:iCs/>
          <w:strike/>
          <w:szCs w:val="24"/>
        </w:rPr>
        <w:t>échappement</w:t>
      </w:r>
      <w:r w:rsidRPr="00A20855">
        <w:rPr>
          <w:szCs w:val="24"/>
        </w:rPr>
        <w:t xml:space="preserve">”, des </w:t>
      </w:r>
      <w:r w:rsidRPr="00A20855">
        <w:rPr>
          <w:color w:val="000000"/>
          <w:szCs w:val="24"/>
        </w:rPr>
        <w:t>motocycles</w:t>
      </w:r>
      <w:r w:rsidRPr="00A20855">
        <w:rPr>
          <w:szCs w:val="24"/>
        </w:rPr>
        <w:t xml:space="preserve"> ne présentant pas entre eux de différence essentielle, notamment quant aux éléments ci-après : </w:t>
      </w:r>
    </w:p>
    <w:p w14:paraId="1E51D6B6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2.2.1</w:t>
      </w:r>
      <w:r w:rsidRPr="00A20855">
        <w:rPr>
          <w:szCs w:val="24"/>
        </w:rPr>
        <w:tab/>
        <w:t xml:space="preserve">Type de </w:t>
      </w:r>
      <w:r w:rsidRPr="00A20855">
        <w:rPr>
          <w:color w:val="000000"/>
          <w:szCs w:val="24"/>
        </w:rPr>
        <w:t>moteur</w:t>
      </w:r>
      <w:r w:rsidRPr="00A20855">
        <w:rPr>
          <w:szCs w:val="24"/>
        </w:rPr>
        <w:t xml:space="preserve"> (à deux ou quatre temps, à pistons alternatifs ou rotatifs, nombre des cylindres et cylindrées, nombre et type de carburateurs ou systèmes d</w:t>
      </w:r>
      <w:r>
        <w:rPr>
          <w:szCs w:val="24"/>
        </w:rPr>
        <w:t>’</w:t>
      </w:r>
      <w:r w:rsidRPr="00A20855">
        <w:rPr>
          <w:szCs w:val="24"/>
        </w:rPr>
        <w:t>injection, dispositions des soupapes, puissance nette maximum nominale et régime correspondant</w:t>
      </w:r>
      <w:r w:rsidRPr="00A20855">
        <w:rPr>
          <w:b/>
          <w:bCs/>
          <w:szCs w:val="24"/>
        </w:rPr>
        <w:t xml:space="preserve"> sous réserve des tolérances prévues au titre des prescriptions relatives à la conformité de la production</w:t>
      </w:r>
      <w:r w:rsidRPr="00A20855">
        <w:rPr>
          <w:szCs w:val="24"/>
        </w:rPr>
        <w:t>). Pour les moteurs à pistons rotatifs, la cylindrée à considérer est de deux fois le volume de la chambre de combustion ;</w:t>
      </w:r>
    </w:p>
    <w:p w14:paraId="44A6B9B1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2.2.2</w:t>
      </w:r>
      <w:r w:rsidRPr="00A20855">
        <w:rPr>
          <w:szCs w:val="24"/>
        </w:rPr>
        <w:tab/>
        <w:t xml:space="preserve">Système de transmission, </w:t>
      </w:r>
      <w:r w:rsidRPr="00A20855">
        <w:rPr>
          <w:color w:val="000000"/>
          <w:szCs w:val="24"/>
        </w:rPr>
        <w:t>notamment</w:t>
      </w:r>
      <w:r w:rsidRPr="00A20855">
        <w:rPr>
          <w:szCs w:val="24"/>
        </w:rPr>
        <w:t xml:space="preserve"> le nombre et la démultiplication des rapports ;</w:t>
      </w:r>
    </w:p>
    <w:p w14:paraId="4B2E9045" w14:textId="77777777" w:rsidR="00462BA7" w:rsidRPr="00A20855" w:rsidRDefault="00462BA7" w:rsidP="00907190">
      <w:pPr>
        <w:pStyle w:val="SingleTxtG"/>
        <w:ind w:left="2268" w:hanging="1134"/>
        <w:rPr>
          <w:strike/>
          <w:color w:val="000000"/>
          <w:szCs w:val="24"/>
        </w:rPr>
      </w:pPr>
      <w:r w:rsidRPr="00A20855">
        <w:rPr>
          <w:strike/>
          <w:szCs w:val="24"/>
        </w:rPr>
        <w:t>2.2.3</w:t>
      </w:r>
      <w:r w:rsidRPr="00A20855">
        <w:rPr>
          <w:szCs w:val="24"/>
        </w:rPr>
        <w:tab/>
      </w:r>
      <w:r w:rsidRPr="00A20855">
        <w:rPr>
          <w:strike/>
          <w:szCs w:val="24"/>
        </w:rPr>
        <w:t>Nombre, type et disposition des dispositifs d</w:t>
      </w:r>
      <w:r>
        <w:rPr>
          <w:strike/>
          <w:szCs w:val="24"/>
        </w:rPr>
        <w:t>’</w:t>
      </w:r>
      <w:r w:rsidRPr="00A20855">
        <w:rPr>
          <w:strike/>
          <w:szCs w:val="24"/>
        </w:rPr>
        <w:t>échappement ou silencieux.</w:t>
      </w:r>
    </w:p>
    <w:p w14:paraId="54618028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2.3</w:t>
      </w:r>
      <w:r w:rsidRPr="00A20855">
        <w:rPr>
          <w:szCs w:val="24"/>
        </w:rPr>
        <w:tab/>
        <w:t>Par “</w:t>
      </w:r>
      <w:r w:rsidRPr="00A20855">
        <w:rPr>
          <w:i/>
          <w:iCs/>
          <w:szCs w:val="24"/>
        </w:rPr>
        <w:t>dispositif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>échappement ou silencieux</w:t>
      </w:r>
      <w:r w:rsidRPr="00A20855">
        <w:rPr>
          <w:szCs w:val="24"/>
        </w:rPr>
        <w:t>”, un jeu complet d</w:t>
      </w:r>
      <w:r>
        <w:rPr>
          <w:szCs w:val="24"/>
        </w:rPr>
        <w:t>’</w:t>
      </w:r>
      <w:r w:rsidRPr="00A20855">
        <w:rPr>
          <w:szCs w:val="24"/>
        </w:rPr>
        <w:t xml:space="preserve">éléments nécessaires pour </w:t>
      </w:r>
      <w:r w:rsidRPr="00A20855">
        <w:rPr>
          <w:color w:val="000000"/>
          <w:szCs w:val="24"/>
        </w:rPr>
        <w:t>limiter</w:t>
      </w:r>
      <w:r w:rsidRPr="00A20855">
        <w:rPr>
          <w:szCs w:val="24"/>
        </w:rPr>
        <w:t xml:space="preserve"> le bruit émis par un moteur de motocycle et par son échappement ; </w:t>
      </w:r>
    </w:p>
    <w:p w14:paraId="3B7E573F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2.3.1</w:t>
      </w:r>
      <w:r w:rsidRPr="00A20855">
        <w:rPr>
          <w:szCs w:val="24"/>
        </w:rPr>
        <w:tab/>
        <w:t>Par “</w:t>
      </w:r>
      <w:r w:rsidRPr="00A20855">
        <w:rPr>
          <w:i/>
          <w:iCs/>
          <w:szCs w:val="24"/>
        </w:rPr>
        <w:t>dispositif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>échappement ou silencieux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>origine</w:t>
      </w:r>
      <w:r w:rsidRPr="00A20855">
        <w:rPr>
          <w:szCs w:val="24"/>
        </w:rPr>
        <w:t xml:space="preserve">”, un dispositif </w:t>
      </w:r>
      <w:r w:rsidRPr="00A20855">
        <w:rPr>
          <w:color w:val="000000"/>
          <w:szCs w:val="24"/>
        </w:rPr>
        <w:t>d</w:t>
      </w:r>
      <w:r>
        <w:rPr>
          <w:color w:val="000000"/>
          <w:szCs w:val="24"/>
        </w:rPr>
        <w:t>’</w:t>
      </w:r>
      <w:r w:rsidRPr="00A20855">
        <w:rPr>
          <w:color w:val="000000"/>
          <w:szCs w:val="24"/>
        </w:rPr>
        <w:t>un</w:t>
      </w:r>
      <w:r w:rsidRPr="00A20855">
        <w:rPr>
          <w:szCs w:val="24"/>
        </w:rPr>
        <w:t xml:space="preserve"> type monté sur le véhicule au moment de l</w:t>
      </w:r>
      <w:r>
        <w:rPr>
          <w:szCs w:val="24"/>
        </w:rPr>
        <w:t>’</w:t>
      </w:r>
      <w:r w:rsidRPr="00A20855">
        <w:rPr>
          <w:szCs w:val="24"/>
        </w:rPr>
        <w:t>homologation de type ou de son extension. Il peut aussi s</w:t>
      </w:r>
      <w:r>
        <w:rPr>
          <w:szCs w:val="24"/>
        </w:rPr>
        <w:t>’</w:t>
      </w:r>
      <w:r w:rsidRPr="00A20855">
        <w:rPr>
          <w:szCs w:val="24"/>
        </w:rPr>
        <w:t>agir d</w:t>
      </w:r>
      <w:r>
        <w:rPr>
          <w:szCs w:val="24"/>
        </w:rPr>
        <w:t>’</w:t>
      </w:r>
      <w:r w:rsidRPr="00A20855">
        <w:rPr>
          <w:szCs w:val="24"/>
        </w:rPr>
        <w:t>une pièce de rechange provenant du constructeur ;</w:t>
      </w:r>
    </w:p>
    <w:p w14:paraId="78E5E81F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2.3.2</w:t>
      </w:r>
      <w:r w:rsidRPr="00A20855">
        <w:rPr>
          <w:szCs w:val="24"/>
        </w:rPr>
        <w:tab/>
        <w:t>Par “</w:t>
      </w:r>
      <w:r w:rsidRPr="00A20855">
        <w:rPr>
          <w:i/>
          <w:iCs/>
          <w:szCs w:val="24"/>
        </w:rPr>
        <w:t>dispositif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>échappement ou silencieux autre que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>origine</w:t>
      </w:r>
      <w:r w:rsidRPr="00A20855">
        <w:rPr>
          <w:szCs w:val="24"/>
        </w:rPr>
        <w:t xml:space="preserve">”, un </w:t>
      </w:r>
      <w:r w:rsidRPr="00A20855">
        <w:rPr>
          <w:color w:val="000000"/>
          <w:szCs w:val="24"/>
        </w:rPr>
        <w:t>dispositif</w:t>
      </w:r>
      <w:r w:rsidRPr="00A20855">
        <w:rPr>
          <w:szCs w:val="24"/>
        </w:rPr>
        <w:t xml:space="preserve"> d</w:t>
      </w:r>
      <w:r>
        <w:rPr>
          <w:szCs w:val="24"/>
        </w:rPr>
        <w:t>’</w:t>
      </w:r>
      <w:r w:rsidRPr="00A20855">
        <w:rPr>
          <w:szCs w:val="24"/>
        </w:rPr>
        <w:t>un type autre que celui monté sur le véhicule au moment de l</w:t>
      </w:r>
      <w:r>
        <w:rPr>
          <w:szCs w:val="24"/>
        </w:rPr>
        <w:t>’</w:t>
      </w:r>
      <w:r w:rsidRPr="00A20855">
        <w:rPr>
          <w:szCs w:val="24"/>
        </w:rPr>
        <w:t>homologation de type ou de son extension ;</w:t>
      </w:r>
    </w:p>
    <w:p w14:paraId="2706DE1B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2.4</w:t>
      </w:r>
      <w:r w:rsidRPr="00A20855">
        <w:rPr>
          <w:szCs w:val="24"/>
        </w:rPr>
        <w:tab/>
        <w:t>Par “</w:t>
      </w:r>
      <w:r w:rsidRPr="00A20855">
        <w:rPr>
          <w:i/>
          <w:iCs/>
          <w:szCs w:val="24"/>
        </w:rPr>
        <w:t>dispositifs d</w:t>
      </w:r>
      <w:r>
        <w:rPr>
          <w:i/>
          <w:iCs/>
          <w:szCs w:val="24"/>
        </w:rPr>
        <w:t>’</w:t>
      </w:r>
      <w:r w:rsidRPr="00A20855">
        <w:rPr>
          <w:i/>
          <w:iCs/>
          <w:szCs w:val="24"/>
        </w:rPr>
        <w:t xml:space="preserve">échappement ou silencieux de </w:t>
      </w:r>
      <w:r w:rsidRPr="00A20855">
        <w:rPr>
          <w:i/>
          <w:iCs/>
          <w:strike/>
          <w:szCs w:val="24"/>
        </w:rPr>
        <w:t xml:space="preserve">types </w:t>
      </w:r>
      <w:r w:rsidRPr="00A20855">
        <w:rPr>
          <w:b/>
          <w:bCs/>
          <w:i/>
          <w:iCs/>
          <w:szCs w:val="24"/>
        </w:rPr>
        <w:t xml:space="preserve">configurations </w:t>
      </w:r>
      <w:r w:rsidRPr="00A20855">
        <w:rPr>
          <w:i/>
          <w:iCs/>
          <w:szCs w:val="24"/>
        </w:rPr>
        <w:t>différent</w:t>
      </w:r>
      <w:r w:rsidRPr="00A20855">
        <w:rPr>
          <w:b/>
          <w:bCs/>
          <w:i/>
          <w:iCs/>
          <w:szCs w:val="24"/>
        </w:rPr>
        <w:t>e</w:t>
      </w:r>
      <w:r w:rsidRPr="00A20855">
        <w:rPr>
          <w:i/>
          <w:iCs/>
          <w:szCs w:val="24"/>
        </w:rPr>
        <w:t>s</w:t>
      </w:r>
      <w:r w:rsidRPr="00A20855">
        <w:rPr>
          <w:szCs w:val="24"/>
        </w:rPr>
        <w:t xml:space="preserve">”, des </w:t>
      </w:r>
      <w:r w:rsidRPr="00A20855">
        <w:rPr>
          <w:color w:val="000000"/>
          <w:szCs w:val="24"/>
        </w:rPr>
        <w:t>dispositifs</w:t>
      </w:r>
      <w:r w:rsidRPr="00A20855">
        <w:rPr>
          <w:szCs w:val="24"/>
        </w:rPr>
        <w:t xml:space="preserve"> présentant entre eux des différences sur un des points essentiels suivants :</w:t>
      </w:r>
    </w:p>
    <w:p w14:paraId="4D837A90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2.4.1</w:t>
      </w:r>
      <w:r w:rsidRPr="00A20855">
        <w:rPr>
          <w:szCs w:val="24"/>
        </w:rPr>
        <w:tab/>
        <w:t xml:space="preserve">Dispositifs dont les éléments portent des marques de fabrique ou de commerce </w:t>
      </w:r>
      <w:r w:rsidRPr="00A20855">
        <w:rPr>
          <w:color w:val="000000"/>
          <w:szCs w:val="24"/>
        </w:rPr>
        <w:t>différentes </w:t>
      </w:r>
      <w:r w:rsidRPr="00A20855">
        <w:rPr>
          <w:szCs w:val="24"/>
        </w:rPr>
        <w:t>;</w:t>
      </w:r>
    </w:p>
    <w:p w14:paraId="4801CE76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2.4.2</w:t>
      </w:r>
      <w:r w:rsidRPr="00A20855">
        <w:rPr>
          <w:szCs w:val="24"/>
        </w:rPr>
        <w:tab/>
        <w:t>Dispositifs comprenant un élément fait de matériaux ayant des caractéristiques différentes ou comprenant des éléments de formes ou de dimensions différentes ;</w:t>
      </w:r>
    </w:p>
    <w:p w14:paraId="085A7124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2.4.3</w:t>
      </w:r>
      <w:r w:rsidRPr="00A20855">
        <w:rPr>
          <w:szCs w:val="24"/>
        </w:rPr>
        <w:tab/>
        <w:t>Dispositifs dans lesquels les principes de fonctionnement d</w:t>
      </w:r>
      <w:r>
        <w:rPr>
          <w:szCs w:val="24"/>
        </w:rPr>
        <w:t>’</w:t>
      </w:r>
      <w:r w:rsidRPr="00A20855">
        <w:rPr>
          <w:szCs w:val="24"/>
        </w:rPr>
        <w:t xml:space="preserve">au moins un élément sont </w:t>
      </w:r>
      <w:r w:rsidRPr="00A20855">
        <w:rPr>
          <w:color w:val="000000"/>
          <w:szCs w:val="24"/>
        </w:rPr>
        <w:t>différents </w:t>
      </w:r>
      <w:r w:rsidRPr="00A20855">
        <w:rPr>
          <w:szCs w:val="24"/>
        </w:rPr>
        <w:t>;</w:t>
      </w:r>
    </w:p>
    <w:p w14:paraId="10B3379D" w14:textId="77777777" w:rsidR="00462BA7" w:rsidRPr="00A20855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0855">
        <w:rPr>
          <w:szCs w:val="24"/>
        </w:rPr>
        <w:t>2.4.4</w:t>
      </w:r>
      <w:r w:rsidRPr="00A20855">
        <w:rPr>
          <w:szCs w:val="24"/>
        </w:rPr>
        <w:tab/>
        <w:t xml:space="preserve">Dispositifs dont les éléments sont combinés </w:t>
      </w:r>
      <w:r w:rsidRPr="00A20855">
        <w:rPr>
          <w:color w:val="000000"/>
          <w:szCs w:val="24"/>
        </w:rPr>
        <w:t>différemment </w:t>
      </w:r>
      <w:r w:rsidRPr="00A20855">
        <w:rPr>
          <w:szCs w:val="24"/>
        </w:rPr>
        <w:t>;</w:t>
      </w:r>
    </w:p>
    <w:p w14:paraId="46694B17" w14:textId="77777777" w:rsidR="00462BA7" w:rsidRDefault="00462BA7" w:rsidP="00907190">
      <w:pPr>
        <w:pStyle w:val="SingleTxtG"/>
        <w:ind w:left="2268" w:hanging="1134"/>
        <w:rPr>
          <w:color w:val="000000" w:themeColor="text1"/>
          <w:szCs w:val="24"/>
        </w:rPr>
      </w:pPr>
      <w:r w:rsidRPr="00A20855">
        <w:rPr>
          <w:color w:val="000000" w:themeColor="text1"/>
          <w:szCs w:val="24"/>
        </w:rPr>
        <w:t>2.5</w:t>
      </w:r>
      <w:r w:rsidRPr="00A20855">
        <w:rPr>
          <w:color w:val="000000" w:themeColor="text1"/>
          <w:szCs w:val="24"/>
        </w:rPr>
        <w:tab/>
        <w:t>… ».</w:t>
      </w:r>
    </w:p>
    <w:p w14:paraId="50728F04" w14:textId="77777777" w:rsidR="00462BA7" w:rsidRPr="00A20855" w:rsidRDefault="00462BA7" w:rsidP="00797821">
      <w:pPr>
        <w:pStyle w:val="SingleTxtG"/>
        <w:keepNext/>
      </w:pPr>
      <w:r w:rsidRPr="00797821">
        <w:rPr>
          <w:i/>
        </w:rPr>
        <w:t>Paragraphe 5</w:t>
      </w:r>
      <w:r w:rsidRPr="000E6806">
        <w:t>, lire :</w:t>
      </w:r>
    </w:p>
    <w:p w14:paraId="55E5683D" w14:textId="77777777" w:rsidR="00462BA7" w:rsidRPr="00A26DBB" w:rsidRDefault="00462BA7" w:rsidP="00797821">
      <w:pPr>
        <w:pStyle w:val="SingleTxtG"/>
        <w:keepNext/>
        <w:ind w:left="2268" w:hanging="1134"/>
        <w:rPr>
          <w:color w:val="000000"/>
          <w:szCs w:val="24"/>
        </w:rPr>
      </w:pPr>
      <w:r w:rsidRPr="00A26DBB">
        <w:rPr>
          <w:szCs w:val="24"/>
        </w:rPr>
        <w:t xml:space="preserve"> «5.</w:t>
      </w:r>
      <w:r w:rsidRPr="00A26DBB">
        <w:rPr>
          <w:szCs w:val="24"/>
        </w:rPr>
        <w:tab/>
        <w:t>Homologation</w:t>
      </w:r>
    </w:p>
    <w:p w14:paraId="5CDCD98E" w14:textId="77777777" w:rsidR="00462BA7" w:rsidRPr="00A26DBB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6DBB">
        <w:rPr>
          <w:szCs w:val="24"/>
        </w:rPr>
        <w:t>5.1</w:t>
      </w:r>
      <w:r w:rsidRPr="00A26DBB">
        <w:rPr>
          <w:szCs w:val="24"/>
        </w:rPr>
        <w:tab/>
        <w:t>Lorsque le type de motocycle présenté à l</w:t>
      </w:r>
      <w:r>
        <w:rPr>
          <w:szCs w:val="24"/>
        </w:rPr>
        <w:t>’</w:t>
      </w:r>
      <w:r w:rsidRPr="00A26DBB">
        <w:rPr>
          <w:szCs w:val="24"/>
        </w:rPr>
        <w:t>homologation en application du présent Règlement satisfait aux prescriptions des paragraphes 6 et 7 ci-après, l</w:t>
      </w:r>
      <w:r>
        <w:rPr>
          <w:szCs w:val="24"/>
        </w:rPr>
        <w:t>’</w:t>
      </w:r>
      <w:r w:rsidRPr="00A26DBB">
        <w:rPr>
          <w:szCs w:val="24"/>
        </w:rPr>
        <w:t>homologation pour ce type de motocycle est accordée.</w:t>
      </w:r>
    </w:p>
    <w:p w14:paraId="1F92FDEC" w14:textId="77777777" w:rsidR="00462BA7" w:rsidRPr="00A26DBB" w:rsidRDefault="00462BA7" w:rsidP="00522AE5">
      <w:pPr>
        <w:pStyle w:val="SingleTxtG"/>
        <w:keepLines/>
        <w:ind w:left="2268" w:hanging="1134"/>
        <w:rPr>
          <w:color w:val="000000"/>
          <w:szCs w:val="24"/>
        </w:rPr>
      </w:pPr>
      <w:r w:rsidRPr="00A26DBB">
        <w:rPr>
          <w:szCs w:val="24"/>
        </w:rPr>
        <w:t>5.2.</w:t>
      </w:r>
      <w:r w:rsidRPr="00522AE5">
        <w:rPr>
          <w:b/>
          <w:szCs w:val="24"/>
        </w:rPr>
        <w:t>1</w:t>
      </w:r>
      <w:r w:rsidRPr="00A26DBB">
        <w:rPr>
          <w:szCs w:val="24"/>
        </w:rPr>
        <w:tab/>
        <w:t>Chaque type homologué reçoit un numéro d</w:t>
      </w:r>
      <w:r>
        <w:rPr>
          <w:szCs w:val="24"/>
        </w:rPr>
        <w:t>’</w:t>
      </w:r>
      <w:r w:rsidRPr="00A26DBB">
        <w:rPr>
          <w:szCs w:val="24"/>
        </w:rPr>
        <w:t>homologation dont les deux premiers chiffres indiquent la série d</w:t>
      </w:r>
      <w:r>
        <w:rPr>
          <w:szCs w:val="24"/>
        </w:rPr>
        <w:t>’</w:t>
      </w:r>
      <w:r w:rsidRPr="00A26DBB">
        <w:rPr>
          <w:szCs w:val="24"/>
        </w:rPr>
        <w:t xml:space="preserve">amendements correspondant aux plus </w:t>
      </w:r>
      <w:r w:rsidRPr="00A26DBB">
        <w:rPr>
          <w:szCs w:val="24"/>
        </w:rPr>
        <w:lastRenderedPageBreak/>
        <w:t>récentes modifications techniques majeures apportées au Règlement à la date de délivrance de l</w:t>
      </w:r>
      <w:r>
        <w:rPr>
          <w:szCs w:val="24"/>
        </w:rPr>
        <w:t>’</w:t>
      </w:r>
      <w:r w:rsidRPr="00A26DBB">
        <w:rPr>
          <w:szCs w:val="24"/>
        </w:rPr>
        <w:t xml:space="preserve">homologation. Une même Partie contractante ne peut pas attribuer ce numéro </w:t>
      </w:r>
      <w:r w:rsidRPr="00A26DBB">
        <w:rPr>
          <w:strike/>
          <w:szCs w:val="24"/>
        </w:rPr>
        <w:t>au même type de motocycle équipé d</w:t>
      </w:r>
      <w:r>
        <w:rPr>
          <w:strike/>
          <w:szCs w:val="24"/>
        </w:rPr>
        <w:t>’</w:t>
      </w:r>
      <w:r w:rsidRPr="00A26DBB">
        <w:rPr>
          <w:strike/>
          <w:szCs w:val="24"/>
        </w:rPr>
        <w:t xml:space="preserve">un autre type de dispositif silencieux, ou </w:t>
      </w:r>
      <w:r w:rsidRPr="00A26DBB">
        <w:rPr>
          <w:szCs w:val="24"/>
        </w:rPr>
        <w:t>à un autre type de motocycle.</w:t>
      </w:r>
    </w:p>
    <w:p w14:paraId="6523F856" w14:textId="77777777" w:rsidR="00462BA7" w:rsidRPr="00522AE5" w:rsidRDefault="00462BA7" w:rsidP="00907190">
      <w:pPr>
        <w:pStyle w:val="SingleTxtG"/>
        <w:ind w:left="2268" w:hanging="1134"/>
        <w:rPr>
          <w:color w:val="000000"/>
        </w:rPr>
      </w:pPr>
      <w:r w:rsidRPr="00A70ED8">
        <w:rPr>
          <w:b/>
          <w:bCs/>
          <w:color w:val="0D0D0D" w:themeColor="text1" w:themeTint="F2"/>
          <w:szCs w:val="24"/>
        </w:rPr>
        <w:t>5.2.2</w:t>
      </w:r>
      <w:r w:rsidRPr="00A70ED8">
        <w:rPr>
          <w:color w:val="0D0D0D" w:themeColor="text1" w:themeTint="F2"/>
          <w:szCs w:val="24"/>
        </w:rPr>
        <w:tab/>
      </w:r>
      <w:r w:rsidRPr="00A26DBB">
        <w:rPr>
          <w:b/>
          <w:bCs/>
          <w:szCs w:val="24"/>
        </w:rPr>
        <w:t>Pour un type de motocycle donné, on peut faire figurer sur un seul et même certificat d</w:t>
      </w:r>
      <w:r>
        <w:rPr>
          <w:b/>
          <w:bCs/>
          <w:szCs w:val="24"/>
        </w:rPr>
        <w:t>’</w:t>
      </w:r>
      <w:r w:rsidRPr="00A26DBB">
        <w:rPr>
          <w:b/>
          <w:bCs/>
          <w:szCs w:val="24"/>
        </w:rPr>
        <w:t>homologation plusieurs configurations de systèmes d</w:t>
      </w:r>
      <w:r>
        <w:rPr>
          <w:b/>
          <w:bCs/>
          <w:szCs w:val="24"/>
        </w:rPr>
        <w:t>’</w:t>
      </w:r>
      <w:r w:rsidRPr="00A26DBB">
        <w:rPr>
          <w:b/>
          <w:bCs/>
          <w:szCs w:val="24"/>
        </w:rPr>
        <w:t>échappement et/ou de dispositifs silencieux ainsi que les résultats des essais associés à chacune de ces configurations</w:t>
      </w:r>
      <w:r>
        <w:rPr>
          <w:b/>
          <w:bCs/>
          <w:szCs w:val="24"/>
        </w:rPr>
        <w:t>.</w:t>
      </w:r>
      <w:r w:rsidRPr="00A26DBB">
        <w:rPr>
          <w:b/>
          <w:bCs/>
          <w:szCs w:val="24"/>
        </w:rPr>
        <w:t xml:space="preserve"> </w:t>
      </w:r>
      <w:r w:rsidRPr="00522AE5">
        <w:rPr>
          <w:bCs/>
          <w:strike/>
          <w:szCs w:val="24"/>
        </w:rPr>
        <w:t>ou de l’essai correspondant au cas le plus défavorable, conformément aux dispositions convenues entre l’autorité d’homologation de type et le fabricant</w:t>
      </w:r>
      <w:r w:rsidRPr="00522AE5">
        <w:rPr>
          <w:bCs/>
        </w:rPr>
        <w:t>.</w:t>
      </w:r>
    </w:p>
    <w:p w14:paraId="2FFADE86" w14:textId="77777777" w:rsidR="00462BA7" w:rsidRPr="00A70ED8" w:rsidRDefault="00462BA7" w:rsidP="00462BA7">
      <w:pPr>
        <w:pStyle w:val="SingleTxtG"/>
        <w:ind w:left="2268" w:hanging="1134"/>
        <w:rPr>
          <w:color w:val="0D0D0D" w:themeColor="text1" w:themeTint="F2"/>
          <w:szCs w:val="24"/>
        </w:rPr>
      </w:pPr>
      <w:r w:rsidRPr="00A70ED8">
        <w:rPr>
          <w:color w:val="0D0D0D" w:themeColor="text1" w:themeTint="F2"/>
          <w:szCs w:val="24"/>
        </w:rPr>
        <w:t>5.3</w:t>
      </w:r>
      <w:r w:rsidRPr="00A70ED8">
        <w:rPr>
          <w:color w:val="0D0D0D" w:themeColor="text1" w:themeTint="F2"/>
          <w:szCs w:val="24"/>
        </w:rPr>
        <w:tab/>
      </w:r>
      <w:r w:rsidRPr="00A26DBB">
        <w:rPr>
          <w:color w:val="0D0D0D" w:themeColor="text1" w:themeTint="F2"/>
          <w:szCs w:val="24"/>
        </w:rPr>
        <w:t>L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homologation ou le refus d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homologation d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un type de motocycle en application du présent Règlement sont notifiés aux Parties à l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Accord appliquant le présent Règlement, au moyen d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une fiche conforme au modèle de l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annexe 1 du Règlement et de dessins du dispositif d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échappement ou du silencieux (fournis par le demandeur de l</w:t>
      </w:r>
      <w:r>
        <w:rPr>
          <w:color w:val="0D0D0D" w:themeColor="text1" w:themeTint="F2"/>
          <w:szCs w:val="24"/>
        </w:rPr>
        <w:t>’</w:t>
      </w:r>
      <w:r w:rsidRPr="00A26DBB">
        <w:rPr>
          <w:color w:val="0D0D0D" w:themeColor="text1" w:themeTint="F2"/>
          <w:szCs w:val="24"/>
        </w:rPr>
        <w:t>homologation) au format maximal A4 (210 x 297 mm) ou pliés à ce format et à une échelle appropriée</w:t>
      </w:r>
      <w:r w:rsidR="00522AE5">
        <w:rPr>
          <w:color w:val="0D0D0D" w:themeColor="text1" w:themeTint="F2"/>
          <w:szCs w:val="24"/>
        </w:rPr>
        <w:t>.</w:t>
      </w:r>
    </w:p>
    <w:p w14:paraId="46378801" w14:textId="77777777" w:rsidR="00462BA7" w:rsidRPr="00A26DBB" w:rsidRDefault="00462BA7" w:rsidP="00907190">
      <w:pPr>
        <w:pStyle w:val="SingleTxtG"/>
        <w:ind w:left="2268" w:hanging="1134"/>
        <w:rPr>
          <w:color w:val="0D0D0D" w:themeColor="text1" w:themeTint="F2"/>
          <w:szCs w:val="24"/>
        </w:rPr>
      </w:pPr>
      <w:r w:rsidRPr="00A26DBB">
        <w:rPr>
          <w:color w:val="0D0D0D" w:themeColor="text1" w:themeTint="F2"/>
          <w:szCs w:val="24"/>
        </w:rPr>
        <w:t>5.4</w:t>
      </w:r>
      <w:r w:rsidRPr="00A26DBB">
        <w:rPr>
          <w:color w:val="0D0D0D" w:themeColor="text1" w:themeTint="F2"/>
          <w:szCs w:val="24"/>
        </w:rPr>
        <w:tab/>
        <w:t>… ».</w:t>
      </w:r>
    </w:p>
    <w:p w14:paraId="5B697996" w14:textId="77777777" w:rsidR="00462BA7" w:rsidRPr="00A26DBB" w:rsidRDefault="00462BA7" w:rsidP="00797821">
      <w:pPr>
        <w:pStyle w:val="SingleTxtG"/>
        <w:keepNext/>
        <w:rPr>
          <w:color w:val="000000"/>
        </w:rPr>
      </w:pPr>
      <w:r w:rsidRPr="00797821">
        <w:rPr>
          <w:i/>
        </w:rPr>
        <w:t>Annexe 3, paragraphe 1.3.2.1</w:t>
      </w:r>
      <w:r w:rsidRPr="00A26DBB">
        <w:t>, lire :</w:t>
      </w:r>
    </w:p>
    <w:p w14:paraId="786A468E" w14:textId="77777777" w:rsidR="00462BA7" w:rsidRPr="00A26DBB" w:rsidRDefault="00462BA7" w:rsidP="00907190">
      <w:pPr>
        <w:pStyle w:val="SingleTxtG"/>
        <w:ind w:left="2268" w:hanging="1134"/>
        <w:rPr>
          <w:color w:val="000000"/>
          <w:szCs w:val="24"/>
        </w:rPr>
      </w:pPr>
      <w:r w:rsidRPr="00A26DBB">
        <w:rPr>
          <w:szCs w:val="24"/>
        </w:rPr>
        <w:t>« 1.3.2.1</w:t>
      </w:r>
      <w:r w:rsidRPr="00A26DBB">
        <w:rPr>
          <w:szCs w:val="24"/>
        </w:rPr>
        <w:tab/>
        <w:t>État général</w:t>
      </w:r>
    </w:p>
    <w:p w14:paraId="2021B857" w14:textId="77777777" w:rsidR="00462BA7" w:rsidRDefault="00462BA7" w:rsidP="00797821">
      <w:pPr>
        <w:pStyle w:val="SingleTxtG"/>
        <w:ind w:left="2268"/>
        <w:rPr>
          <w:b/>
          <w:bCs/>
          <w:color w:val="0D0D0D" w:themeColor="text1" w:themeTint="F2"/>
          <w:szCs w:val="24"/>
        </w:rPr>
      </w:pPr>
      <w:r w:rsidRPr="00A26DBB">
        <w:rPr>
          <w:strike/>
          <w:szCs w:val="24"/>
        </w:rPr>
        <w:t>Le véhicule doit être présenté dans l</w:t>
      </w:r>
      <w:r>
        <w:rPr>
          <w:strike/>
          <w:szCs w:val="24"/>
        </w:rPr>
        <w:t>’</w:t>
      </w:r>
      <w:r w:rsidRPr="00A26DBB">
        <w:rPr>
          <w:strike/>
          <w:szCs w:val="24"/>
        </w:rPr>
        <w:t xml:space="preserve">état défini par le </w:t>
      </w:r>
      <w:proofErr w:type="spellStart"/>
      <w:r w:rsidRPr="00A26DBB">
        <w:rPr>
          <w:strike/>
          <w:szCs w:val="24"/>
        </w:rPr>
        <w:t>constructeur.</w:t>
      </w:r>
      <w:r w:rsidRPr="00A26DBB">
        <w:rPr>
          <w:b/>
          <w:bCs/>
          <w:szCs w:val="24"/>
        </w:rPr>
        <w:t>Le</w:t>
      </w:r>
      <w:proofErr w:type="spellEnd"/>
      <w:r w:rsidRPr="00A26DBB">
        <w:rPr>
          <w:b/>
          <w:bCs/>
          <w:szCs w:val="24"/>
        </w:rPr>
        <w:t xml:space="preserve"> ou les véhicules soumis à l</w:t>
      </w:r>
      <w:r>
        <w:rPr>
          <w:b/>
          <w:bCs/>
          <w:szCs w:val="24"/>
        </w:rPr>
        <w:t>’</w:t>
      </w:r>
      <w:r w:rsidRPr="00A26DBB">
        <w:rPr>
          <w:b/>
          <w:bCs/>
          <w:szCs w:val="24"/>
        </w:rPr>
        <w:t>essai doivent être représentatifs des véhicules devant être commercialisés et relevant du type de véhicule à homologuer, et ils doivent être sélectionnés par le constructeur en accord avec l</w:t>
      </w:r>
      <w:r>
        <w:rPr>
          <w:b/>
          <w:bCs/>
          <w:szCs w:val="24"/>
        </w:rPr>
        <w:t>’</w:t>
      </w:r>
      <w:r w:rsidRPr="00A26DBB">
        <w:rPr>
          <w:b/>
          <w:bCs/>
          <w:szCs w:val="24"/>
        </w:rPr>
        <w:t>autorité d</w:t>
      </w:r>
      <w:r>
        <w:rPr>
          <w:b/>
          <w:bCs/>
          <w:szCs w:val="24"/>
        </w:rPr>
        <w:t>’</w:t>
      </w:r>
      <w:r w:rsidRPr="00A26DBB">
        <w:rPr>
          <w:b/>
          <w:bCs/>
          <w:szCs w:val="24"/>
        </w:rPr>
        <w:t>homologation de type, de manière à être conformes aux prescriptions du présent Règlement.</w:t>
      </w:r>
    </w:p>
    <w:p w14:paraId="48A993BB" w14:textId="77777777" w:rsidR="00462BA7" w:rsidRPr="00A70ED8" w:rsidRDefault="00462BA7" w:rsidP="00907190">
      <w:pPr>
        <w:pStyle w:val="SingleTxtG"/>
        <w:ind w:left="2268"/>
        <w:rPr>
          <w:color w:val="000000"/>
          <w:szCs w:val="24"/>
        </w:rPr>
      </w:pPr>
      <w:r w:rsidRPr="004B035A">
        <w:rPr>
          <w:color w:val="000000"/>
          <w:szCs w:val="24"/>
        </w:rPr>
        <w:t>Avant que les mesures ne commencent, le véhicule doit être placé dans des conditions normales de fonctionnement.</w:t>
      </w:r>
      <w:r w:rsidRPr="00A70ED8">
        <w:rPr>
          <w:color w:val="000000"/>
          <w:szCs w:val="24"/>
        </w:rPr>
        <w:t xml:space="preserve"> </w:t>
      </w:r>
    </w:p>
    <w:p w14:paraId="2C955AA1" w14:textId="77777777" w:rsidR="00462BA7" w:rsidRPr="00A70ED8" w:rsidRDefault="00462BA7" w:rsidP="00907190">
      <w:pPr>
        <w:pStyle w:val="SingleTxtG"/>
        <w:ind w:left="2268"/>
        <w:rPr>
          <w:color w:val="0D0D0D" w:themeColor="text1" w:themeTint="F2"/>
          <w:szCs w:val="24"/>
          <w:lang w:eastAsia="ja-JP"/>
        </w:rPr>
      </w:pPr>
      <w:r w:rsidRPr="004B035A">
        <w:rPr>
          <w:color w:val="000000"/>
          <w:szCs w:val="24"/>
        </w:rPr>
        <w:t>Si le motocycle est équipé de ventilateurs à enclenchement automatique, leur fonctionnement ne doit pas être perturbé pendant la mesure du bruit émis par le motocycle. Sur les motocycles équipés de plus d</w:t>
      </w:r>
      <w:r>
        <w:rPr>
          <w:color w:val="000000"/>
          <w:szCs w:val="24"/>
        </w:rPr>
        <w:t>’</w:t>
      </w:r>
      <w:r w:rsidRPr="004B035A">
        <w:rPr>
          <w:color w:val="000000"/>
          <w:szCs w:val="24"/>
        </w:rPr>
        <w:t>une roue motrice, seule la roue motrice servant en une utilisation normale peut être utilisée</w:t>
      </w:r>
      <w:r w:rsidRPr="00A70ED8">
        <w:rPr>
          <w:color w:val="000000"/>
          <w:szCs w:val="24"/>
        </w:rPr>
        <w:t>.</w:t>
      </w:r>
      <w:r w:rsidR="00C244E7">
        <w:rPr>
          <w:color w:val="000000"/>
          <w:szCs w:val="24"/>
        </w:rPr>
        <w:t> </w:t>
      </w:r>
      <w:r>
        <w:rPr>
          <w:color w:val="0D0D0D" w:themeColor="text1" w:themeTint="F2"/>
          <w:szCs w:val="24"/>
        </w:rPr>
        <w:t>»</w:t>
      </w:r>
      <w:r w:rsidR="00C244E7">
        <w:rPr>
          <w:color w:val="0D0D0D" w:themeColor="text1" w:themeTint="F2"/>
          <w:szCs w:val="24"/>
        </w:rPr>
        <w:t>.</w:t>
      </w:r>
      <w:bookmarkStart w:id="1" w:name="_GoBack"/>
      <w:bookmarkEnd w:id="1"/>
    </w:p>
    <w:p w14:paraId="78C2A954" w14:textId="77777777" w:rsidR="00462BA7" w:rsidRPr="00A70ED8" w:rsidRDefault="00462BA7" w:rsidP="000B5113">
      <w:pPr>
        <w:pStyle w:val="HChG"/>
        <w:rPr>
          <w:rFonts w:eastAsia="Times New Roman"/>
          <w:i/>
        </w:rPr>
      </w:pPr>
      <w:r w:rsidRPr="004B45DF">
        <w:tab/>
        <w:t>II.</w:t>
      </w:r>
      <w:r w:rsidRPr="004B45DF">
        <w:tab/>
        <w:t>Justification</w:t>
      </w:r>
    </w:p>
    <w:p w14:paraId="5EE6E95C" w14:textId="77777777" w:rsidR="00F9573C" w:rsidRDefault="00462BA7" w:rsidP="00462BA7">
      <w:pPr>
        <w:pStyle w:val="SingleTxtG"/>
        <w:ind w:firstLine="567"/>
      </w:pPr>
      <w:r w:rsidRPr="0010392E">
        <w:t>La présente proposition a pour but de réduire la multiplication des numéros d</w:t>
      </w:r>
      <w:r>
        <w:t>’</w:t>
      </w:r>
      <w:r w:rsidRPr="0010392E">
        <w:t>homologation des modèles dont les systèmes d</w:t>
      </w:r>
      <w:r>
        <w:t>’</w:t>
      </w:r>
      <w:r w:rsidRPr="0010392E">
        <w:t>échappement et les dispositifs silencieux présentent des différences. Dans son acception la plus stricte, le libellé actuellement employé dans la définition des types ne permet pas d</w:t>
      </w:r>
      <w:r>
        <w:t>’</w:t>
      </w:r>
      <w:r w:rsidRPr="0010392E">
        <w:t>inclure dans un même certificat d</w:t>
      </w:r>
      <w:r>
        <w:t>’</w:t>
      </w:r>
      <w:r w:rsidRPr="0010392E">
        <w:t>homologation plusieurs configurations, comme par exemple différents systèmes d</w:t>
      </w:r>
      <w:r>
        <w:t>’</w:t>
      </w:r>
      <w:r w:rsidRPr="0010392E">
        <w:t>échappement ou d</w:t>
      </w:r>
      <w:r>
        <w:t>’</w:t>
      </w:r>
      <w:r w:rsidRPr="0010392E">
        <w:t>admission ou différentes cylindrées. Un numéro d</w:t>
      </w:r>
      <w:r>
        <w:t>’</w:t>
      </w:r>
      <w:r w:rsidRPr="0010392E">
        <w:t xml:space="preserve">homologation distinct doit donc être généré pour chaque configuration. Étant donné que de plus en plus de pays ont recours à des homologations en application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10392E">
        <w:t>41, la multiplication des numéros et documents d</w:t>
      </w:r>
      <w:r>
        <w:t>’</w:t>
      </w:r>
      <w:r w:rsidRPr="0010392E">
        <w:t>homologation due à l</w:t>
      </w:r>
      <w:r>
        <w:t>’</w:t>
      </w:r>
      <w:r w:rsidRPr="0010392E">
        <w:t>obligation d</w:t>
      </w:r>
      <w:r>
        <w:t>’</w:t>
      </w:r>
      <w:r w:rsidRPr="0010392E">
        <w:t>obtenir une homologation pour chaque configuration donnée peut devenir contraignante voire ingérable pour les fabricants et les autorités d</w:t>
      </w:r>
      <w:r>
        <w:t>’</w:t>
      </w:r>
      <w:r w:rsidRPr="0010392E">
        <w:t>homologation de type. Les modifications proposées dans le présent document visent à préciser que plusieurs configurations de systèmes d</w:t>
      </w:r>
      <w:r>
        <w:t>’</w:t>
      </w:r>
      <w:r w:rsidRPr="0010392E">
        <w:t>échappement ou d</w:t>
      </w:r>
      <w:r>
        <w:t>’</w:t>
      </w:r>
      <w:r w:rsidRPr="0010392E">
        <w:t>admission peuvent figurer dans un même certificat d</w:t>
      </w:r>
      <w:r>
        <w:t>’</w:t>
      </w:r>
      <w:r w:rsidRPr="0010392E">
        <w:t>homologation. Ces modifications auront pour effet de réduire les redondances et de limiter les risques d</w:t>
      </w:r>
      <w:r>
        <w:t>’</w:t>
      </w:r>
      <w:r w:rsidRPr="0010392E">
        <w:t>erreurs liées aux documents.</w:t>
      </w:r>
    </w:p>
    <w:p w14:paraId="5B935359" w14:textId="77777777" w:rsidR="00462BA7" w:rsidRPr="00462BA7" w:rsidRDefault="00462BA7" w:rsidP="00462B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2BA7" w:rsidRPr="00462BA7" w:rsidSect="003E3F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48FD" w14:textId="77777777" w:rsidR="00057B9C" w:rsidRDefault="00057B9C" w:rsidP="00F95C08">
      <w:pPr>
        <w:spacing w:line="240" w:lineRule="auto"/>
      </w:pPr>
    </w:p>
  </w:endnote>
  <w:endnote w:type="continuationSeparator" w:id="0">
    <w:p w14:paraId="08E70B1E" w14:textId="77777777" w:rsidR="00057B9C" w:rsidRPr="00AC3823" w:rsidRDefault="00057B9C" w:rsidP="00AC3823">
      <w:pPr>
        <w:pStyle w:val="Pieddepage"/>
      </w:pPr>
    </w:p>
  </w:endnote>
  <w:endnote w:type="continuationNotice" w:id="1">
    <w:p w14:paraId="444FB5E8" w14:textId="77777777" w:rsidR="00057B9C" w:rsidRDefault="00057B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570" w14:textId="77777777" w:rsidR="003E3F5F" w:rsidRPr="003E3F5F" w:rsidRDefault="003E3F5F" w:rsidP="003E3F5F">
    <w:pPr>
      <w:pStyle w:val="Pieddepage"/>
      <w:tabs>
        <w:tab w:val="right" w:pos="9638"/>
      </w:tabs>
    </w:pPr>
    <w:r w:rsidRPr="003E3F5F">
      <w:rPr>
        <w:b/>
        <w:sz w:val="18"/>
      </w:rPr>
      <w:fldChar w:fldCharType="begin"/>
    </w:r>
    <w:r w:rsidRPr="003E3F5F">
      <w:rPr>
        <w:b/>
        <w:sz w:val="18"/>
      </w:rPr>
      <w:instrText xml:space="preserve"> PAGE  \* MERGEFORMAT </w:instrText>
    </w:r>
    <w:r w:rsidRPr="003E3F5F">
      <w:rPr>
        <w:b/>
        <w:sz w:val="18"/>
      </w:rPr>
      <w:fldChar w:fldCharType="separate"/>
    </w:r>
    <w:r w:rsidRPr="003E3F5F">
      <w:rPr>
        <w:b/>
        <w:noProof/>
        <w:sz w:val="18"/>
      </w:rPr>
      <w:t>2</w:t>
    </w:r>
    <w:r w:rsidRPr="003E3F5F">
      <w:rPr>
        <w:b/>
        <w:sz w:val="18"/>
      </w:rPr>
      <w:fldChar w:fldCharType="end"/>
    </w:r>
    <w:r>
      <w:rPr>
        <w:b/>
        <w:sz w:val="18"/>
      </w:rPr>
      <w:tab/>
    </w:r>
    <w:r>
      <w:t>GE.19-19617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BD3A" w14:textId="77777777" w:rsidR="003E3F5F" w:rsidRPr="003E3F5F" w:rsidRDefault="003E3F5F" w:rsidP="003E3F5F">
    <w:pPr>
      <w:pStyle w:val="Pieddepage"/>
      <w:tabs>
        <w:tab w:val="right" w:pos="9638"/>
      </w:tabs>
      <w:rPr>
        <w:b/>
        <w:sz w:val="18"/>
      </w:rPr>
    </w:pPr>
    <w:r>
      <w:t>GE.19-19617</w:t>
    </w:r>
    <w:r>
      <w:tab/>
    </w:r>
    <w:r w:rsidRPr="003E3F5F">
      <w:rPr>
        <w:b/>
        <w:sz w:val="18"/>
      </w:rPr>
      <w:fldChar w:fldCharType="begin"/>
    </w:r>
    <w:r w:rsidRPr="003E3F5F">
      <w:rPr>
        <w:b/>
        <w:sz w:val="18"/>
      </w:rPr>
      <w:instrText xml:space="preserve"> PAGE  \* MERGEFORMAT </w:instrText>
    </w:r>
    <w:r w:rsidRPr="003E3F5F">
      <w:rPr>
        <w:b/>
        <w:sz w:val="18"/>
      </w:rPr>
      <w:fldChar w:fldCharType="separate"/>
    </w:r>
    <w:r w:rsidRPr="003E3F5F">
      <w:rPr>
        <w:b/>
        <w:noProof/>
        <w:sz w:val="18"/>
      </w:rPr>
      <w:t>3</w:t>
    </w:r>
    <w:r w:rsidRPr="003E3F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0427" w14:textId="77777777" w:rsidR="007F20FA" w:rsidRPr="003E3F5F" w:rsidRDefault="003E3F5F" w:rsidP="003E3F5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E8D4F4" wp14:editId="673E463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19-19617  (F)    191119    071219</w:t>
    </w:r>
    <w:r>
      <w:rPr>
        <w:sz w:val="20"/>
      </w:rPr>
      <w:br/>
    </w:r>
    <w:r w:rsidRPr="003E3F5F">
      <w:rPr>
        <w:rFonts w:ascii="C39T30Lfz" w:hAnsi="C39T30Lfz"/>
        <w:sz w:val="56"/>
      </w:rPr>
      <w:t></w:t>
    </w:r>
    <w:r w:rsidRPr="003E3F5F">
      <w:rPr>
        <w:rFonts w:ascii="C39T30Lfz" w:hAnsi="C39T30Lfz"/>
        <w:sz w:val="56"/>
      </w:rPr>
      <w:t></w:t>
    </w:r>
    <w:r w:rsidRPr="003E3F5F">
      <w:rPr>
        <w:rFonts w:ascii="C39T30Lfz" w:hAnsi="C39T30Lfz"/>
        <w:sz w:val="56"/>
      </w:rPr>
      <w:t></w:t>
    </w:r>
    <w:r w:rsidRPr="003E3F5F">
      <w:rPr>
        <w:rFonts w:ascii="C39T30Lfz" w:hAnsi="C39T30Lfz"/>
        <w:sz w:val="56"/>
      </w:rPr>
      <w:t></w:t>
    </w:r>
    <w:r w:rsidRPr="003E3F5F">
      <w:rPr>
        <w:rFonts w:ascii="C39T30Lfz" w:hAnsi="C39T30Lfz"/>
        <w:sz w:val="56"/>
      </w:rPr>
      <w:t></w:t>
    </w:r>
    <w:r w:rsidRPr="003E3F5F">
      <w:rPr>
        <w:rFonts w:ascii="C39T30Lfz" w:hAnsi="C39T30Lfz"/>
        <w:sz w:val="56"/>
      </w:rPr>
      <w:t></w:t>
    </w:r>
    <w:r w:rsidRPr="003E3F5F">
      <w:rPr>
        <w:rFonts w:ascii="C39T30Lfz" w:hAnsi="C39T30Lfz"/>
        <w:sz w:val="56"/>
      </w:rPr>
      <w:t></w:t>
    </w:r>
    <w:r w:rsidRPr="003E3F5F">
      <w:rPr>
        <w:rFonts w:ascii="C39T30Lfz" w:hAnsi="C39T30Lfz"/>
        <w:sz w:val="56"/>
      </w:rPr>
      <w:t></w:t>
    </w:r>
    <w:r w:rsidRPr="003E3F5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4144F4D" wp14:editId="3A3300D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P/2019/25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5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4C11" w14:textId="77777777" w:rsidR="00057B9C" w:rsidRPr="00AC3823" w:rsidRDefault="00057B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3CFBA1" w14:textId="77777777" w:rsidR="00057B9C" w:rsidRPr="00AC3823" w:rsidRDefault="00057B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FCE266" w14:textId="77777777" w:rsidR="00057B9C" w:rsidRPr="00AC3823" w:rsidRDefault="00057B9C">
      <w:pPr>
        <w:spacing w:line="240" w:lineRule="auto"/>
        <w:rPr>
          <w:sz w:val="2"/>
          <w:szCs w:val="2"/>
        </w:rPr>
      </w:pPr>
    </w:p>
  </w:footnote>
  <w:footnote w:id="2">
    <w:p w14:paraId="51B4C120" w14:textId="77777777" w:rsidR="00B72885" w:rsidRPr="00B72885" w:rsidRDefault="00B72885">
      <w:pPr>
        <w:pStyle w:val="Notedebasdepage"/>
      </w:pPr>
      <w:r>
        <w:rPr>
          <w:rStyle w:val="Appelnotedebasdep"/>
        </w:rPr>
        <w:tab/>
      </w:r>
      <w:r w:rsidRPr="00B7288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4B45DF">
        <w:t>Conformément au programme de travail du Comité des transports intérieurs pour 2020 tel qu’il figure dans le projet de budget-programme pour 2020 (A/74/6 (</w:t>
      </w:r>
      <w:r>
        <w:t>titre</w:t>
      </w:r>
      <w:r w:rsidRPr="004B45DF">
        <w:t xml:space="preserve"> V</w:t>
      </w:r>
      <w:r>
        <w:t>,</w:t>
      </w:r>
      <w:r w:rsidRPr="004B45DF">
        <w:t xml:space="preserve"> </w:t>
      </w:r>
      <w:r>
        <w:t>chap.</w:t>
      </w:r>
      <w:r w:rsidR="002E6FEB">
        <w:t> </w:t>
      </w:r>
      <w:r w:rsidRPr="004B45DF">
        <w:t>20)</w:t>
      </w:r>
      <w:r>
        <w:t>,</w:t>
      </w:r>
      <w:r w:rsidRPr="004B45DF">
        <w:t xml:space="preserve"> par.</w:t>
      </w:r>
      <w:r w:rsidR="002E6FEB">
        <w:t> </w:t>
      </w:r>
      <w:r w:rsidRPr="004B45DF">
        <w:t>20.37), le Forum mondial a pour mission d’élaborer, d’harmoniser et de mettre à jour les Règlements ONU en vue d’améliorer les caractéristiques fonctionnelles des véhicules. Le présent document est soumis en vertu de ce mandat</w:t>
      </w:r>
      <w:r w:rsidR="00AC24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64BA" w14:textId="77057286" w:rsidR="003E3F5F" w:rsidRPr="003E3F5F" w:rsidRDefault="003E3F5F">
    <w:pPr>
      <w:pStyle w:val="En-tte"/>
    </w:pPr>
    <w:fldSimple w:instr=" TITLE  \* MERGEFORMAT ">
      <w:r w:rsidR="00504980">
        <w:t>ECE/TRANS/WP.29/GRBP/2019/25/Rev.1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B075" w14:textId="6425D233" w:rsidR="003E3F5F" w:rsidRPr="003E3F5F" w:rsidRDefault="003E3F5F" w:rsidP="003E3F5F">
    <w:pPr>
      <w:pStyle w:val="En-tte"/>
      <w:jc w:val="right"/>
    </w:pPr>
    <w:fldSimple w:instr=" TITLE  \* MERGEFORMAT ">
      <w:r w:rsidR="00504980">
        <w:t>ECE/TRANS/WP.29/GRBP/2019/25/Rev.1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7B9C"/>
    <w:rsid w:val="00017F94"/>
    <w:rsid w:val="00023842"/>
    <w:rsid w:val="000334F9"/>
    <w:rsid w:val="00045FEB"/>
    <w:rsid w:val="00057B9C"/>
    <w:rsid w:val="0007796D"/>
    <w:rsid w:val="000B5113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E6FEB"/>
    <w:rsid w:val="00305801"/>
    <w:rsid w:val="003916DE"/>
    <w:rsid w:val="003E3F5F"/>
    <w:rsid w:val="00421996"/>
    <w:rsid w:val="00441C3B"/>
    <w:rsid w:val="00446FE5"/>
    <w:rsid w:val="00452396"/>
    <w:rsid w:val="00462BA7"/>
    <w:rsid w:val="004837D8"/>
    <w:rsid w:val="004E2EED"/>
    <w:rsid w:val="004E468C"/>
    <w:rsid w:val="00504980"/>
    <w:rsid w:val="00522AE5"/>
    <w:rsid w:val="005505B7"/>
    <w:rsid w:val="00573BE5"/>
    <w:rsid w:val="00586ED3"/>
    <w:rsid w:val="00596AA9"/>
    <w:rsid w:val="0071601D"/>
    <w:rsid w:val="00797821"/>
    <w:rsid w:val="007A62E6"/>
    <w:rsid w:val="007F20FA"/>
    <w:rsid w:val="0080684C"/>
    <w:rsid w:val="00871C75"/>
    <w:rsid w:val="008776DC"/>
    <w:rsid w:val="00907190"/>
    <w:rsid w:val="009446C0"/>
    <w:rsid w:val="009705C8"/>
    <w:rsid w:val="009C1CF4"/>
    <w:rsid w:val="009F6B74"/>
    <w:rsid w:val="00A3029F"/>
    <w:rsid w:val="00A30353"/>
    <w:rsid w:val="00AC2492"/>
    <w:rsid w:val="00AC3823"/>
    <w:rsid w:val="00AC57C1"/>
    <w:rsid w:val="00AE323C"/>
    <w:rsid w:val="00AF0CB5"/>
    <w:rsid w:val="00B00181"/>
    <w:rsid w:val="00B00B0D"/>
    <w:rsid w:val="00B45F2E"/>
    <w:rsid w:val="00B72885"/>
    <w:rsid w:val="00B765F7"/>
    <w:rsid w:val="00BA0CA9"/>
    <w:rsid w:val="00C02897"/>
    <w:rsid w:val="00C244E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55CACD"/>
  <w15:docId w15:val="{FA8636AA-6128-4BA1-9F37-E87E69D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62BA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62BA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462BA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858</Words>
  <Characters>6012</Characters>
  <Application>Microsoft Office Word</Application>
  <DocSecurity>0</DocSecurity>
  <Lines>501</Lines>
  <Paragraphs>274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ECE/TRANS/WP.29/GRBP/2019/25/Rev.1</vt:lpstr>
    </vt:vector>
  </TitlesOfParts>
  <Company>DCM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ECE/TRANS/WP.29/GRBP/2019/25/Rev.1</dc:title>
  <dc:subject/>
  <dc:creator>Nathalie VITTOZ</dc:creator>
  <cp:keywords/>
  <cp:lastModifiedBy>Nathalie Vittoz</cp:lastModifiedBy>
  <cp:revision>3</cp:revision>
  <cp:lastPrinted>2019-12-07T21:43:00Z</cp:lastPrinted>
  <dcterms:created xsi:type="dcterms:W3CDTF">2019-12-07T21:43:00Z</dcterms:created>
  <dcterms:modified xsi:type="dcterms:W3CDTF">2019-12-07T21:43:00Z</dcterms:modified>
</cp:coreProperties>
</file>