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686D" w14:textId="77777777" w:rsidR="00F85BB1" w:rsidRPr="00A75FDB" w:rsidRDefault="00F85BB1" w:rsidP="00F85BB1">
      <w:pPr>
        <w:pStyle w:val="HChG"/>
        <w:rPr>
          <w:lang w:eastAsia="en-US"/>
        </w:rPr>
      </w:pPr>
      <w:bookmarkStart w:id="0" w:name="_Toc35591764"/>
      <w:bookmarkStart w:id="1" w:name="_GoBack"/>
      <w:bookmarkEnd w:id="1"/>
      <w:r w:rsidRPr="00A75FDB">
        <w:rPr>
          <w:lang w:eastAsia="en-US"/>
        </w:rPr>
        <w:t>Annex II</w:t>
      </w:r>
      <w:bookmarkEnd w:id="0"/>
    </w:p>
    <w:p w14:paraId="04DF006F" w14:textId="77777777" w:rsidR="00F85BB1" w:rsidRPr="00A75FDB" w:rsidRDefault="00F85BB1" w:rsidP="00F85BB1">
      <w:pPr>
        <w:pStyle w:val="HChG"/>
        <w:rPr>
          <w:sz w:val="24"/>
          <w:szCs w:val="24"/>
          <w:lang w:eastAsia="en-US"/>
        </w:rPr>
      </w:pPr>
      <w:bookmarkStart w:id="2" w:name="_Toc392251189"/>
      <w:r w:rsidRPr="00A75FDB">
        <w:rPr>
          <w:lang w:eastAsia="en-US"/>
        </w:rPr>
        <w:tab/>
      </w:r>
      <w:r w:rsidRPr="00A75FDB">
        <w:rPr>
          <w:lang w:eastAsia="en-US"/>
        </w:rPr>
        <w:tab/>
      </w:r>
      <w:bookmarkStart w:id="3" w:name="_Toc478663192"/>
      <w:bookmarkStart w:id="4" w:name="_Toc468111754"/>
      <w:bookmarkStart w:id="5" w:name="_Toc455504040"/>
      <w:bookmarkStart w:id="6" w:name="_Toc35591765"/>
      <w:bookmarkStart w:id="7" w:name="_Hlk4427328"/>
      <w:bookmarkEnd w:id="2"/>
      <w:r w:rsidRPr="00A75FDB">
        <w:rPr>
          <w:lang w:eastAsia="en-US"/>
        </w:rPr>
        <w:t>Status of the 1998 Agreement of the global registry and of the compendium of candidates</w:t>
      </w:r>
      <w:r w:rsidRPr="00A75FDB">
        <w:rPr>
          <w:sz w:val="24"/>
          <w:szCs w:val="24"/>
          <w:vertAlign w:val="superscript"/>
          <w:lang w:eastAsia="en-US"/>
        </w:rPr>
        <w:footnoteReference w:customMarkFollows="1" w:id="2"/>
        <w:t>*</w:t>
      </w:r>
      <w:bookmarkEnd w:id="3"/>
      <w:bookmarkEnd w:id="4"/>
      <w:bookmarkEnd w:id="5"/>
      <w:bookmarkEnd w:id="6"/>
    </w:p>
    <w:p w14:paraId="7A2045D6" w14:textId="61D77D2F" w:rsidR="00F85BB1" w:rsidRPr="00A75FDB" w:rsidRDefault="00F85BB1" w:rsidP="00F85BB1">
      <w:pPr>
        <w:pStyle w:val="HChG"/>
        <w:rPr>
          <w:lang w:eastAsia="en-US"/>
        </w:rPr>
      </w:pPr>
      <w:bookmarkStart w:id="8" w:name="_Toc423423786"/>
      <w:bookmarkStart w:id="9" w:name="_Toc436139625"/>
      <w:r w:rsidRPr="00A75FDB">
        <w:rPr>
          <w:lang w:eastAsia="en-US"/>
        </w:rPr>
        <w:tab/>
      </w:r>
      <w:r w:rsidRPr="00A75FDB">
        <w:rPr>
          <w:lang w:eastAsia="en-US"/>
        </w:rPr>
        <w:tab/>
      </w:r>
      <w:bookmarkStart w:id="10" w:name="_Toc35591766"/>
      <w:r w:rsidRPr="00A75FDB">
        <w:rPr>
          <w:lang w:eastAsia="en-US"/>
        </w:rPr>
        <w:t xml:space="preserve">Situation on priorities and proposals to develop UN GTRs as of </w:t>
      </w:r>
      <w:r w:rsidR="00A54F0B">
        <w:rPr>
          <w:lang w:eastAsia="en-US"/>
        </w:rPr>
        <w:t>5</w:t>
      </w:r>
      <w:r w:rsidRPr="00A75FDB">
        <w:rPr>
          <w:lang w:eastAsia="en-US"/>
        </w:rPr>
        <w:t xml:space="preserve"> </w:t>
      </w:r>
      <w:r w:rsidR="00A54F0B">
        <w:rPr>
          <w:lang w:eastAsia="en-US"/>
        </w:rPr>
        <w:t>November</w:t>
      </w:r>
      <w:r w:rsidRPr="00A75FDB">
        <w:rPr>
          <w:lang w:eastAsia="en-US"/>
        </w:rPr>
        <w:t xml:space="preserve"> 20</w:t>
      </w:r>
      <w:bookmarkEnd w:id="7"/>
      <w:bookmarkEnd w:id="8"/>
      <w:bookmarkEnd w:id="9"/>
      <w:r w:rsidRPr="00A75FDB">
        <w:rPr>
          <w:lang w:eastAsia="en-US"/>
        </w:rPr>
        <w:t>20</w:t>
      </w:r>
      <w:bookmarkEnd w:id="10"/>
    </w:p>
    <w:p w14:paraId="432426B1" w14:textId="77777777" w:rsidR="00F85BB1" w:rsidRPr="00A75FDB" w:rsidRDefault="00F85BB1" w:rsidP="00F85BB1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t xml:space="preserve">GRVA </w:t>
      </w:r>
    </w:p>
    <w:tbl>
      <w:tblPr>
        <w:tblW w:w="997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55"/>
        <w:gridCol w:w="934"/>
        <w:gridCol w:w="1022"/>
        <w:gridCol w:w="1815"/>
        <w:gridCol w:w="3063"/>
      </w:tblGrid>
      <w:tr w:rsidR="00F85BB1" w:rsidRPr="00A75FDB" w14:paraId="61D43F91" w14:textId="77777777" w:rsidTr="00CE688C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ED2931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52354A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Informal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D30E5C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DA94EC" w14:textId="77777777" w:rsidR="00F85BB1" w:rsidRPr="00A75FDB" w:rsidRDefault="00F85BB1" w:rsidP="00CE688C">
            <w:pPr>
              <w:spacing w:before="80" w:after="80" w:line="200" w:lineRule="exact"/>
              <w:ind w:right="79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8FEFBB" w14:textId="77777777" w:rsidR="00F85BB1" w:rsidRPr="00A75FDB" w:rsidRDefault="00F85BB1" w:rsidP="00CE688C">
            <w:pPr>
              <w:spacing w:before="80" w:after="80" w:line="200" w:lineRule="exact"/>
              <w:ind w:right="-14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Proposal for a draft UN GTR (ECE/TRANS/WP.29/..)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ECDC81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State of play/Comments</w:t>
            </w:r>
          </w:p>
        </w:tc>
      </w:tr>
      <w:tr w:rsidR="00F85BB1" w:rsidRPr="00A75FDB" w14:paraId="0DB33879" w14:textId="77777777" w:rsidTr="00CE688C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B3EA69" w14:textId="0FEC7E84" w:rsidR="00F85BB1" w:rsidRPr="00BF345F" w:rsidRDefault="00F85BB1" w:rsidP="00CE688C">
            <w:pPr>
              <w:spacing w:before="40" w:after="120" w:line="220" w:lineRule="exact"/>
              <w:ind w:right="9"/>
              <w:rPr>
                <w:lang w:val="es-ES" w:eastAsia="en-US"/>
              </w:rPr>
            </w:pPr>
            <w:r w:rsidRPr="00BF345F">
              <w:rPr>
                <w:lang w:val="es-ES" w:eastAsia="en-US"/>
              </w:rPr>
              <w:t>Amendment 1 to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3484E1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DA7133" w14:textId="39F2A2BC" w:rsidR="00F85BB1" w:rsidRPr="00A75FDB" w:rsidRDefault="00183355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>
              <w:rPr>
                <w:lang w:eastAsia="en-US"/>
              </w:rPr>
              <w:t>Korea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35739E" w14:textId="5D4F43CC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</w:t>
            </w:r>
            <w:r w:rsidR="00494862">
              <w:rPr>
                <w:lang w:eastAsia="en-US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A12FD0" w14:textId="6BAB209B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GRVA/20</w:t>
            </w:r>
            <w:r w:rsidR="00494862">
              <w:rPr>
                <w:lang w:eastAsia="en-US"/>
              </w:rPr>
              <w:t>20</w:t>
            </w:r>
            <w:r w:rsidRPr="00A75FDB">
              <w:rPr>
                <w:lang w:eastAsia="en-US"/>
              </w:rPr>
              <w:t>/</w:t>
            </w:r>
            <w:r w:rsidR="001F5170">
              <w:rPr>
                <w:lang w:eastAsia="en-US"/>
              </w:rPr>
              <w:t>34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2151429" w14:textId="2CC45720" w:rsidR="00F85BB1" w:rsidRPr="00A75FDB" w:rsidRDefault="002427CA" w:rsidP="002427CA">
            <w:pPr>
              <w:spacing w:before="40" w:after="120" w:line="220" w:lineRule="exact"/>
              <w:ind w:right="113"/>
              <w:rPr>
                <w:lang w:eastAsia="en-US"/>
              </w:rPr>
            </w:pPr>
            <w:r>
              <w:rPr>
                <w:lang w:eastAsia="en-US"/>
              </w:rPr>
              <w:t>GRVA is reviewing the proposal tabled by the expert from Korea.</w:t>
            </w:r>
          </w:p>
        </w:tc>
      </w:tr>
    </w:tbl>
    <w:p w14:paraId="2F8A29B0" w14:textId="77777777" w:rsidR="00F85BB1" w:rsidRPr="00A75FDB" w:rsidRDefault="00F85BB1" w:rsidP="00F85BB1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F85BB1" w:rsidRPr="00A75FDB" w14:paraId="39BB625B" w14:textId="77777777" w:rsidTr="00CE688C">
        <w:trPr>
          <w:trHeight w:val="101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6E1376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CH" w:eastAsia="en-US"/>
              </w:rPr>
            </w:pPr>
            <w:r w:rsidRPr="00A75FDB">
              <w:rPr>
                <w:i/>
                <w:sz w:val="16"/>
                <w:szCs w:val="16"/>
                <w:lang w:val="fr-CH" w:eastAsia="en-US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ED7D7E" w14:textId="77777777" w:rsidR="00F85BB1" w:rsidRPr="00A75FDB" w:rsidRDefault="00F85BB1" w:rsidP="00CE688C">
            <w:pPr>
              <w:spacing w:before="80" w:after="80" w:line="200" w:lineRule="exact"/>
              <w:ind w:right="2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Informal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 xml:space="preserve">Chair &amp;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F42CA1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CH" w:eastAsia="en-US"/>
              </w:rPr>
            </w:pPr>
            <w:r w:rsidRPr="00A75FDB">
              <w:rPr>
                <w:i/>
                <w:sz w:val="16"/>
                <w:szCs w:val="16"/>
                <w:lang w:val="fr-CH" w:eastAsia="en-US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60FEDF" w14:textId="77777777" w:rsidR="00F85BB1" w:rsidRPr="00A75FDB" w:rsidRDefault="00F85BB1" w:rsidP="00CE688C">
            <w:pPr>
              <w:spacing w:before="80" w:after="80" w:line="200" w:lineRule="exact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(ECE/TRANS/WP.29/)…/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1E7772" w14:textId="77777777" w:rsidR="00F85BB1" w:rsidRPr="00A75FDB" w:rsidRDefault="00F85BB1" w:rsidP="00CE688C">
            <w:pPr>
              <w:spacing w:before="80" w:after="80" w:line="200" w:lineRule="exact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Proposal for a draft UN GTR (ECE/TRANS/WP.29/..)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D9205D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CH" w:eastAsia="en-US"/>
              </w:rPr>
            </w:pPr>
            <w:r w:rsidRPr="00A75FDB">
              <w:rPr>
                <w:i/>
                <w:sz w:val="16"/>
                <w:szCs w:val="16"/>
                <w:lang w:val="fr-CH" w:eastAsia="en-US"/>
              </w:rPr>
              <w:t>State of play/Comments</w:t>
            </w:r>
          </w:p>
        </w:tc>
      </w:tr>
      <w:tr w:rsidR="00F85BB1" w:rsidRPr="00A75FDB" w14:paraId="02790607" w14:textId="77777777" w:rsidTr="00CE688C">
        <w:trPr>
          <w:trHeight w:val="6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91D57" w14:textId="77777777" w:rsidR="00F85BB1" w:rsidRPr="00A75FDB" w:rsidRDefault="00F85BB1" w:rsidP="00CE688C">
            <w:pPr>
              <w:spacing w:before="40" w:after="120" w:line="220" w:lineRule="exact"/>
              <w:ind w:right="42"/>
              <w:rPr>
                <w:lang w:eastAsia="en-US"/>
              </w:rPr>
            </w:pPr>
            <w:r w:rsidRPr="00A75FDB">
              <w:rPr>
                <w:lang w:eastAsia="en-US"/>
              </w:rPr>
              <w:t>Phase 2 of UN GTR No. 7</w:t>
            </w:r>
            <w:r w:rsidRPr="00A75FDB">
              <w:rPr>
                <w:lang w:eastAsia="en-US"/>
              </w:rPr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77C1B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0E80F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34F8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AC.3/25/</w:t>
            </w:r>
            <w:r w:rsidRPr="00A75FDB">
              <w:rPr>
                <w:lang w:val="fr-CH" w:eastAsia="en-US"/>
              </w:rPr>
              <w:br/>
              <w:t>Rev.1</w:t>
            </w:r>
          </w:p>
          <w:p w14:paraId="6D6EE43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3589E3" w14:textId="77777777" w:rsidR="00F85BB1" w:rsidRPr="00056264" w:rsidRDefault="00F85BB1" w:rsidP="00CE688C">
            <w:pPr>
              <w:spacing w:before="40" w:after="120" w:line="220" w:lineRule="exact"/>
              <w:ind w:right="113"/>
              <w:rPr>
                <w:lang w:val="en-US" w:eastAsia="en-US"/>
              </w:rPr>
            </w:pPr>
            <w:r w:rsidRPr="00056264">
              <w:rPr>
                <w:lang w:val="en-US" w:eastAsia="en-US"/>
              </w:rPr>
              <w:t>2014/86</w:t>
            </w:r>
          </w:p>
          <w:p w14:paraId="6AF7B1FD" w14:textId="77777777" w:rsidR="00F85BB1" w:rsidRPr="00056264" w:rsidRDefault="00F85BB1" w:rsidP="00CE688C">
            <w:pPr>
              <w:spacing w:before="40" w:after="120" w:line="220" w:lineRule="exact"/>
              <w:ind w:right="113"/>
              <w:rPr>
                <w:lang w:val="en-US" w:eastAsia="en-US"/>
              </w:rPr>
            </w:pPr>
            <w:r w:rsidRPr="00056264">
              <w:rPr>
                <w:lang w:val="en-US" w:eastAsia="en-US"/>
              </w:rPr>
              <w:t>(fourth progress report)</w:t>
            </w:r>
          </w:p>
          <w:p w14:paraId="3B741FA9" w14:textId="77777777" w:rsidR="00F85BB1" w:rsidRPr="00056264" w:rsidRDefault="00F85BB1" w:rsidP="00CE688C">
            <w:pPr>
              <w:spacing w:before="40" w:after="120" w:line="220" w:lineRule="exact"/>
              <w:ind w:right="113"/>
              <w:rPr>
                <w:lang w:val="en-US" w:eastAsia="en-US"/>
              </w:rPr>
            </w:pPr>
            <w:r w:rsidRPr="00056264">
              <w:rPr>
                <w:lang w:val="en-US" w:eastAsia="en-US"/>
              </w:rPr>
              <w:t>GRSP/2019/5</w:t>
            </w:r>
          </w:p>
          <w:p w14:paraId="70EF6DD5" w14:textId="77777777" w:rsidR="00F85BB1" w:rsidRPr="00056264" w:rsidRDefault="00F85BB1" w:rsidP="00CE688C">
            <w:pPr>
              <w:spacing w:before="40" w:after="120" w:line="220" w:lineRule="exact"/>
              <w:ind w:right="113"/>
              <w:rPr>
                <w:lang w:val="en-US" w:eastAsia="en-US"/>
              </w:rPr>
            </w:pPr>
            <w:r w:rsidRPr="00056264">
              <w:rPr>
                <w:lang w:val="en-US" w:eastAsia="en-US"/>
              </w:rPr>
              <w:t>(Draft UN GTR)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55839C" w14:textId="5B098214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AC.3 is expected to vote Amendment 1 to the UN GTR No. 7 at its </w:t>
            </w:r>
            <w:r w:rsidR="00A54F0B">
              <w:rPr>
                <w:lang w:eastAsia="en-US"/>
              </w:rPr>
              <w:t>November</w:t>
            </w:r>
            <w:r w:rsidRPr="00A75FDB">
              <w:rPr>
                <w:lang w:eastAsia="en-US"/>
              </w:rPr>
              <w:t xml:space="preserve"> 2020 session.</w:t>
            </w:r>
          </w:p>
          <w:p w14:paraId="67A6BBA1" w14:textId="075C6630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GRSP is expected to finalize discussion on of a draft Addendum 1 to the M.R.1 at its </w:t>
            </w:r>
            <w:r w:rsidR="00A54F0B">
              <w:rPr>
                <w:lang w:eastAsia="en-US"/>
              </w:rPr>
              <w:t>December</w:t>
            </w:r>
            <w:r w:rsidRPr="00A75FDB">
              <w:rPr>
                <w:lang w:eastAsia="en-US"/>
              </w:rPr>
              <w:t xml:space="preserve"> 2020 session. </w:t>
            </w:r>
          </w:p>
        </w:tc>
      </w:tr>
      <w:tr w:rsidR="00F85BB1" w:rsidRPr="00A75FDB" w14:paraId="41D5F05E" w14:textId="77777777" w:rsidTr="00CE688C">
        <w:trPr>
          <w:cantSplit/>
          <w:trHeight w:val="82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8FBA7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Amendment 2 - </w:t>
            </w:r>
            <w:r w:rsidRPr="00A75FDB">
              <w:rPr>
                <w:lang w:eastAsia="en-US"/>
              </w:rPr>
              <w:br/>
              <w:t>Phase 2 of UN GTR No. 9 (Flex-PLI)</w:t>
            </w:r>
            <w:r w:rsidRPr="00A75FDB">
              <w:rPr>
                <w:lang w:eastAsia="en-US"/>
              </w:rPr>
              <w:br/>
              <w:t>(Pedestrian Safety)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0B2FF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Yes/</w:t>
            </w:r>
            <w:r w:rsidRPr="00A75FDB">
              <w:rPr>
                <w:lang w:val="fr-CH" w:eastAsia="en-US"/>
              </w:rPr>
              <w:br/>
              <w:t>Germany/</w:t>
            </w:r>
            <w:r w:rsidRPr="00A75FDB">
              <w:rPr>
                <w:lang w:val="fr-CH" w:eastAsia="en-US"/>
              </w:rPr>
              <w:br/>
              <w:t>Japan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B7EFB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Germany/</w:t>
            </w:r>
            <w:r w:rsidRPr="00A75FDB">
              <w:rPr>
                <w:lang w:val="fr-CH" w:eastAsia="en-US"/>
              </w:rPr>
              <w:br/>
              <w:t>Japan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8326C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AC.3/24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732743" w14:textId="77777777" w:rsidR="00F85BB1" w:rsidRPr="00A75FDB" w:rsidRDefault="00F85BB1" w:rsidP="00CE688C">
            <w:pPr>
              <w:spacing w:before="40" w:after="120" w:line="220" w:lineRule="exact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/2019/119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60B21" w14:textId="77777777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>At its November 2019 session AC.3 adopted Amendment 2 to Mutual Resolution No. 1 to insert Addendum 3 related to drawings and technical specifications of flex-PLI</w:t>
            </w:r>
          </w:p>
        </w:tc>
      </w:tr>
      <w:tr w:rsidR="00F85BB1" w:rsidRPr="00A75FDB" w14:paraId="7DBEBE45" w14:textId="77777777" w:rsidTr="00CE688C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7317E5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Amendment 3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88C8D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E4C75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spacing w:val="-4"/>
                <w:lang w:val="fr-CH" w:eastAsia="en-US"/>
              </w:rPr>
            </w:pPr>
            <w:r w:rsidRPr="00A75FDB">
              <w:rPr>
                <w:spacing w:val="-4"/>
                <w:lang w:val="fr-CH" w:eastAsia="en-US"/>
              </w:rPr>
              <w:t>Netherlands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FADA6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AC.3/31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755B66" w14:textId="79F02E6D" w:rsidR="00F85BB1" w:rsidRPr="00730CA5" w:rsidRDefault="00F85BB1" w:rsidP="00CE688C">
            <w:pPr>
              <w:spacing w:before="40" w:after="120" w:line="220" w:lineRule="exact"/>
              <w:ind w:right="113"/>
              <w:rPr>
                <w:lang w:val="en-US" w:eastAsia="en-US"/>
              </w:rPr>
            </w:pPr>
            <w:r w:rsidRPr="00730CA5">
              <w:rPr>
                <w:lang w:val="en-US" w:eastAsia="en-US"/>
              </w:rPr>
              <w:t>GRSP/2012/2</w:t>
            </w:r>
            <w:r w:rsidR="00A7316C" w:rsidRPr="00730CA5">
              <w:rPr>
                <w:lang w:val="en-US" w:eastAsia="en-US"/>
              </w:rPr>
              <w:t xml:space="preserve"> (Final report)</w:t>
            </w:r>
            <w:r w:rsidRPr="00730CA5">
              <w:rPr>
                <w:lang w:val="en-US" w:eastAsia="en-US"/>
              </w:rPr>
              <w:br/>
              <w:t>GRSP/2014/5</w:t>
            </w:r>
            <w:r w:rsidR="00A7316C" w:rsidRPr="00730CA5">
              <w:rPr>
                <w:lang w:val="en-US" w:eastAsia="en-US"/>
              </w:rPr>
              <w:t xml:space="preserve"> (final text of the Amend.)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02455" w14:textId="7A2A982A" w:rsidR="00F85BB1" w:rsidRPr="00A75FDB" w:rsidRDefault="00A7316C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A75FDB">
              <w:rPr>
                <w:lang w:eastAsia="en-US"/>
              </w:rPr>
              <w:t xml:space="preserve">t its </w:t>
            </w:r>
            <w:r>
              <w:rPr>
                <w:lang w:eastAsia="en-US"/>
              </w:rPr>
              <w:t>July</w:t>
            </w:r>
            <w:r w:rsidRPr="00A75FDB">
              <w:rPr>
                <w:lang w:eastAsia="en-US"/>
              </w:rPr>
              <w:t xml:space="preserve"> 2020 session </w:t>
            </w:r>
            <w:r w:rsidR="00F85BB1" w:rsidRPr="00A75FDB">
              <w:rPr>
                <w:lang w:eastAsia="en-US"/>
              </w:rPr>
              <w:t xml:space="preserve">GRSP </w:t>
            </w:r>
            <w:r>
              <w:rPr>
                <w:lang w:eastAsia="en-US"/>
              </w:rPr>
              <w:t>recommended Amendment 3 (</w:t>
            </w:r>
            <w:r w:rsidRPr="00A75FDB">
              <w:rPr>
                <w:lang w:eastAsia="en-US"/>
              </w:rPr>
              <w:t>points of contact of headform impactors</w:t>
            </w:r>
            <w:r>
              <w:rPr>
                <w:lang w:eastAsia="en-US"/>
              </w:rPr>
              <w:t>) to be voted at the March 2021 session of AC.3. GRSP will continue</w:t>
            </w:r>
            <w:r w:rsidR="00F85BB1" w:rsidRPr="00A75FDB">
              <w:rPr>
                <w:lang w:eastAsia="en-US"/>
              </w:rPr>
              <w:t xml:space="preserve"> considering the issue of adjustable suspension systems</w:t>
            </w:r>
            <w:r>
              <w:rPr>
                <w:lang w:eastAsia="en-US"/>
              </w:rPr>
              <w:t xml:space="preserve"> at its December 2020 session</w:t>
            </w:r>
            <w:r w:rsidR="00F85BB1" w:rsidRPr="00A75FDB">
              <w:rPr>
                <w:lang w:eastAsia="en-US"/>
              </w:rPr>
              <w:t xml:space="preserve">. </w:t>
            </w:r>
          </w:p>
        </w:tc>
      </w:tr>
      <w:tr w:rsidR="00F85BB1" w:rsidRPr="00A75FDB" w14:paraId="0244ECE6" w14:textId="77777777" w:rsidTr="00CE688C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9664C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Amendment 4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464E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EF5F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spacing w:val="-4"/>
                <w:lang w:val="fr-CH" w:eastAsia="en-US"/>
              </w:rPr>
            </w:pPr>
            <w:r w:rsidRPr="00A75FDB">
              <w:rPr>
                <w:spacing w:val="-4"/>
                <w:lang w:val="fr-CH" w:eastAsia="en-US"/>
              </w:rPr>
              <w:t>Republic of Korea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FB41E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DA835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AC.3/45/Rev.1</w:t>
            </w:r>
          </w:p>
          <w:p w14:paraId="328AD3C5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2018/162 (ToR)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AF03B" w14:textId="77777777" w:rsidR="00F85BB1" w:rsidRPr="00A75FDB" w:rsidRDefault="00F85BB1" w:rsidP="00CE688C">
            <w:pPr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AC.3 endorsed the ToR of IWG-DPPS (…/2018/162). </w:t>
            </w:r>
          </w:p>
          <w:p w14:paraId="5A0EBBBB" w14:textId="7F9FBC2E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GRSP will resume consideration on Amendment 4 to the UN GTR to provide the test procedure for </w:t>
            </w:r>
            <w:r w:rsidRPr="00A75FDB">
              <w:rPr>
                <w:lang w:eastAsia="en-US"/>
              </w:rPr>
              <w:lastRenderedPageBreak/>
              <w:t xml:space="preserve">deployable systems of the outer surface to ensure an adequate protection of pedestrians at its </w:t>
            </w:r>
            <w:r w:rsidR="00A7316C">
              <w:rPr>
                <w:lang w:eastAsia="en-US"/>
              </w:rPr>
              <w:t>December</w:t>
            </w:r>
            <w:r w:rsidRPr="00A75FDB">
              <w:rPr>
                <w:lang w:eastAsia="en-US"/>
              </w:rPr>
              <w:t xml:space="preserve"> 2020 session. </w:t>
            </w:r>
          </w:p>
        </w:tc>
      </w:tr>
      <w:tr w:rsidR="00F85BB1" w:rsidRPr="00A75FDB" w14:paraId="5B20F5F3" w14:textId="77777777" w:rsidTr="00CE688C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0DF9D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lastRenderedPageBreak/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F5C6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17FDF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Japan, Republic of Korea and the European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72FA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82D72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bCs/>
                <w:lang w:val="fr-CH" w:eastAsia="en-US"/>
              </w:rPr>
            </w:pPr>
            <w:r w:rsidRPr="00A75FDB">
              <w:rPr>
                <w:bCs/>
                <w:lang w:val="fr-CH" w:eastAsia="en-US"/>
              </w:rPr>
              <w:t>AC.3/49</w:t>
            </w:r>
          </w:p>
          <w:p w14:paraId="3C8405E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bCs/>
                <w:lang w:val="fr-CH" w:eastAsia="en-US"/>
              </w:rPr>
            </w:pPr>
            <w:r w:rsidRPr="00A75FDB">
              <w:rPr>
                <w:lang w:val="fr-CH" w:eastAsia="en-US"/>
              </w:rPr>
              <w:t>2018/75 (ToR)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40F05" w14:textId="356B3FC4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>The ToR of IWG were endorsed at June 2018 session of AC.3 (ECE/TRANS/WP.29/2018/75).</w:t>
            </w:r>
            <w:r w:rsidR="00A7316C">
              <w:rPr>
                <w:lang w:eastAsia="en-US"/>
              </w:rPr>
              <w:t xml:space="preserve"> The Chair of the IWG will ask an extension of the mandate of 18 months at the November 2020 session.</w:t>
            </w:r>
          </w:p>
        </w:tc>
      </w:tr>
      <w:tr w:rsidR="00F85BB1" w:rsidRPr="00A75FDB" w14:paraId="6E4CB3B0" w14:textId="77777777" w:rsidTr="00CE688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861E4" w14:textId="77777777" w:rsidR="00F85BB1" w:rsidRPr="00A75FDB" w:rsidRDefault="00F85BB1" w:rsidP="00CE688C">
            <w:pPr>
              <w:spacing w:before="40" w:after="120" w:line="220" w:lineRule="exact"/>
              <w:ind w:right="9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 xml:space="preserve">UN GTR No. 14 </w:t>
            </w:r>
            <w:r w:rsidRPr="00A75FDB">
              <w:rPr>
                <w:lang w:val="fr-CH" w:eastAsia="en-US"/>
              </w:rPr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02FE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Yes/</w:t>
            </w:r>
            <w:r w:rsidRPr="00A75FDB">
              <w:rPr>
                <w:lang w:val="fr-CH" w:eastAsia="en-US"/>
              </w:rPr>
              <w:br/>
              <w:t>Australia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DACD71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lang w:val="fr-CH" w:eastAsia="en-US"/>
              </w:rPr>
              <w:t>Australia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085320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  <w:r w:rsidRPr="00A75FDB">
              <w:rPr>
                <w:bCs/>
                <w:lang w:val="fr-CH" w:eastAsia="en-US"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9BBC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fr-CH"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4BFBF" w14:textId="77777777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>No new information was provided at the March 2020 session of WP.29.</w:t>
            </w:r>
          </w:p>
        </w:tc>
      </w:tr>
      <w:tr w:rsidR="00F85BB1" w:rsidRPr="00A75FDB" w14:paraId="3B1F546E" w14:textId="77777777" w:rsidTr="00CE688C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F9654B6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es-ES" w:eastAsia="en-US"/>
              </w:rPr>
            </w:pPr>
            <w:r w:rsidRPr="00A75FDB">
              <w:rPr>
                <w:lang w:val="es-ES" w:eastAsia="en-US"/>
              </w:rPr>
              <w:t>UN GTR No. 20 (EVS) – Phase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3C81A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es-ES" w:eastAsia="en-US"/>
              </w:rPr>
            </w:pPr>
            <w:r w:rsidRPr="00A75FDB">
              <w:rPr>
                <w:lang w:val="es-ES" w:eastAsia="en-US"/>
              </w:rPr>
              <w:t>Yes/USA</w:t>
            </w:r>
            <w:r w:rsidRPr="00A75FDB">
              <w:rPr>
                <w:b/>
                <w:lang w:val="es-ES" w:eastAsia="en-US"/>
              </w:rPr>
              <w:t>/</w:t>
            </w:r>
            <w:r w:rsidRPr="00A75FDB">
              <w:rPr>
                <w:b/>
                <w:lang w:val="es-ES" w:eastAsia="en-US"/>
              </w:rPr>
              <w:br/>
            </w:r>
            <w:r w:rsidRPr="00A75FDB">
              <w:rPr>
                <w:lang w:val="es-ES" w:eastAsia="en-US"/>
              </w:rPr>
              <w:t>European Union/</w:t>
            </w:r>
            <w:r w:rsidRPr="00A75FDB">
              <w:rPr>
                <w:b/>
                <w:lang w:val="es-ES" w:eastAsia="en-US"/>
              </w:rPr>
              <w:br/>
            </w:r>
            <w:r w:rsidRPr="00A75FDB">
              <w:rPr>
                <w:lang w:val="es-ES" w:eastAsia="en-US"/>
              </w:rPr>
              <w:t>Japan/</w:t>
            </w:r>
            <w:r w:rsidRPr="00A75FDB">
              <w:rPr>
                <w:lang w:val="es-ES" w:eastAsia="en-U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463AE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val="es-ES" w:eastAsia="en-US"/>
              </w:rPr>
            </w:pPr>
            <w:r w:rsidRPr="00A75FDB">
              <w:rPr>
                <w:lang w:val="es-ES" w:eastAsia="en-US"/>
              </w:rPr>
              <w:t>European Union/</w:t>
            </w:r>
            <w:r w:rsidRPr="00A75FDB">
              <w:rPr>
                <w:lang w:val="es-ES" w:eastAsia="en-US"/>
              </w:rPr>
              <w:br/>
              <w:t>Japan/</w:t>
            </w:r>
            <w:r w:rsidRPr="00A75FDB">
              <w:rPr>
                <w:lang w:val="es-ES" w:eastAsia="en-US"/>
              </w:rPr>
              <w:br/>
              <w:t>USA/</w:t>
            </w:r>
            <w:r w:rsidRPr="00A75FDB">
              <w:rPr>
                <w:lang w:val="es-ES" w:eastAsia="en-US"/>
              </w:rPr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4EB751" w14:textId="77777777" w:rsidR="00F85BB1" w:rsidRPr="00183355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183355">
              <w:rPr>
                <w:lang w:eastAsia="en-US"/>
              </w:rPr>
              <w:t>AC.3/50 &amp; Corr.1</w:t>
            </w:r>
          </w:p>
          <w:p w14:paraId="58DB5A84" w14:textId="77777777" w:rsidR="00F85BB1" w:rsidRPr="00183355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183355">
              <w:rPr>
                <w:bCs/>
                <w:lang w:eastAsia="en-US"/>
              </w:rPr>
              <w:t>(authorization to develop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2C6DB7" w14:textId="77777777" w:rsidR="00F85BB1" w:rsidRPr="00183355" w:rsidRDefault="00F85BB1" w:rsidP="00CE688C">
            <w:pPr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79F7AC" w14:textId="77777777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val="fr-CH" w:eastAsia="en-US"/>
              </w:rPr>
            </w:pPr>
            <w:r w:rsidRPr="00A75FDB">
              <w:rPr>
                <w:lang w:eastAsia="en-US"/>
              </w:rPr>
              <w:t xml:space="preserve">GRSP started Phase 2 concerning the long-term research. </w:t>
            </w:r>
            <w:r w:rsidRPr="00A75FDB">
              <w:rPr>
                <w:lang w:val="fr-CH" w:eastAsia="en-US"/>
              </w:rPr>
              <w:t>AC.3:</w:t>
            </w:r>
          </w:p>
        </w:tc>
      </w:tr>
    </w:tbl>
    <w:p w14:paraId="3BF6DCB9" w14:textId="77777777" w:rsidR="00F85BB1" w:rsidRPr="00A75FDB" w:rsidRDefault="00F85BB1" w:rsidP="00F85BB1">
      <w:pPr>
        <w:keepNext/>
        <w:keepLines/>
        <w:spacing w:before="240" w:after="120" w:line="240" w:lineRule="exact"/>
        <w:ind w:right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02"/>
        <w:gridCol w:w="1417"/>
        <w:gridCol w:w="1116"/>
        <w:gridCol w:w="1763"/>
        <w:gridCol w:w="2366"/>
      </w:tblGrid>
      <w:tr w:rsidR="00F85BB1" w:rsidRPr="00A75FDB" w14:paraId="0EDC6052" w14:textId="77777777" w:rsidTr="00CE688C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7E7A1B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1F0990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Informal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BEDC82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Tech.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1E6987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(ECE/TRANS/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C33516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Proposal for a draft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UN GTR (ECE/TRANS/WP.29/..)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D86D0D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State of play/Comments</w:t>
            </w:r>
          </w:p>
        </w:tc>
      </w:tr>
      <w:tr w:rsidR="00F85BB1" w:rsidRPr="00A75FDB" w14:paraId="6712A999" w14:textId="77777777" w:rsidTr="00CE688C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67E00A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Amend. 4 to UN GTR No. 2 (WMTC)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AA697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57"/>
              <w:rPr>
                <w:lang w:eastAsia="en-US"/>
              </w:rPr>
            </w:pPr>
            <w:r w:rsidRPr="00A75FDB">
              <w:rPr>
                <w:lang w:eastAsia="en-US"/>
              </w:rPr>
              <w:t>Yes/European Union</w:t>
            </w:r>
            <w:r w:rsidRPr="00A75FDB">
              <w:rPr>
                <w:lang w:eastAsia="en-US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5C938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European Union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5456F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AC.3/36/</w:t>
            </w:r>
            <w:r w:rsidRPr="00A75FDB">
              <w:rPr>
                <w:lang w:eastAsia="en-US"/>
              </w:rPr>
              <w:br/>
              <w:t>Rev.1 (based on 2015/113)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5E56FDE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16880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 adopted the Amend. 4 at its November 2019 session.</w:t>
            </w:r>
          </w:p>
        </w:tc>
      </w:tr>
      <w:tr w:rsidR="00F85BB1" w:rsidRPr="00A75FDB" w14:paraId="209DE44D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2014E23" w14:textId="77777777" w:rsidR="00F85BB1" w:rsidRPr="00A75FDB" w:rsidRDefault="00F85BB1" w:rsidP="00CE688C">
            <w:pPr>
              <w:spacing w:before="40" w:after="120" w:line="220" w:lineRule="exact"/>
              <w:rPr>
                <w:i/>
                <w:lang w:eastAsia="en-US"/>
              </w:rPr>
            </w:pPr>
            <w:r w:rsidRPr="00A75FDB">
              <w:rPr>
                <w:lang w:eastAsia="en-US"/>
              </w:rPr>
              <w:t xml:space="preserve">[Amend. 6] to </w:t>
            </w:r>
            <w:r w:rsidRPr="00A75FDB">
              <w:rPr>
                <w:spacing w:val="-2"/>
                <w:lang w:eastAsia="en-US"/>
              </w:rPr>
              <w:t>UN GTR No. 15</w:t>
            </w:r>
            <w:r w:rsidRPr="00A75FDB">
              <w:rPr>
                <w:lang w:eastAsia="en-US"/>
              </w:rPr>
              <w:t xml:space="preserve"> (WLTP)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71F82B6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i/>
                <w:lang w:eastAsia="en-US"/>
              </w:rPr>
            </w:pPr>
            <w:r w:rsidRPr="00A75FDB">
              <w:rPr>
                <w:lang w:eastAsia="en-US"/>
              </w:rPr>
              <w:t>Yes/</w:t>
            </w:r>
            <w:r w:rsidRPr="00A75FDB">
              <w:rPr>
                <w:lang w:eastAsia="en-US"/>
              </w:rPr>
              <w:br/>
              <w:t>Netherlands</w:t>
            </w:r>
            <w:r w:rsidRPr="00A75FDB">
              <w:rPr>
                <w:lang w:eastAsia="en-US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EE64C7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European Union/</w:t>
            </w:r>
            <w:r w:rsidRPr="00A75FDB">
              <w:rPr>
                <w:lang w:eastAsia="en-US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41074F4" w14:textId="77777777" w:rsidR="00F85BB1" w:rsidRPr="00A75FDB" w:rsidRDefault="00F85BB1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6639AE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63B00E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 to vote during the November 2020 session.</w:t>
            </w:r>
          </w:p>
        </w:tc>
      </w:tr>
      <w:tr w:rsidR="00F85BB1" w:rsidRPr="00A75FDB" w14:paraId="586385A7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44C1DA9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[Amend. 1] to UN GTR No. 18 (OBD for L-cat)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71AC55E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Yes/European Union</w:t>
            </w:r>
            <w:r w:rsidRPr="00A75FDB">
              <w:rPr>
                <w:lang w:eastAsia="en-US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912935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European Union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8AB7BE6" w14:textId="77777777" w:rsidR="00F85BB1" w:rsidRPr="00A75FDB" w:rsidRDefault="00F85BB1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AC.3/36/</w:t>
            </w:r>
            <w:r w:rsidRPr="00A75FDB">
              <w:rPr>
                <w:lang w:eastAsia="en-US"/>
              </w:rPr>
              <w:br/>
              <w:t>Rev.1 (based on 2015/113)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5BCF3B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CDF2A38" w14:textId="11C9A78E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 to vote during the November 2020 session.</w:t>
            </w:r>
          </w:p>
        </w:tc>
      </w:tr>
      <w:tr w:rsidR="00F85BB1" w:rsidRPr="00A75FDB" w14:paraId="61E23062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D0B334D" w14:textId="74D50820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Amend 3 to </w:t>
            </w:r>
            <w:r w:rsidRPr="00A75FDB">
              <w:rPr>
                <w:spacing w:val="-2"/>
                <w:lang w:eastAsia="en-US"/>
              </w:rPr>
              <w:t>UN GTR No. 19</w:t>
            </w:r>
            <w:r w:rsidRPr="00A75FDB">
              <w:rPr>
                <w:lang w:eastAsia="en-US"/>
              </w:rPr>
              <w:t xml:space="preserve"> (WLTP EVAP)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1BC16CC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</w:t>
            </w:r>
            <w:r w:rsidRPr="00A75FDB">
              <w:rPr>
                <w:lang w:eastAsia="en-US"/>
              </w:rPr>
              <w:br/>
              <w:t>Netherlands</w:t>
            </w:r>
            <w:r w:rsidRPr="00A75FDB">
              <w:rPr>
                <w:lang w:eastAsia="en-US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7C35379" w14:textId="77777777" w:rsidR="00F85BB1" w:rsidRPr="00A75FDB" w:rsidRDefault="00F85BB1" w:rsidP="00CE688C">
            <w:pPr>
              <w:spacing w:before="40" w:after="120" w:line="220" w:lineRule="exact"/>
              <w:ind w:right="-115"/>
              <w:rPr>
                <w:lang w:val="es-ES" w:eastAsia="en-US"/>
              </w:rPr>
            </w:pPr>
            <w:r w:rsidRPr="00A75FDB">
              <w:rPr>
                <w:lang w:eastAsia="en-US"/>
              </w:rPr>
              <w:t>European Union/</w:t>
            </w:r>
            <w:r w:rsidRPr="00A75FDB">
              <w:rPr>
                <w:lang w:eastAsia="en-US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B6607BF" w14:textId="77777777" w:rsidR="00F85BB1" w:rsidRPr="00A75FDB" w:rsidRDefault="00F85BB1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4440C7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19F2884" w14:textId="1AD9034B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AC.3 </w:t>
            </w:r>
            <w:r w:rsidR="00F060A2" w:rsidRPr="00F060A2">
              <w:rPr>
                <w:lang w:eastAsia="en-US"/>
              </w:rPr>
              <w:t xml:space="preserve">adopted the Amend. </w:t>
            </w:r>
            <w:r w:rsidR="00F060A2">
              <w:rPr>
                <w:lang w:eastAsia="en-US"/>
              </w:rPr>
              <w:t>3</w:t>
            </w:r>
            <w:r w:rsidR="00F060A2" w:rsidRPr="00F060A2">
              <w:rPr>
                <w:lang w:eastAsia="en-US"/>
              </w:rPr>
              <w:t xml:space="preserve"> at its </w:t>
            </w:r>
            <w:r w:rsidRPr="00A75FDB">
              <w:rPr>
                <w:lang w:eastAsia="en-US"/>
              </w:rPr>
              <w:t>June 2020 session</w:t>
            </w:r>
          </w:p>
        </w:tc>
      </w:tr>
      <w:tr w:rsidR="00F85BB1" w:rsidRPr="00A75FDB" w14:paraId="624C7108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D67170A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UN GTR No. [XX] on the Determination of Electrified Vehicle Power (DEVP)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6EBA2A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8CB366A" w14:textId="77777777" w:rsidR="00F85BB1" w:rsidRPr="00A75FDB" w:rsidRDefault="00F85BB1" w:rsidP="00CE688C">
            <w:pPr>
              <w:spacing w:before="40" w:after="120" w:line="220" w:lineRule="exact"/>
              <w:ind w:right="-115"/>
              <w:rPr>
                <w:lang w:val="es-ES" w:eastAsia="en-US"/>
              </w:rPr>
            </w:pPr>
            <w:r w:rsidRPr="00A75FDB">
              <w:rPr>
                <w:lang w:val="es-ES" w:eastAsia="en-US"/>
              </w:rPr>
              <w:t>Canada/</w:t>
            </w:r>
            <w:r w:rsidRPr="00A75FDB">
              <w:rPr>
                <w:lang w:val="es-ES" w:eastAsia="en-US"/>
              </w:rPr>
              <w:br/>
              <w:t>China/European Union/</w:t>
            </w:r>
            <w:r w:rsidRPr="00A75FDB">
              <w:rPr>
                <w:lang w:val="es-ES" w:eastAsia="en-US"/>
              </w:rPr>
              <w:br/>
              <w:t>Japan/USA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6F322E6" w14:textId="77777777" w:rsidR="00F85BB1" w:rsidRPr="00A75FDB" w:rsidRDefault="00F85BB1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AC.3/53/Rev.1</w:t>
            </w:r>
            <w:r w:rsidRPr="00A75FDB">
              <w:rPr>
                <w:lang w:eastAsia="en-US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88EB9B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6771AD0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 to vote during the November 2020 session.</w:t>
            </w:r>
          </w:p>
        </w:tc>
      </w:tr>
      <w:tr w:rsidR="00F85BB1" w:rsidRPr="00A75FDB" w14:paraId="4CA6A798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9992716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lastRenderedPageBreak/>
              <w:t>UN GTR No. [XX] on Global Real Driving Emissions (RDE)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37D2F0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Yes/European Union/ Japan/</w:t>
            </w:r>
            <w:r w:rsidRPr="00A75FDB">
              <w:rPr>
                <w:lang w:eastAsia="en-US"/>
              </w:rPr>
              <w:br/>
              <w:t>Rep. of Korea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4826761" w14:textId="77777777" w:rsidR="00F85BB1" w:rsidRPr="00A75FDB" w:rsidRDefault="00F85BB1" w:rsidP="00CE688C">
            <w:pPr>
              <w:spacing w:before="40" w:after="120" w:line="220" w:lineRule="exact"/>
              <w:ind w:right="-115"/>
              <w:rPr>
                <w:lang w:eastAsia="en-US"/>
              </w:rPr>
            </w:pPr>
            <w:r w:rsidRPr="00A75FDB">
              <w:rPr>
                <w:lang w:eastAsia="en-US"/>
              </w:rPr>
              <w:t>European Union/ Japan/</w:t>
            </w:r>
            <w:r w:rsidRPr="00A75FDB">
              <w:rPr>
                <w:lang w:eastAsia="en-US"/>
              </w:rPr>
              <w:br/>
              <w:t>Rep. of Korea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9C4B880" w14:textId="77777777" w:rsidR="00F85BB1" w:rsidRPr="00A75FDB" w:rsidRDefault="00F85BB1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AE6CC2F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333FE12" w14:textId="2C36FA2E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AC.3/51 amended by AC.3/54; UN GTR expected at AC.3 in </w:t>
            </w:r>
            <w:r w:rsidR="00A34726">
              <w:rPr>
                <w:lang w:eastAsia="en-US"/>
              </w:rPr>
              <w:t>[</w:t>
            </w:r>
            <w:r w:rsidRPr="00A75FDB">
              <w:rPr>
                <w:lang w:eastAsia="en-US"/>
              </w:rPr>
              <w:t>June 2021</w:t>
            </w:r>
            <w:r w:rsidR="00A34726">
              <w:rPr>
                <w:lang w:eastAsia="en-US"/>
              </w:rPr>
              <w:t>]</w:t>
            </w:r>
          </w:p>
        </w:tc>
      </w:tr>
      <w:tr w:rsidR="00F85BB1" w:rsidRPr="00A75FDB" w14:paraId="6C14AB6B" w14:textId="77777777" w:rsidTr="00CE688C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0784EC2" w14:textId="5FCE0DAB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UN GTR No. </w:t>
            </w:r>
            <w:r w:rsidR="00905E4A">
              <w:rPr>
                <w:lang w:eastAsia="en-US"/>
              </w:rPr>
              <w:t>[</w:t>
            </w:r>
            <w:r w:rsidRPr="00A75FDB">
              <w:rPr>
                <w:lang w:eastAsia="en-US"/>
              </w:rPr>
              <w:t>XX</w:t>
            </w:r>
            <w:r w:rsidR="00905E4A">
              <w:rPr>
                <w:lang w:eastAsia="en-US"/>
              </w:rPr>
              <w:t>]</w:t>
            </w:r>
            <w:r w:rsidRPr="00A75FDB">
              <w:rPr>
                <w:lang w:eastAsia="en-US"/>
              </w:rPr>
              <w:t xml:space="preserve"> on in-vehicle battery durability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272287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0873BB7" w14:textId="77777777" w:rsidR="00F85BB1" w:rsidRPr="00A75FDB" w:rsidRDefault="00F85BB1" w:rsidP="00CE688C">
            <w:pPr>
              <w:spacing w:before="40" w:after="120" w:line="220" w:lineRule="exact"/>
              <w:ind w:right="-115"/>
              <w:rPr>
                <w:lang w:val="es-ES" w:eastAsia="en-US"/>
              </w:rPr>
            </w:pPr>
            <w:r w:rsidRPr="00A75FDB">
              <w:rPr>
                <w:lang w:val="es-ES" w:eastAsia="en-US"/>
              </w:rPr>
              <w:t>Canada/</w:t>
            </w:r>
            <w:r w:rsidRPr="00A75FDB">
              <w:rPr>
                <w:lang w:val="es-ES" w:eastAsia="en-US"/>
              </w:rPr>
              <w:br/>
              <w:t>China/European Union/</w:t>
            </w:r>
            <w:r w:rsidRPr="00A75FDB">
              <w:rPr>
                <w:lang w:val="es-ES" w:eastAsia="en-US"/>
              </w:rPr>
              <w:br/>
              <w:t>Japan/USA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F0AB732" w14:textId="11069CA4" w:rsidR="00F85BB1" w:rsidRPr="00A75FDB" w:rsidRDefault="00905E4A" w:rsidP="00CE688C">
            <w:pPr>
              <w:spacing w:before="40" w:after="120" w:line="220" w:lineRule="exact"/>
              <w:ind w:left="57" w:right="113"/>
              <w:rPr>
                <w:lang w:eastAsia="en-US"/>
              </w:rPr>
            </w:pPr>
            <w:r>
              <w:rPr>
                <w:lang w:eastAsia="en-US"/>
              </w:rPr>
              <w:t>AC.3/57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922B93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428CB86" w14:textId="30AA726B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</w:t>
            </w:r>
            <w:r w:rsidR="001F0F7B">
              <w:rPr>
                <w:lang w:eastAsia="en-US"/>
              </w:rPr>
              <w:t xml:space="preserve">/57 </w:t>
            </w:r>
            <w:r w:rsidR="00D50A94">
              <w:rPr>
                <w:lang w:eastAsia="en-US"/>
              </w:rPr>
              <w:t>adopted by AC.3</w:t>
            </w:r>
            <w:r w:rsidRPr="00A75FDB">
              <w:rPr>
                <w:lang w:eastAsia="en-US"/>
              </w:rPr>
              <w:t xml:space="preserve"> </w:t>
            </w:r>
            <w:r w:rsidR="00D50A94">
              <w:rPr>
                <w:lang w:eastAsia="en-US"/>
              </w:rPr>
              <w:t>at tis</w:t>
            </w:r>
            <w:r w:rsidRPr="00A75FDB">
              <w:rPr>
                <w:lang w:eastAsia="en-US"/>
              </w:rPr>
              <w:t xml:space="preserve"> June 2020 session</w:t>
            </w:r>
          </w:p>
        </w:tc>
      </w:tr>
    </w:tbl>
    <w:p w14:paraId="70011C9B" w14:textId="77777777" w:rsidR="00F85BB1" w:rsidRPr="00A75FDB" w:rsidRDefault="00F85BB1" w:rsidP="00F85BB1">
      <w:pPr>
        <w:keepNext/>
        <w:keepLines/>
        <w:spacing w:before="240" w:after="120" w:line="240" w:lineRule="exact"/>
        <w:ind w:right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559"/>
        <w:gridCol w:w="974"/>
        <w:gridCol w:w="1870"/>
        <w:gridCol w:w="2259"/>
      </w:tblGrid>
      <w:tr w:rsidR="00F85BB1" w:rsidRPr="00A75FDB" w14:paraId="6604E584" w14:textId="77777777" w:rsidTr="00730CA5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B36682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708155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Informal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1EA0AD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06DDFE" w14:textId="77777777" w:rsidR="00F85BB1" w:rsidRPr="00A75FDB" w:rsidRDefault="00F85BB1" w:rsidP="00CE688C">
            <w:pPr>
              <w:spacing w:before="80" w:after="80" w:line="200" w:lineRule="exact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7F4E9D" w14:textId="77777777" w:rsidR="00F85BB1" w:rsidRPr="00A75FDB" w:rsidRDefault="00F85BB1" w:rsidP="00CE688C">
            <w:pPr>
              <w:spacing w:before="80" w:after="80" w:line="200" w:lineRule="exact"/>
              <w:ind w:right="-125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Proposal for a draft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F7A1BE" w14:textId="77777777" w:rsidR="00F85BB1" w:rsidRPr="00A75FDB" w:rsidRDefault="00F85BB1" w:rsidP="00CE688C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State of play/Comments</w:t>
            </w:r>
          </w:p>
        </w:tc>
      </w:tr>
      <w:tr w:rsidR="00F85BB1" w:rsidRPr="00A75FDB" w14:paraId="44AF8442" w14:textId="77777777" w:rsidTr="00730CA5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E5DD9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Quiet Road Transport Vehicle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17274CB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Yes/USA</w:t>
            </w:r>
            <w:r w:rsidRPr="00A75FDB">
              <w:rPr>
                <w:b/>
                <w:lang w:eastAsia="en-US"/>
              </w:rPr>
              <w:t>/</w:t>
            </w:r>
            <w:r w:rsidRPr="00A75FDB">
              <w:rPr>
                <w:lang w:eastAsia="en-US"/>
              </w:rPr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F77D83" w14:textId="77777777" w:rsidR="00F85BB1" w:rsidRPr="00A75FDB" w:rsidRDefault="00F85BB1" w:rsidP="00CE688C">
            <w:pPr>
              <w:spacing w:before="40" w:after="120" w:line="220" w:lineRule="exact"/>
              <w:ind w:right="19"/>
              <w:rPr>
                <w:i/>
                <w:lang w:eastAsia="en-US"/>
              </w:rPr>
            </w:pPr>
            <w:r w:rsidRPr="00A75FDB">
              <w:rPr>
                <w:lang w:eastAsia="en-US"/>
              </w:rPr>
              <w:t xml:space="preserve">European Union/Japan/ </w:t>
            </w:r>
            <w:r w:rsidRPr="00A75FDB">
              <w:rPr>
                <w:lang w:eastAsia="en-US"/>
              </w:rPr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970EC3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AC.3/33</w:t>
            </w:r>
            <w:r w:rsidRPr="00A75FDB">
              <w:rPr>
                <w:lang w:eastAsia="en-US"/>
              </w:rPr>
              <w:br/>
              <w:t>(Including ToR)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1E388F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6CD18B" w14:textId="77777777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AC.3 expects a progress report of the ITWG on QRTV </w:t>
            </w:r>
          </w:p>
        </w:tc>
      </w:tr>
    </w:tbl>
    <w:p w14:paraId="3179129D" w14:textId="77777777" w:rsidR="00F85BB1" w:rsidRPr="00A75FDB" w:rsidRDefault="00F85BB1" w:rsidP="00F85BB1">
      <w:pPr>
        <w:keepNext/>
        <w:keepLines/>
        <w:spacing w:before="240" w:after="120" w:line="240" w:lineRule="exact"/>
        <w:ind w:right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701"/>
        <w:gridCol w:w="974"/>
        <w:gridCol w:w="1866"/>
        <w:gridCol w:w="2121"/>
      </w:tblGrid>
      <w:tr w:rsidR="00F85BB1" w:rsidRPr="00A75FDB" w14:paraId="3B73FD6A" w14:textId="77777777" w:rsidTr="00CE688C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CBD021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FC3338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Informal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45ABC8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DBF997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02EFD9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B81115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State of play/Comments</w:t>
            </w:r>
          </w:p>
        </w:tc>
      </w:tr>
      <w:tr w:rsidR="00F85BB1" w:rsidRPr="00A75FDB" w14:paraId="6C5D7EE8" w14:textId="77777777" w:rsidTr="00CE688C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CD9A7B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Panoramic Sunroof Glazing (PSG)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C4BC2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Yes/Rep. of Korea/ Germany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E31AAE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Rep. of 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8370CF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8B88BF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09CF2B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WP.29/AC.3 extended the mandate of the IWG on PSG until April 2020. In the meantime, AC.3 established in the Global Registry Corrigendum 2 to UN GTR No. 6 (to clarify the scope).</w:t>
            </w:r>
          </w:p>
        </w:tc>
      </w:tr>
      <w:tr w:rsidR="00F85BB1" w:rsidRPr="00A75FDB" w14:paraId="7B0004B2" w14:textId="77777777" w:rsidTr="00CE688C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A85C3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Amendments to UN GTR No.6 (Safety Glazing)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4A70DE" w14:textId="77777777" w:rsidR="00F85BB1" w:rsidRPr="00A75FDB" w:rsidRDefault="00F85BB1" w:rsidP="00CE688C">
            <w:pPr>
              <w:spacing w:before="40" w:after="120" w:line="220" w:lineRule="exact"/>
              <w:jc w:val="center"/>
              <w:rPr>
                <w:i/>
                <w:iCs/>
                <w:lang w:eastAsia="en-US"/>
              </w:rPr>
            </w:pPr>
            <w:r w:rsidRPr="00A75FDB">
              <w:rPr>
                <w:i/>
                <w:iCs/>
                <w:lang w:eastAsia="en-US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D8C51F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0F133F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AC.3/52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6241AF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7EC2B2" w14:textId="77777777" w:rsidR="00F85BB1" w:rsidRPr="00A75FDB" w:rsidRDefault="00F85BB1" w:rsidP="00CE688C">
            <w:pPr>
              <w:spacing w:before="40" w:after="120" w:line="220" w:lineRule="exact"/>
              <w:rPr>
                <w:lang w:eastAsia="en-US"/>
              </w:rPr>
            </w:pPr>
            <w:r w:rsidRPr="00A75FDB">
              <w:rPr>
                <w:lang w:eastAsia="en-US"/>
              </w:rPr>
              <w:t>AC.3 endorsed the authorization (2018/167) to develop an amendment to UN GTR No. 6 on thinner laminated-glass panes for front of upper deck of double decked buses.</w:t>
            </w:r>
          </w:p>
        </w:tc>
      </w:tr>
    </w:tbl>
    <w:p w14:paraId="4AC11F4B" w14:textId="77777777" w:rsidR="00F85BB1" w:rsidRPr="00A75FDB" w:rsidRDefault="00F85BB1" w:rsidP="00F85BB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  <w:lang w:eastAsia="en-US"/>
        </w:rPr>
      </w:pPr>
      <w:r w:rsidRPr="00A75FDB">
        <w:rPr>
          <w:b/>
          <w:sz w:val="24"/>
          <w:szCs w:val="24"/>
          <w:lang w:eastAsia="en-US"/>
        </w:rPr>
        <w:lastRenderedPageBreak/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F85BB1" w:rsidRPr="00A75FDB" w14:paraId="705AB17B" w14:textId="77777777" w:rsidTr="00CE688C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DA592F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9C5137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E48F9C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Inf. group 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(Yes–No)/</w:t>
            </w:r>
            <w:r w:rsidRPr="00A75FDB">
              <w:rPr>
                <w:i/>
                <w:sz w:val="16"/>
                <w:szCs w:val="16"/>
                <w:lang w:eastAsia="en-US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662B6A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9C4FE3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B16ACA" w14:textId="77777777" w:rsidR="00F85BB1" w:rsidRPr="00A75FDB" w:rsidRDefault="00F85BB1" w:rsidP="00CE688C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eastAsia="en-US"/>
              </w:rPr>
            </w:pPr>
            <w:r w:rsidRPr="00A75FDB">
              <w:rPr>
                <w:i/>
                <w:sz w:val="16"/>
                <w:szCs w:val="16"/>
                <w:lang w:eastAsia="en-US"/>
              </w:rPr>
              <w:t xml:space="preserve">State of play. </w:t>
            </w:r>
          </w:p>
        </w:tc>
      </w:tr>
      <w:tr w:rsidR="00F85BB1" w:rsidRPr="00A75FDB" w14:paraId="2F4FD54E" w14:textId="77777777" w:rsidTr="00CE688C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579D50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3AF9FA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4C596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i/>
                <w:lang w:eastAsia="en-US"/>
              </w:rPr>
            </w:pPr>
            <w:r w:rsidRPr="00A75FDB">
              <w:rPr>
                <w:i/>
                <w:lang w:eastAsia="en-US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CD631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50" w:firstLine="48"/>
              <w:rPr>
                <w:lang w:eastAsia="en-US"/>
              </w:rPr>
            </w:pPr>
            <w:r w:rsidRPr="00A75FDB">
              <w:rPr>
                <w:lang w:eastAsia="en-US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219AC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7FCFB3" w14:textId="77777777" w:rsidR="00F85BB1" w:rsidRPr="00A75FDB" w:rsidRDefault="00F85BB1" w:rsidP="00CE688C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>No new information was provided.</w:t>
            </w:r>
          </w:p>
        </w:tc>
      </w:tr>
      <w:tr w:rsidR="00F85BB1" w:rsidRPr="00A75FDB" w14:paraId="06F3AE69" w14:textId="77777777" w:rsidTr="00CE688C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B6CB8F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BE59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Harmonized side impact dummies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93DE5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i/>
                <w:lang w:eastAsia="en-US"/>
              </w:rPr>
            </w:pPr>
            <w:r w:rsidRPr="00A75FDB">
              <w:rPr>
                <w:i/>
                <w:lang w:eastAsia="en-US"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5C5E9" w14:textId="77777777" w:rsidR="00F85BB1" w:rsidRPr="00A75FDB" w:rsidRDefault="00F85BB1" w:rsidP="00CE688C">
            <w:pPr>
              <w:spacing w:before="40" w:after="120" w:line="220" w:lineRule="exact"/>
              <w:ind w:right="50" w:firstLine="48"/>
              <w:rPr>
                <w:lang w:eastAsia="en-US"/>
              </w:rPr>
            </w:pPr>
            <w:r w:rsidRPr="00A75FDB">
              <w:rPr>
                <w:lang w:eastAsia="en-US"/>
              </w:rPr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663B7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2010/88</w:t>
            </w:r>
            <w:r w:rsidRPr="00A75FDB">
              <w:rPr>
                <w:lang w:eastAsia="en-US"/>
              </w:rPr>
              <w:br/>
              <w:t>(second progress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C6F3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F85BB1" w:rsidRPr="00A75FDB" w14:paraId="0E1A0746" w14:textId="77777777" w:rsidTr="00CE688C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76974F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978F2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AF899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i/>
                <w:lang w:eastAsia="en-US"/>
              </w:rPr>
            </w:pPr>
            <w:r w:rsidRPr="00A75FDB">
              <w:rPr>
                <w:i/>
                <w:lang w:eastAsia="en-US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FD8FB" w14:textId="77777777" w:rsidR="00F85BB1" w:rsidRPr="00A75FDB" w:rsidRDefault="00F85BB1" w:rsidP="00CE688C">
            <w:pPr>
              <w:spacing w:before="40" w:after="120" w:line="220" w:lineRule="exact"/>
              <w:ind w:right="50" w:firstLine="48"/>
              <w:rPr>
                <w:lang w:eastAsia="en-US"/>
              </w:rPr>
            </w:pPr>
            <w:r w:rsidRPr="00A75FDB">
              <w:rPr>
                <w:lang w:eastAsia="en-US"/>
              </w:rPr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33CF0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A2213" w14:textId="77777777" w:rsidR="00F85BB1" w:rsidRPr="00A75FDB" w:rsidRDefault="00F85BB1" w:rsidP="00CE688C">
            <w:pPr>
              <w:spacing w:before="40" w:after="120" w:line="220" w:lineRule="exact"/>
              <w:ind w:right="113"/>
              <w:jc w:val="both"/>
              <w:rPr>
                <w:lang w:eastAsia="en-US"/>
              </w:rPr>
            </w:pPr>
            <w:r w:rsidRPr="00A75FDB">
              <w:rPr>
                <w:lang w:eastAsia="en-US"/>
              </w:rPr>
              <w:t>No new information was provided to AC.3.</w:t>
            </w:r>
          </w:p>
        </w:tc>
      </w:tr>
      <w:tr w:rsidR="00F85BB1" w:rsidRPr="00A75FDB" w14:paraId="4E166ADA" w14:textId="77777777" w:rsidTr="00CE688C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95D024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5EA208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 xml:space="preserve">New technology not yet regulated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7B0C8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i/>
                <w:lang w:eastAsia="en-US"/>
              </w:rPr>
            </w:pPr>
            <w:r w:rsidRPr="00A75FDB">
              <w:rPr>
                <w:i/>
                <w:lang w:eastAsia="en-US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9BBDE2" w14:textId="77777777" w:rsidR="00F85BB1" w:rsidRPr="00A75FDB" w:rsidRDefault="00F85BB1" w:rsidP="00CE688C">
            <w:pPr>
              <w:spacing w:before="40" w:after="120" w:line="220" w:lineRule="exact"/>
              <w:ind w:right="50" w:firstLine="48"/>
              <w:rPr>
                <w:lang w:eastAsia="en-US"/>
              </w:rPr>
            </w:pPr>
            <w:r w:rsidRPr="00A75FDB">
              <w:rPr>
                <w:lang w:eastAsia="en-US"/>
              </w:rPr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D034E2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899B45" w14:textId="77777777" w:rsidR="00F85BB1" w:rsidRPr="00A75FDB" w:rsidRDefault="00F85BB1" w:rsidP="00CE688C">
            <w:pPr>
              <w:spacing w:before="40" w:after="120" w:line="220" w:lineRule="exact"/>
              <w:ind w:right="113"/>
              <w:rPr>
                <w:lang w:eastAsia="en-US"/>
              </w:rPr>
            </w:pPr>
            <w:r w:rsidRPr="00A75FDB">
              <w:rPr>
                <w:lang w:eastAsia="en-US"/>
              </w:rPr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14:paraId="4D0DFD4B" w14:textId="77777777" w:rsidR="00F85BB1" w:rsidRPr="00A75FDB" w:rsidRDefault="00F85BB1" w:rsidP="00F85BB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A75FDB">
        <w:rPr>
          <w:b/>
          <w:sz w:val="28"/>
          <w:lang w:eastAsia="en-US"/>
        </w:rPr>
        <w:br w:type="page"/>
      </w:r>
    </w:p>
    <w:p w14:paraId="6C91BECB" w14:textId="77777777" w:rsidR="00446FE5" w:rsidRPr="00150DB2" w:rsidRDefault="00446FE5" w:rsidP="00150DB2"/>
    <w:sectPr w:rsidR="00446FE5" w:rsidRPr="00150DB2" w:rsidSect="00A54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2DD2" w14:textId="77777777" w:rsidR="00697926" w:rsidRDefault="00697926" w:rsidP="00F95C08">
      <w:pPr>
        <w:spacing w:line="240" w:lineRule="auto"/>
      </w:pPr>
    </w:p>
  </w:endnote>
  <w:endnote w:type="continuationSeparator" w:id="0">
    <w:p w14:paraId="566021F1" w14:textId="77777777" w:rsidR="00697926" w:rsidRPr="00AC3823" w:rsidRDefault="00697926" w:rsidP="00AC3823">
      <w:pPr>
        <w:pStyle w:val="Footer"/>
      </w:pPr>
    </w:p>
  </w:endnote>
  <w:endnote w:type="continuationNotice" w:id="1">
    <w:p w14:paraId="284F9E8C" w14:textId="77777777" w:rsidR="00697926" w:rsidRDefault="006979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0C80" w14:textId="77777777" w:rsidR="00D92CB2" w:rsidRDefault="00D9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B3E0" w14:textId="77777777" w:rsidR="00D92CB2" w:rsidRDefault="00D92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7FEA" w14:textId="77777777" w:rsidR="00D92CB2" w:rsidRDefault="00D9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184D" w14:textId="77777777" w:rsidR="00697926" w:rsidRPr="00AC3823" w:rsidRDefault="006979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D65A64" w14:textId="77777777" w:rsidR="00697926" w:rsidRPr="00AC3823" w:rsidRDefault="006979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009ED3" w14:textId="77777777" w:rsidR="00697926" w:rsidRPr="00AC3823" w:rsidRDefault="00697926">
      <w:pPr>
        <w:spacing w:line="240" w:lineRule="auto"/>
        <w:rPr>
          <w:sz w:val="2"/>
          <w:szCs w:val="2"/>
        </w:rPr>
      </w:pPr>
    </w:p>
  </w:footnote>
  <w:footnote w:id="2">
    <w:p w14:paraId="2CBB06C1" w14:textId="77777777" w:rsidR="00F85BB1" w:rsidRPr="00925857" w:rsidRDefault="00F85BB1" w:rsidP="00F85BB1">
      <w:pPr>
        <w:pStyle w:val="FootnoteText"/>
        <w:tabs>
          <w:tab w:val="left" w:pos="1418"/>
        </w:tabs>
        <w:rPr>
          <w:sz w:val="16"/>
          <w:szCs w:val="16"/>
        </w:rPr>
      </w:pPr>
      <w:r w:rsidRPr="00730CA5">
        <w:rPr>
          <w:rStyle w:val="FootnoteReference"/>
          <w:szCs w:val="18"/>
          <w:lang w:val="en-US"/>
        </w:rPr>
        <w:tab/>
        <w:t>*</w:t>
      </w:r>
      <w:r w:rsidRPr="00925857"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925857"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 w:rsidRPr="00925857"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E9E9" w14:textId="77777777" w:rsidR="00D92CB2" w:rsidRDefault="00D9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1782" w14:textId="77777777" w:rsidR="00D92CB2" w:rsidRDefault="00D92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A54F0B" w14:paraId="0F55D243" w14:textId="77777777" w:rsidTr="00CE688C">
      <w:tc>
        <w:tcPr>
          <w:tcW w:w="5748" w:type="dxa"/>
          <w:hideMark/>
        </w:tcPr>
        <w:p w14:paraId="173D3298" w14:textId="77777777" w:rsidR="00A54F0B" w:rsidRDefault="00A54F0B" w:rsidP="00A54F0B">
          <w:r>
            <w:t>Note by the secretariat</w:t>
          </w:r>
        </w:p>
      </w:tc>
      <w:tc>
        <w:tcPr>
          <w:tcW w:w="3720" w:type="dxa"/>
          <w:hideMark/>
        </w:tcPr>
        <w:p w14:paraId="21CAA7B2" w14:textId="5F606B98" w:rsidR="00A54F0B" w:rsidRDefault="00A54F0B" w:rsidP="00A54F0B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WP.29-182-</w:t>
          </w:r>
          <w:r w:rsidR="00D92CB2">
            <w:rPr>
              <w:b/>
              <w:bCs/>
            </w:rPr>
            <w:t>10</w:t>
          </w:r>
        </w:p>
        <w:p w14:paraId="76900D29" w14:textId="77777777" w:rsidR="00A54F0B" w:rsidRDefault="00A54F0B" w:rsidP="00A54F0B">
          <w:r>
            <w:t xml:space="preserve">182nd WP.29, 10-12 November 2020, </w:t>
          </w:r>
          <w:r>
            <w:br/>
            <w:t>Agenda items 5.1 and 13</w:t>
          </w:r>
        </w:p>
      </w:tc>
    </w:tr>
  </w:tbl>
  <w:p w14:paraId="12F5E0FF" w14:textId="77777777" w:rsidR="00A7316C" w:rsidRDefault="00A7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1"/>
    <w:rsid w:val="00017F94"/>
    <w:rsid w:val="00023842"/>
    <w:rsid w:val="000334F9"/>
    <w:rsid w:val="0007796D"/>
    <w:rsid w:val="000B7790"/>
    <w:rsid w:val="000C02A4"/>
    <w:rsid w:val="000C390E"/>
    <w:rsid w:val="00103267"/>
    <w:rsid w:val="00111F2F"/>
    <w:rsid w:val="0014365E"/>
    <w:rsid w:val="0014660A"/>
    <w:rsid w:val="00150DB2"/>
    <w:rsid w:val="00176178"/>
    <w:rsid w:val="00183355"/>
    <w:rsid w:val="001F0F7B"/>
    <w:rsid w:val="001F5170"/>
    <w:rsid w:val="001F525A"/>
    <w:rsid w:val="00223272"/>
    <w:rsid w:val="002427CA"/>
    <w:rsid w:val="0024779E"/>
    <w:rsid w:val="00260F4B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94862"/>
    <w:rsid w:val="004D1CEB"/>
    <w:rsid w:val="0051346F"/>
    <w:rsid w:val="005505B7"/>
    <w:rsid w:val="00573BE5"/>
    <w:rsid w:val="00586ED3"/>
    <w:rsid w:val="00596AA9"/>
    <w:rsid w:val="006122C4"/>
    <w:rsid w:val="00697926"/>
    <w:rsid w:val="006E2C9B"/>
    <w:rsid w:val="0071601D"/>
    <w:rsid w:val="00730CA5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05E4A"/>
    <w:rsid w:val="0093050C"/>
    <w:rsid w:val="00957790"/>
    <w:rsid w:val="009705C8"/>
    <w:rsid w:val="00A12AB5"/>
    <w:rsid w:val="00A34726"/>
    <w:rsid w:val="00A54F0B"/>
    <w:rsid w:val="00A7316C"/>
    <w:rsid w:val="00AC3823"/>
    <w:rsid w:val="00AD3959"/>
    <w:rsid w:val="00AE323C"/>
    <w:rsid w:val="00AE7D9F"/>
    <w:rsid w:val="00B00181"/>
    <w:rsid w:val="00B43C66"/>
    <w:rsid w:val="00B765F7"/>
    <w:rsid w:val="00B85D8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50A94"/>
    <w:rsid w:val="00D92CB2"/>
    <w:rsid w:val="00DA22F4"/>
    <w:rsid w:val="00DB1831"/>
    <w:rsid w:val="00DD3BFD"/>
    <w:rsid w:val="00DF6678"/>
    <w:rsid w:val="00E22CF2"/>
    <w:rsid w:val="00E30897"/>
    <w:rsid w:val="00E32CC4"/>
    <w:rsid w:val="00E33F14"/>
    <w:rsid w:val="00E52D9F"/>
    <w:rsid w:val="00F060A2"/>
    <w:rsid w:val="00F12269"/>
    <w:rsid w:val="00F164B0"/>
    <w:rsid w:val="00F660DF"/>
    <w:rsid w:val="00F80094"/>
    <w:rsid w:val="00F85BB1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5B302"/>
  <w15:chartTrackingRefBased/>
  <w15:docId w15:val="{C4CEBE25-C30C-48E3-90FF-48478EA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B1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HChGChar">
    <w:name w:val="_ H _Ch_G Char"/>
    <w:link w:val="HChG"/>
    <w:rsid w:val="00F85BB1"/>
    <w:rPr>
      <w:rFonts w:eastAsia="Times New Roman"/>
      <w:b/>
      <w:sz w:val="2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D8E0-1FDE-41D9-B258-CA6551803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8D3D0-9113-44DA-A323-DC546C8F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DFC46-B670-45F3-A5D3-44485ED90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B8D6-28C8-4DFE-A6A9-19679FA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Edoardo Gianotti</cp:lastModifiedBy>
  <cp:revision>2</cp:revision>
  <cp:lastPrinted>2014-05-14T10:59:00Z</cp:lastPrinted>
  <dcterms:created xsi:type="dcterms:W3CDTF">2020-11-05T10:16:00Z</dcterms:created>
  <dcterms:modified xsi:type="dcterms:W3CDTF">2020-11-05T10:16:00Z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