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rsidTr="00703B14">
        <w:trPr>
          <w:cantSplit/>
          <w:trHeight w:hRule="exact" w:val="851"/>
        </w:trPr>
        <w:tc>
          <w:tcPr>
            <w:tcW w:w="1276" w:type="dxa"/>
            <w:tcBorders>
              <w:bottom w:val="single" w:sz="4" w:space="0" w:color="auto"/>
            </w:tcBorders>
            <w:vAlign w:val="bottom"/>
          </w:tcPr>
          <w:p w:rsidR="00B1710A" w:rsidRDefault="00B1710A" w:rsidP="00703B14">
            <w:pPr>
              <w:spacing w:after="80"/>
            </w:pPr>
            <w:bookmarkStart w:id="0" w:name="_Hlk17108088"/>
            <w:bookmarkEnd w:id="0"/>
          </w:p>
        </w:tc>
        <w:tc>
          <w:tcPr>
            <w:tcW w:w="2268" w:type="dxa"/>
            <w:tcBorders>
              <w:bottom w:val="single" w:sz="4" w:space="0" w:color="auto"/>
            </w:tcBorders>
            <w:vAlign w:val="bottom"/>
          </w:tcPr>
          <w:p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1710A" w:rsidRPr="00D47EEA" w:rsidRDefault="00B1710A" w:rsidP="00703B14">
            <w:pPr>
              <w:jc w:val="right"/>
            </w:pPr>
            <w:r w:rsidRPr="00510FF8">
              <w:rPr>
                <w:sz w:val="40"/>
              </w:rPr>
              <w:t>ECE</w:t>
            </w:r>
            <w:r>
              <w:t>/TRANS/WP.29/2020</w:t>
            </w:r>
            <w:r w:rsidRPr="00EA3336">
              <w:t>/</w:t>
            </w:r>
            <w:r w:rsidR="00CA26FA">
              <w:t>4</w:t>
            </w:r>
            <w:r w:rsidR="00841D4D">
              <w:t>6</w:t>
            </w:r>
          </w:p>
        </w:tc>
      </w:tr>
      <w:tr w:rsidR="00B1710A" w:rsidTr="00703B14">
        <w:trPr>
          <w:cantSplit/>
          <w:trHeight w:hRule="exact" w:val="2835"/>
        </w:trPr>
        <w:tc>
          <w:tcPr>
            <w:tcW w:w="1276" w:type="dxa"/>
            <w:tcBorders>
              <w:top w:val="single" w:sz="4" w:space="0" w:color="auto"/>
              <w:bottom w:val="single" w:sz="12" w:space="0" w:color="auto"/>
            </w:tcBorders>
          </w:tcPr>
          <w:p w:rsidR="00B1710A" w:rsidRDefault="00B1710A" w:rsidP="00703B14">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1710A" w:rsidRDefault="00B1710A" w:rsidP="00703B14">
            <w:pPr>
              <w:spacing w:before="240" w:line="240" w:lineRule="exact"/>
            </w:pPr>
            <w:r>
              <w:t>Distr.: General</w:t>
            </w:r>
          </w:p>
          <w:p w:rsidR="00B1710A" w:rsidRDefault="00152995" w:rsidP="00703B14">
            <w:pPr>
              <w:spacing w:line="240" w:lineRule="exact"/>
            </w:pPr>
            <w:r>
              <w:t>1</w:t>
            </w:r>
            <w:r w:rsidR="00AF31CC">
              <w:t>9</w:t>
            </w:r>
            <w:r w:rsidR="00B1710A">
              <w:t xml:space="preserve"> December 2019</w:t>
            </w:r>
          </w:p>
          <w:p w:rsidR="00B1710A" w:rsidRDefault="00B1710A" w:rsidP="00703B14">
            <w:pPr>
              <w:spacing w:line="240" w:lineRule="exact"/>
            </w:pPr>
          </w:p>
          <w:p w:rsidR="00B1710A" w:rsidRDefault="00B1710A" w:rsidP="00703B14">
            <w:pPr>
              <w:spacing w:line="240" w:lineRule="exact"/>
            </w:pPr>
            <w:r>
              <w:t>Original: English</w:t>
            </w:r>
          </w:p>
        </w:tc>
      </w:tr>
    </w:tbl>
    <w:p w:rsidR="00B1710A" w:rsidRPr="007C7AC6" w:rsidRDefault="00B1710A" w:rsidP="00B1710A">
      <w:pPr>
        <w:spacing w:before="120"/>
        <w:rPr>
          <w:b/>
          <w:sz w:val="28"/>
          <w:szCs w:val="28"/>
        </w:rPr>
      </w:pPr>
      <w:r w:rsidRPr="007C7AC6">
        <w:rPr>
          <w:b/>
          <w:sz w:val="28"/>
          <w:szCs w:val="28"/>
        </w:rPr>
        <w:t>Economic Commission for Europe</w:t>
      </w:r>
    </w:p>
    <w:p w:rsidR="00B1710A" w:rsidRPr="007C7AC6" w:rsidRDefault="00B1710A" w:rsidP="00B1710A">
      <w:pPr>
        <w:spacing w:before="120"/>
        <w:rPr>
          <w:sz w:val="28"/>
          <w:szCs w:val="28"/>
        </w:rPr>
      </w:pPr>
      <w:r w:rsidRPr="007C7AC6">
        <w:rPr>
          <w:sz w:val="28"/>
          <w:szCs w:val="28"/>
        </w:rPr>
        <w:t>Inland Transport Committee</w:t>
      </w:r>
    </w:p>
    <w:p w:rsidR="00B1710A" w:rsidRPr="007C7AC6" w:rsidRDefault="00B1710A" w:rsidP="00B1710A">
      <w:pPr>
        <w:spacing w:before="120"/>
        <w:rPr>
          <w:b/>
          <w:sz w:val="24"/>
          <w:szCs w:val="24"/>
        </w:rPr>
      </w:pPr>
      <w:r w:rsidRPr="007C7AC6">
        <w:rPr>
          <w:b/>
          <w:sz w:val="24"/>
          <w:szCs w:val="24"/>
        </w:rPr>
        <w:t>World Forum for Harmonization of Vehicle Regulations</w:t>
      </w:r>
    </w:p>
    <w:p w:rsidR="00B1710A" w:rsidRDefault="00B1710A" w:rsidP="00B1710A">
      <w:pPr>
        <w:tabs>
          <w:tab w:val="center" w:pos="4819"/>
        </w:tabs>
        <w:spacing w:before="120"/>
        <w:rPr>
          <w:b/>
          <w:lang w:val="en-US"/>
        </w:rPr>
      </w:pPr>
      <w:r>
        <w:rPr>
          <w:b/>
          <w:lang w:val="en-US"/>
        </w:rPr>
        <w:t>180th session</w:t>
      </w:r>
    </w:p>
    <w:p w:rsidR="00B1710A" w:rsidRDefault="00B1710A" w:rsidP="00B1710A">
      <w:pPr>
        <w:rPr>
          <w:lang w:val="en-US"/>
        </w:rPr>
      </w:pPr>
      <w:r>
        <w:rPr>
          <w:lang w:val="en-US"/>
        </w:rPr>
        <w:t>Geneva, 10</w:t>
      </w:r>
      <w:r w:rsidR="00152995">
        <w:rPr>
          <w:lang w:val="en-US"/>
        </w:rPr>
        <w:t>–</w:t>
      </w:r>
      <w:r>
        <w:rPr>
          <w:lang w:val="en-US"/>
        </w:rPr>
        <w:t>12 March 2020</w:t>
      </w:r>
    </w:p>
    <w:p w:rsidR="00B1710A" w:rsidRDefault="00B1710A" w:rsidP="00B1710A">
      <w:r>
        <w:t xml:space="preserve">Item </w:t>
      </w:r>
      <w:r w:rsidR="00CA26FA">
        <w:t>1</w:t>
      </w:r>
      <w:r w:rsidRPr="00FB1691">
        <w:t>4.</w:t>
      </w:r>
      <w:r w:rsidR="00CA26FA">
        <w:t>2</w:t>
      </w:r>
      <w:r w:rsidRPr="00FB1691">
        <w:t>.</w:t>
      </w:r>
      <w:r w:rsidR="004C0133">
        <w:t>3</w:t>
      </w:r>
      <w:r>
        <w:t xml:space="preserve"> of the provisional agenda</w:t>
      </w:r>
    </w:p>
    <w:p w:rsidR="009034DC" w:rsidRPr="00D059B0" w:rsidRDefault="00CA26FA" w:rsidP="009034DC">
      <w:pPr>
        <w:rPr>
          <w:b/>
        </w:rPr>
      </w:pPr>
      <w:r w:rsidRPr="00CA26FA">
        <w:rPr>
          <w:b/>
        </w:rPr>
        <w:t>Consideration and vote by AC.3 of draft UN GTRs</w:t>
      </w:r>
      <w:r>
        <w:rPr>
          <w:b/>
        </w:rPr>
        <w:br/>
      </w:r>
      <w:r w:rsidRPr="00CA26FA">
        <w:rPr>
          <w:b/>
        </w:rPr>
        <w:t>and/or draft amendments to established UN GTRs</w:t>
      </w:r>
      <w:r w:rsidR="009034DC">
        <w:rPr>
          <w:b/>
        </w:rPr>
        <w:br/>
      </w:r>
      <w:r w:rsidR="009034DC" w:rsidRPr="00396B6F">
        <w:rPr>
          <w:b/>
        </w:rPr>
        <w:t>Proposal for Amendment</w:t>
      </w:r>
      <w:r w:rsidR="00AF31CC">
        <w:rPr>
          <w:b/>
        </w:rPr>
        <w:t>s to a UN GTR, if any</w:t>
      </w:r>
    </w:p>
    <w:p w:rsidR="00B1710A" w:rsidRPr="00DB192C" w:rsidRDefault="00B1710A" w:rsidP="00B1710A">
      <w:pPr>
        <w:pStyle w:val="HChG"/>
        <w:jc w:val="both"/>
        <w:rPr>
          <w:bCs/>
          <w:szCs w:val="28"/>
        </w:rPr>
      </w:pPr>
      <w:r w:rsidRPr="007C7AC6">
        <w:tab/>
      </w:r>
      <w:r w:rsidRPr="007C7AC6">
        <w:tab/>
      </w:r>
      <w:bookmarkStart w:id="1" w:name="_Hlk27061733"/>
      <w:r w:rsidR="009034DC" w:rsidRPr="003E7D29">
        <w:rPr>
          <w:lang w:val="en-US"/>
        </w:rPr>
        <w:t xml:space="preserve">Technical Report </w:t>
      </w:r>
      <w:r w:rsidR="009034DC" w:rsidRPr="003E7D29">
        <w:rPr>
          <w:noProof/>
          <w:lang w:val="en-US"/>
        </w:rPr>
        <w:t xml:space="preserve">on the development of </w:t>
      </w:r>
      <w:r w:rsidR="009034DC" w:rsidRPr="003E7D29">
        <w:rPr>
          <w:lang w:val="en-US"/>
        </w:rPr>
        <w:t>Amendment</w:t>
      </w:r>
      <w:r w:rsidR="009034DC" w:rsidRPr="003E7D29">
        <w:rPr>
          <w:noProof/>
          <w:lang w:val="en-US"/>
        </w:rPr>
        <w:t xml:space="preserve"> </w:t>
      </w:r>
      <w:r w:rsidR="009034DC">
        <w:rPr>
          <w:noProof/>
          <w:lang w:val="en-US"/>
        </w:rPr>
        <w:t>2</w:t>
      </w:r>
      <w:r w:rsidR="009034DC" w:rsidRPr="003E7D29">
        <w:rPr>
          <w:noProof/>
          <w:lang w:val="en-US"/>
        </w:rPr>
        <w:t xml:space="preserve"> to </w:t>
      </w:r>
      <w:r w:rsidR="009034DC">
        <w:rPr>
          <w:noProof/>
          <w:lang w:val="en-US"/>
        </w:rPr>
        <w:t>UN</w:t>
      </w:r>
      <w:r w:rsidR="00152995">
        <w:rPr>
          <w:noProof/>
          <w:lang w:val="en-US"/>
        </w:rPr>
        <w:t> </w:t>
      </w:r>
      <w:r w:rsidR="009034DC">
        <w:rPr>
          <w:noProof/>
          <w:lang w:val="en-US"/>
        </w:rPr>
        <w:t>G</w:t>
      </w:r>
      <w:r w:rsidR="009034DC" w:rsidRPr="003E7D29">
        <w:rPr>
          <w:lang w:val="en-US" w:eastAsia="ko-KR"/>
        </w:rPr>
        <w:t xml:space="preserve">lobal </w:t>
      </w:r>
      <w:r w:rsidR="009034DC">
        <w:rPr>
          <w:lang w:val="en-US" w:eastAsia="ko-KR"/>
        </w:rPr>
        <w:t>T</w:t>
      </w:r>
      <w:r w:rsidR="009034DC" w:rsidRPr="003E7D29">
        <w:rPr>
          <w:lang w:val="en-US" w:eastAsia="ko-KR"/>
        </w:rPr>
        <w:t xml:space="preserve">echnical </w:t>
      </w:r>
      <w:r w:rsidR="009034DC">
        <w:rPr>
          <w:lang w:val="en-US" w:eastAsia="ko-KR"/>
        </w:rPr>
        <w:t>R</w:t>
      </w:r>
      <w:r w:rsidR="009034DC" w:rsidRPr="003E7D29">
        <w:rPr>
          <w:lang w:val="en-US" w:eastAsia="ko-KR"/>
        </w:rPr>
        <w:t>egulation</w:t>
      </w:r>
      <w:r w:rsidR="009034DC" w:rsidRPr="003E7D29">
        <w:rPr>
          <w:noProof/>
          <w:lang w:val="en-US"/>
        </w:rPr>
        <w:t xml:space="preserve"> (UN GTR) No. </w:t>
      </w:r>
      <w:r w:rsidR="009034DC">
        <w:rPr>
          <w:noProof/>
          <w:lang w:val="en-US"/>
        </w:rPr>
        <w:t>6</w:t>
      </w:r>
      <w:r w:rsidR="009034DC" w:rsidRPr="0046358E">
        <w:rPr>
          <w:szCs w:val="28"/>
        </w:rPr>
        <w:t xml:space="preserve"> </w:t>
      </w:r>
      <w:r w:rsidR="00152995">
        <w:rPr>
          <w:szCs w:val="28"/>
        </w:rPr>
        <w:br/>
      </w:r>
      <w:r w:rsidR="009034DC" w:rsidRPr="0046358E">
        <w:rPr>
          <w:szCs w:val="28"/>
        </w:rPr>
        <w:t>(Safety glazing)</w:t>
      </w:r>
      <w:r w:rsidR="009034DC">
        <w:t>)</w:t>
      </w:r>
      <w:bookmarkEnd w:id="1"/>
    </w:p>
    <w:p w:rsidR="00B1710A" w:rsidRPr="007C7AC6" w:rsidRDefault="00B1710A" w:rsidP="00B1710A">
      <w:pPr>
        <w:pStyle w:val="H1G"/>
      </w:pPr>
      <w:r w:rsidRPr="007C7AC6">
        <w:tab/>
      </w:r>
      <w:r w:rsidRPr="007C7AC6">
        <w:tab/>
      </w:r>
      <w:r w:rsidR="009034DC" w:rsidRPr="00B552D2">
        <w:rPr>
          <w:lang w:val="en-US"/>
        </w:rPr>
        <w:t xml:space="preserve">Submitted by </w:t>
      </w:r>
      <w:r w:rsidR="009034DC" w:rsidRPr="00B552D2">
        <w:t xml:space="preserve">the representative from </w:t>
      </w:r>
      <w:r w:rsidR="009034DC" w:rsidRPr="00B552D2">
        <w:rPr>
          <w:rFonts w:eastAsia="Malgun Gothic" w:hint="eastAsia"/>
          <w:lang w:eastAsia="ko-KR"/>
        </w:rPr>
        <w:t>Republic of Korea</w:t>
      </w:r>
      <w:r w:rsidR="00152995" w:rsidRPr="00152995">
        <w:rPr>
          <w:rStyle w:val="FootnoteReference"/>
          <w:rFonts w:eastAsia="Malgun Gothic"/>
          <w:sz w:val="20"/>
          <w:vertAlign w:val="baseline"/>
          <w:lang w:eastAsia="ko-KR"/>
        </w:rPr>
        <w:footnoteReference w:customMarkFollows="1" w:id="1"/>
        <w:t>*</w:t>
      </w:r>
    </w:p>
    <w:p w:rsidR="009034DC" w:rsidRPr="009034DC" w:rsidRDefault="009034DC" w:rsidP="009034DC">
      <w:pPr>
        <w:pStyle w:val="SingleTxtG"/>
        <w:ind w:firstLine="567"/>
        <w:rPr>
          <w:rFonts w:eastAsia="Malgun Gothic"/>
          <w:lang w:eastAsia="ko-KR"/>
        </w:rPr>
      </w:pPr>
      <w:r w:rsidRPr="009034DC">
        <w:rPr>
          <w:rFonts w:eastAsia="Malgun Gothic"/>
          <w:lang w:eastAsia="ko-KR"/>
        </w:rPr>
        <w:t xml:space="preserve">The text reproduced below was prepared by </w:t>
      </w:r>
      <w:r w:rsidRPr="00B552D2">
        <w:t xml:space="preserve">the representative from </w:t>
      </w:r>
      <w:r w:rsidRPr="00B552D2">
        <w:rPr>
          <w:rFonts w:eastAsia="Malgun Gothic" w:hint="eastAsia"/>
          <w:lang w:eastAsia="ko-KR"/>
        </w:rPr>
        <w:t>Republic of Korea</w:t>
      </w:r>
      <w:r w:rsidRPr="009034DC">
        <w:rPr>
          <w:rFonts w:eastAsia="Malgun Gothic"/>
          <w:lang w:eastAsia="ko-KR"/>
        </w:rPr>
        <w:t xml:space="preserve">. This is the technical report submitted together with the proposal for Amendment to UN GTR No. </w:t>
      </w:r>
      <w:r w:rsidRPr="009034DC">
        <w:rPr>
          <w:rFonts w:eastAsia="Malgun Gothic" w:hint="eastAsia"/>
          <w:lang w:eastAsia="ko-KR"/>
        </w:rPr>
        <w:t>6</w:t>
      </w:r>
      <w:r w:rsidRPr="009034DC">
        <w:rPr>
          <w:rFonts w:eastAsia="Malgun Gothic"/>
          <w:lang w:eastAsia="ko-KR"/>
        </w:rPr>
        <w:t xml:space="preserve"> (ECE/TRANS/WP.29/20</w:t>
      </w:r>
      <w:r w:rsidRPr="009034DC">
        <w:rPr>
          <w:rFonts w:eastAsia="Malgun Gothic" w:hint="eastAsia"/>
          <w:lang w:eastAsia="ko-KR"/>
        </w:rPr>
        <w:t>20</w:t>
      </w:r>
      <w:r w:rsidRPr="009034DC">
        <w:rPr>
          <w:rFonts w:eastAsia="Malgun Gothic"/>
          <w:lang w:eastAsia="ko-KR"/>
        </w:rPr>
        <w:t>/</w:t>
      </w:r>
      <w:r>
        <w:rPr>
          <w:rFonts w:eastAsia="Malgun Gothic"/>
          <w:lang w:eastAsia="ko-KR"/>
        </w:rPr>
        <w:t>45</w:t>
      </w:r>
      <w:r w:rsidRPr="009034DC">
        <w:rPr>
          <w:rFonts w:eastAsia="Malgun Gothic"/>
          <w:lang w:eastAsia="ko-KR"/>
        </w:rPr>
        <w:t>). It was adopted by the Working Par</w:t>
      </w:r>
      <w:r>
        <w:rPr>
          <w:rFonts w:eastAsia="Malgun Gothic"/>
          <w:lang w:eastAsia="ko-KR"/>
        </w:rPr>
        <w:t>t</w:t>
      </w:r>
      <w:r w:rsidRPr="009034DC">
        <w:rPr>
          <w:rFonts w:eastAsia="Malgun Gothic"/>
          <w:lang w:eastAsia="ko-KR"/>
        </w:rPr>
        <w:t xml:space="preserve">y on </w:t>
      </w:r>
      <w:r w:rsidRPr="009034DC">
        <w:rPr>
          <w:rFonts w:eastAsia="Malgun Gothic" w:hint="eastAsia"/>
          <w:lang w:eastAsia="ko-KR"/>
        </w:rPr>
        <w:t>General Safety</w:t>
      </w:r>
      <w:r w:rsidRPr="009034DC">
        <w:rPr>
          <w:rFonts w:eastAsia="Malgun Gothic"/>
          <w:lang w:eastAsia="ko-KR"/>
        </w:rPr>
        <w:t xml:space="preserve"> (ECE/TRANS/WP.29/GRSG/</w:t>
      </w:r>
      <w:r w:rsidRPr="009034DC">
        <w:rPr>
          <w:rFonts w:eastAsia="Malgun Gothic" w:hint="eastAsia"/>
          <w:lang w:eastAsia="ko-KR"/>
        </w:rPr>
        <w:t>96</w:t>
      </w:r>
      <w:r w:rsidRPr="009034DC">
        <w:rPr>
          <w:rFonts w:eastAsia="Malgun Gothic"/>
          <w:lang w:eastAsia="ko-KR"/>
        </w:rPr>
        <w:t xml:space="preserve">, para. </w:t>
      </w:r>
      <w:r w:rsidRPr="009034DC">
        <w:rPr>
          <w:rFonts w:eastAsia="Malgun Gothic" w:hint="eastAsia"/>
          <w:lang w:eastAsia="ko-KR"/>
        </w:rPr>
        <w:t>23</w:t>
      </w:r>
      <w:r w:rsidRPr="009034DC">
        <w:rPr>
          <w:rFonts w:eastAsia="Malgun Gothic"/>
          <w:lang w:eastAsia="ko-KR"/>
        </w:rPr>
        <w:t xml:space="preserve">). It is submitted to the World Forum for Harmonization of Vehicle Regulations (WP.29) and to the Executive Committee (AC.3) of the 1998 Agreement for consideration at their </w:t>
      </w:r>
      <w:r w:rsidRPr="009034DC">
        <w:rPr>
          <w:rFonts w:eastAsia="Malgun Gothic" w:hint="eastAsia"/>
          <w:lang w:eastAsia="ko-KR"/>
        </w:rPr>
        <w:t>March</w:t>
      </w:r>
      <w:r w:rsidRPr="009034DC">
        <w:rPr>
          <w:rFonts w:eastAsia="Malgun Gothic"/>
          <w:lang w:eastAsia="ko-KR"/>
        </w:rPr>
        <w:t xml:space="preserve"> 20</w:t>
      </w:r>
      <w:r w:rsidRPr="009034DC">
        <w:rPr>
          <w:rFonts w:eastAsia="Malgun Gothic" w:hint="eastAsia"/>
          <w:lang w:eastAsia="ko-KR"/>
        </w:rPr>
        <w:t>20</w:t>
      </w:r>
      <w:r w:rsidRPr="009034DC">
        <w:rPr>
          <w:rFonts w:eastAsia="Malgun Gothic"/>
          <w:lang w:eastAsia="ko-KR"/>
        </w:rPr>
        <w:t xml:space="preserve"> sessions.</w:t>
      </w:r>
    </w:p>
    <w:p w:rsidR="00B1710A" w:rsidRDefault="00B1710A" w:rsidP="00B1710A">
      <w:pPr>
        <w:pStyle w:val="HChG"/>
      </w:pPr>
      <w:r w:rsidRPr="007C7AC6">
        <w:br w:type="page"/>
      </w:r>
    </w:p>
    <w:p w:rsidR="009034DC" w:rsidRDefault="009034DC" w:rsidP="00943EF4">
      <w:pPr>
        <w:pStyle w:val="HChG"/>
        <w:ind w:firstLine="0"/>
      </w:pPr>
      <w:r w:rsidRPr="009034DC">
        <w:rPr>
          <w:szCs w:val="28"/>
          <w:lang w:eastAsia="ar-SA"/>
        </w:rPr>
        <w:lastRenderedPageBreak/>
        <w:t xml:space="preserve">Technical report on the development of </w:t>
      </w:r>
      <w:r w:rsidRPr="009034DC">
        <w:rPr>
          <w:rFonts w:eastAsia="Malgun Gothic" w:hint="eastAsia"/>
          <w:szCs w:val="28"/>
          <w:lang w:eastAsia="ko-KR"/>
        </w:rPr>
        <w:t xml:space="preserve">the </w:t>
      </w:r>
      <w:r>
        <w:t>amendment to global technical regulation No. 6 (Safety Glazing)</w:t>
      </w:r>
    </w:p>
    <w:p w:rsidR="009034DC" w:rsidRDefault="009034DC" w:rsidP="009034DC">
      <w:pPr>
        <w:pStyle w:val="HChG"/>
      </w:pPr>
      <w:r>
        <w:rPr>
          <w:lang w:val="en-US" w:eastAsia="ko-KR"/>
        </w:rPr>
        <w:tab/>
      </w:r>
      <w:r>
        <w:t>I.</w:t>
      </w:r>
      <w:r>
        <w:tab/>
      </w:r>
      <w:r>
        <w:rPr>
          <w:lang w:val="en-US"/>
        </w:rPr>
        <w:t>Introduction</w:t>
      </w:r>
    </w:p>
    <w:p w:rsidR="009034DC" w:rsidRDefault="009034DC" w:rsidP="000968CC">
      <w:pPr>
        <w:pStyle w:val="SingleTxtG"/>
        <w:tabs>
          <w:tab w:val="left" w:pos="1560"/>
        </w:tabs>
        <w:rPr>
          <w:rFonts w:eastAsia="Malgun Gothic"/>
          <w:lang w:eastAsia="ko-KR"/>
        </w:rPr>
      </w:pPr>
      <w:r>
        <w:rPr>
          <w:rFonts w:eastAsia="Malgun Gothic" w:hint="eastAsia"/>
          <w:lang w:eastAsia="ko-KR"/>
        </w:rPr>
        <w:t>1</w:t>
      </w:r>
      <w:r w:rsidRPr="00600424">
        <w:rPr>
          <w:lang w:eastAsia="ko-KR"/>
        </w:rPr>
        <w:t>.</w:t>
      </w:r>
      <w:r w:rsidRPr="00600424">
        <w:tab/>
      </w:r>
      <w:r>
        <w:rPr>
          <w:rFonts w:eastAsia="Malgun Gothic" w:hint="eastAsia"/>
          <w:lang w:eastAsia="ko-KR"/>
        </w:rPr>
        <w:t xml:space="preserve">The expert from Republic of </w:t>
      </w:r>
      <w:r w:rsidRPr="002545B8">
        <w:t>Korea proposed to amend GTR.6 on safety glazing to exempt in Zone I the possible opaque obscuration in the test area on the windscreen of Category 1-2 and 2 vehicles which is used for installation of those devices such as rain-drop sensor, inside mirror or autonomous vehicle sensors, etc.</w:t>
      </w:r>
    </w:p>
    <w:p w:rsidR="009034DC" w:rsidRDefault="009034DC" w:rsidP="009034DC">
      <w:pPr>
        <w:pStyle w:val="HChG"/>
        <w:spacing w:before="240"/>
        <w:rPr>
          <w:rFonts w:eastAsia="Malgun Gothic"/>
          <w:lang w:val="en-US" w:eastAsia="ko-KR"/>
        </w:rPr>
      </w:pPr>
      <w:bookmarkStart w:id="2" w:name="_Toc465622265"/>
      <w:bookmarkStart w:id="3" w:name="_Toc435001998"/>
      <w:bookmarkStart w:id="4" w:name="_Toc353452936"/>
      <w:r>
        <w:rPr>
          <w:rFonts w:eastAsiaTheme="minorEastAsia"/>
          <w:lang w:val="en-US"/>
        </w:rPr>
        <w:tab/>
      </w:r>
      <w:r>
        <w:rPr>
          <w:rFonts w:eastAsiaTheme="minorEastAsia"/>
        </w:rPr>
        <w:t>II.</w:t>
      </w:r>
      <w:r>
        <w:rPr>
          <w:rFonts w:eastAsiaTheme="minorEastAsia"/>
          <w:lang w:val="en-US"/>
        </w:rPr>
        <w:tab/>
      </w:r>
      <w:bookmarkEnd w:id="2"/>
      <w:bookmarkEnd w:id="3"/>
      <w:bookmarkEnd w:id="4"/>
      <w:r>
        <w:rPr>
          <w:rFonts w:eastAsia="Malgun Gothic" w:hint="eastAsia"/>
          <w:lang w:val="en-US" w:eastAsia="ko-KR"/>
        </w:rPr>
        <w:t>Objective</w:t>
      </w:r>
    </w:p>
    <w:p w:rsidR="009034DC" w:rsidRPr="009034DC" w:rsidRDefault="009034DC" w:rsidP="000968CC">
      <w:pPr>
        <w:pStyle w:val="SingleTxtG"/>
        <w:tabs>
          <w:tab w:val="left" w:pos="1560"/>
        </w:tabs>
        <w:rPr>
          <w:rFonts w:eastAsia="Malgun Gothic"/>
          <w:lang w:eastAsia="ko-KR"/>
        </w:rPr>
      </w:pPr>
      <w:r w:rsidRPr="009034DC">
        <w:rPr>
          <w:rFonts w:eastAsia="Malgun Gothic" w:hint="eastAsia"/>
          <w:lang w:eastAsia="ko-KR"/>
        </w:rPr>
        <w:t>2</w:t>
      </w:r>
      <w:r w:rsidRPr="009034DC">
        <w:rPr>
          <w:rFonts w:eastAsia="Malgun Gothic"/>
          <w:lang w:eastAsia="ko-KR"/>
        </w:rPr>
        <w:t>.</w:t>
      </w:r>
      <w:r w:rsidRPr="009034DC">
        <w:rPr>
          <w:rFonts w:eastAsia="Malgun Gothic"/>
          <w:lang w:eastAsia="ko-KR"/>
        </w:rPr>
        <w:tab/>
        <w:t>As the technical advanced, there is the inside room mirror having a sensor, such as weather rain sensors, lane detection sensors, and highway electronic toll sensors. These functions were integrated into the room mirror. It affected to Zone I of Category 1-2 and 2</w:t>
      </w:r>
      <w:r w:rsidR="00152995">
        <w:rPr>
          <w:rFonts w:eastAsia="Malgun Gothic"/>
          <w:lang w:eastAsia="ko-KR"/>
        </w:rPr>
        <w:t> </w:t>
      </w:r>
      <w:r w:rsidRPr="009034DC">
        <w:rPr>
          <w:rFonts w:eastAsia="Malgun Gothic"/>
          <w:lang w:eastAsia="ko-KR"/>
        </w:rPr>
        <w:t>vehicles.</w:t>
      </w:r>
    </w:p>
    <w:p w:rsidR="009034DC" w:rsidRPr="009034DC" w:rsidRDefault="009034DC" w:rsidP="000968CC">
      <w:pPr>
        <w:pStyle w:val="SingleTxtG"/>
        <w:tabs>
          <w:tab w:val="left" w:pos="1560"/>
        </w:tabs>
        <w:rPr>
          <w:rFonts w:eastAsia="Malgun Gothic"/>
          <w:lang w:eastAsia="ko-KR"/>
        </w:rPr>
      </w:pPr>
      <w:r w:rsidRPr="009034DC">
        <w:rPr>
          <w:rFonts w:eastAsia="Malgun Gothic" w:hint="eastAsia"/>
          <w:lang w:eastAsia="ko-KR"/>
        </w:rPr>
        <w:t>3.</w:t>
      </w:r>
      <w:r w:rsidRPr="009034DC">
        <w:rPr>
          <w:rFonts w:eastAsia="Malgun Gothic" w:hint="eastAsia"/>
          <w:lang w:eastAsia="ko-KR"/>
        </w:rPr>
        <w:tab/>
      </w:r>
      <w:r w:rsidRPr="009034DC">
        <w:rPr>
          <w:rFonts w:eastAsia="Malgun Gothic"/>
          <w:lang w:eastAsia="ko-KR"/>
        </w:rPr>
        <w:t>However, Category 1-2 and 2 vehicles have no opaque obscuration. On the other hand, Passenger cars have the opaque obscuration. This proposal is to allow additional opaque obscuration in relation to the optical distortion test and secondary image separation test in GTR 6.</w:t>
      </w:r>
    </w:p>
    <w:p w:rsidR="009034DC" w:rsidRPr="009034DC" w:rsidRDefault="009034DC" w:rsidP="009034DC">
      <w:pPr>
        <w:pStyle w:val="HChG"/>
        <w:spacing w:before="240"/>
        <w:rPr>
          <w:rFonts w:eastAsia="Malgun Gothic"/>
          <w:lang w:eastAsia="ko-KR"/>
        </w:rPr>
      </w:pPr>
      <w:r>
        <w:rPr>
          <w:rFonts w:eastAsiaTheme="minorEastAsia"/>
          <w:lang w:val="en-US"/>
        </w:rPr>
        <w:tab/>
      </w:r>
      <w:r>
        <w:rPr>
          <w:rFonts w:eastAsiaTheme="minorEastAsia"/>
        </w:rPr>
        <w:t>I</w:t>
      </w:r>
      <w:r>
        <w:rPr>
          <w:rFonts w:eastAsia="Malgun Gothic" w:hint="eastAsia"/>
          <w:lang w:eastAsia="ko-KR"/>
        </w:rPr>
        <w:t>I</w:t>
      </w:r>
      <w:r>
        <w:rPr>
          <w:rFonts w:eastAsiaTheme="minorEastAsia"/>
        </w:rPr>
        <w:t>I.</w:t>
      </w:r>
      <w:r>
        <w:rPr>
          <w:rFonts w:eastAsiaTheme="minorEastAsia"/>
          <w:lang w:val="en-US"/>
        </w:rPr>
        <w:tab/>
      </w:r>
      <w:r>
        <w:rPr>
          <w:rFonts w:eastAsia="Malgun Gothic" w:hint="eastAsia"/>
          <w:lang w:val="en-US" w:eastAsia="ko-KR"/>
        </w:rPr>
        <w:t>Meeting held by GRSG</w:t>
      </w:r>
    </w:p>
    <w:p w:rsidR="009034DC" w:rsidRPr="0097635F" w:rsidRDefault="009034DC" w:rsidP="000968CC">
      <w:pPr>
        <w:pStyle w:val="SingleTxtG"/>
        <w:tabs>
          <w:tab w:val="left" w:pos="1560"/>
        </w:tabs>
        <w:rPr>
          <w:rFonts w:eastAsia="Malgun Gothic"/>
          <w:lang w:eastAsia="ko-KR"/>
        </w:rPr>
      </w:pPr>
      <w:r>
        <w:rPr>
          <w:rFonts w:eastAsia="Malgun Gothic" w:hint="eastAsia"/>
          <w:lang w:eastAsia="ko-KR"/>
        </w:rPr>
        <w:t>4</w:t>
      </w:r>
      <w:r w:rsidRPr="00600424">
        <w:rPr>
          <w:lang w:eastAsia="ko-KR"/>
        </w:rPr>
        <w:t>.</w:t>
      </w:r>
      <w:r w:rsidRPr="00600424">
        <w:tab/>
        <w:t>In the 1</w:t>
      </w:r>
      <w:r w:rsidRPr="00600424">
        <w:rPr>
          <w:rFonts w:eastAsia="Malgun Gothic" w:hint="eastAsia"/>
          <w:lang w:eastAsia="ko-KR"/>
        </w:rPr>
        <w:t>16</w:t>
      </w:r>
      <w:r w:rsidRPr="00104754">
        <w:t>th</w:t>
      </w:r>
      <w:r w:rsidRPr="00600424">
        <w:t xml:space="preserve"> session of GRSG (</w:t>
      </w:r>
      <w:r w:rsidRPr="00600424">
        <w:rPr>
          <w:rFonts w:eastAsia="Malgun Gothic" w:hint="eastAsia"/>
          <w:lang w:eastAsia="ko-KR"/>
        </w:rPr>
        <w:t>1</w:t>
      </w:r>
      <w:r w:rsidRPr="00600424">
        <w:t>-</w:t>
      </w:r>
      <w:r w:rsidRPr="00600424">
        <w:rPr>
          <w:rFonts w:eastAsia="Malgun Gothic" w:hint="eastAsia"/>
          <w:lang w:eastAsia="ko-KR"/>
        </w:rPr>
        <w:t>5</w:t>
      </w:r>
      <w:r w:rsidRPr="00600424">
        <w:t xml:space="preserve"> April 201</w:t>
      </w:r>
      <w:r w:rsidRPr="00600424">
        <w:rPr>
          <w:rFonts w:eastAsia="Malgun Gothic" w:hint="eastAsia"/>
          <w:lang w:eastAsia="ko-KR"/>
        </w:rPr>
        <w:t>9</w:t>
      </w:r>
      <w:r w:rsidRPr="00600424">
        <w:t xml:space="preserve">), the expert from </w:t>
      </w:r>
      <w:r w:rsidRPr="00600424">
        <w:rPr>
          <w:rFonts w:eastAsia="Malgun Gothic" w:hint="eastAsia"/>
          <w:lang w:eastAsia="ko-KR"/>
        </w:rPr>
        <w:t>Republic of Korea</w:t>
      </w:r>
      <w:r w:rsidRPr="00600424">
        <w:t xml:space="preserve"> introduced </w:t>
      </w:r>
      <w:r w:rsidRPr="0097635F">
        <w:rPr>
          <w:rFonts w:eastAsia="Malgun Gothic"/>
          <w:lang w:eastAsia="ko-KR"/>
        </w:rPr>
        <w:t xml:space="preserve">GRSG-116-30 and GRSG-116-31 on the need to exempt in Zone I the possible opaque obscuration which is defined in paragraph 7.1.3.2.4. of the annexes </w:t>
      </w:r>
      <w:r w:rsidRPr="0097635F">
        <w:rPr>
          <w:rFonts w:eastAsia="Malgun Gothic" w:hint="eastAsia"/>
          <w:lang w:eastAsia="ko-KR"/>
        </w:rPr>
        <w:t>7.1</w:t>
      </w:r>
      <w:r w:rsidRPr="0097635F">
        <w:rPr>
          <w:rFonts w:eastAsia="Malgun Gothic"/>
          <w:lang w:eastAsia="ko-KR"/>
        </w:rPr>
        <w:t>. The expert from Germany principally</w:t>
      </w:r>
      <w:r w:rsidRPr="0097635F">
        <w:rPr>
          <w:rFonts w:eastAsia="Malgun Gothic" w:hint="eastAsia"/>
          <w:lang w:eastAsia="ko-KR"/>
        </w:rPr>
        <w:t xml:space="preserve"> agreed</w:t>
      </w:r>
      <w:r w:rsidRPr="0097635F">
        <w:rPr>
          <w:rFonts w:eastAsia="Malgun Gothic"/>
          <w:lang w:eastAsia="ko-KR"/>
        </w:rPr>
        <w:t xml:space="preserve"> the proposed amendments, adding that the </w:t>
      </w:r>
      <w:r w:rsidRPr="0097635F">
        <w:rPr>
          <w:rFonts w:eastAsia="Malgun Gothic" w:hint="eastAsia"/>
          <w:lang w:eastAsia="ko-KR"/>
        </w:rPr>
        <w:t>opaque obscuration</w:t>
      </w:r>
      <w:r w:rsidRPr="0097635F">
        <w:rPr>
          <w:rFonts w:eastAsia="Malgun Gothic"/>
          <w:lang w:eastAsia="ko-KR"/>
        </w:rPr>
        <w:t xml:space="preserve"> had to be clearly defined. The expert from Finland affirmed the necessity for similar amendments in UN Regulation No. 43.</w:t>
      </w:r>
    </w:p>
    <w:p w:rsidR="009034DC" w:rsidRPr="009034DC" w:rsidRDefault="009034DC" w:rsidP="000968CC">
      <w:pPr>
        <w:pStyle w:val="SingleTxtG"/>
        <w:tabs>
          <w:tab w:val="left" w:pos="1560"/>
        </w:tabs>
        <w:rPr>
          <w:rFonts w:eastAsia="Malgun Gothic"/>
          <w:lang w:eastAsia="ko-KR"/>
        </w:rPr>
      </w:pPr>
      <w:r w:rsidRPr="009034DC">
        <w:rPr>
          <w:rFonts w:eastAsia="Malgun Gothic" w:hint="eastAsia"/>
          <w:lang w:eastAsia="ko-KR"/>
        </w:rPr>
        <w:t>5</w:t>
      </w:r>
      <w:r w:rsidRPr="009034DC">
        <w:rPr>
          <w:rFonts w:eastAsia="Malgun Gothic"/>
          <w:lang w:eastAsia="ko-KR"/>
        </w:rPr>
        <w:t>.</w:t>
      </w:r>
      <w:r w:rsidRPr="009034DC">
        <w:rPr>
          <w:rFonts w:eastAsia="Malgun Gothic"/>
          <w:lang w:eastAsia="ko-KR"/>
        </w:rPr>
        <w:tab/>
      </w:r>
      <w:r w:rsidRPr="00600424">
        <w:t>In the 1</w:t>
      </w:r>
      <w:r w:rsidRPr="00600424">
        <w:rPr>
          <w:rFonts w:eastAsia="Malgun Gothic" w:hint="eastAsia"/>
          <w:lang w:eastAsia="ko-KR"/>
        </w:rPr>
        <w:t>1</w:t>
      </w:r>
      <w:r>
        <w:rPr>
          <w:rFonts w:eastAsia="Malgun Gothic" w:hint="eastAsia"/>
          <w:lang w:eastAsia="ko-KR"/>
        </w:rPr>
        <w:t>7</w:t>
      </w:r>
      <w:r w:rsidRPr="00104754">
        <w:t>th</w:t>
      </w:r>
      <w:bookmarkStart w:id="5" w:name="_GoBack"/>
      <w:bookmarkEnd w:id="5"/>
      <w:r w:rsidRPr="00600424">
        <w:t xml:space="preserve"> session of GRSG (</w:t>
      </w:r>
      <w:r>
        <w:rPr>
          <w:rFonts w:eastAsia="Malgun Gothic" w:hint="eastAsia"/>
          <w:lang w:eastAsia="ko-KR"/>
        </w:rPr>
        <w:t>8</w:t>
      </w:r>
      <w:r w:rsidRPr="00600424">
        <w:t>-</w:t>
      </w:r>
      <w:r>
        <w:rPr>
          <w:rFonts w:eastAsia="Malgun Gothic" w:hint="eastAsia"/>
          <w:lang w:eastAsia="ko-KR"/>
        </w:rPr>
        <w:t>11</w:t>
      </w:r>
      <w:r w:rsidRPr="00600424">
        <w:t xml:space="preserve"> </w:t>
      </w:r>
      <w:r>
        <w:rPr>
          <w:rFonts w:eastAsia="Malgun Gothic" w:hint="eastAsia"/>
          <w:lang w:eastAsia="ko-KR"/>
        </w:rPr>
        <w:t>October</w:t>
      </w:r>
      <w:r w:rsidRPr="00600424">
        <w:t xml:space="preserve"> 201</w:t>
      </w:r>
      <w:r w:rsidRPr="00600424">
        <w:rPr>
          <w:rFonts w:eastAsia="Malgun Gothic" w:hint="eastAsia"/>
          <w:lang w:eastAsia="ko-KR"/>
        </w:rPr>
        <w:t>9</w:t>
      </w:r>
      <w:r w:rsidRPr="00600424">
        <w:t xml:space="preserve">), </w:t>
      </w:r>
      <w:r w:rsidRPr="009034DC">
        <w:rPr>
          <w:rFonts w:eastAsia="Malgun Gothic"/>
          <w:lang w:eastAsia="ko-KR"/>
        </w:rPr>
        <w:t>The expert from the Republic of Korea presented ECE/TRANS/WP.29/GRSG/2019/33 as amended by GRSG-117-43 and GRSG-117-49 on the need to exempt in Zone I the possible opaque obscuration which is defined in paragraph 7.1.3.2.4. of the annexes on installing laminated-glass panes. The expert from Germany clarified that there was no real difference between UN GTR No.6 and UN</w:t>
      </w:r>
      <w:r w:rsidR="00152995">
        <w:rPr>
          <w:rFonts w:eastAsia="Malgun Gothic"/>
          <w:lang w:eastAsia="ko-KR"/>
        </w:rPr>
        <w:t> </w:t>
      </w:r>
      <w:r w:rsidRPr="009034DC">
        <w:rPr>
          <w:rFonts w:eastAsia="Malgun Gothic"/>
          <w:lang w:eastAsia="ko-KR"/>
        </w:rPr>
        <w:t>Regulation No.43 as the UNGTR would provide for two options while the UN</w:t>
      </w:r>
      <w:r w:rsidR="00152995">
        <w:rPr>
          <w:rFonts w:eastAsia="Malgun Gothic"/>
          <w:lang w:eastAsia="ko-KR"/>
        </w:rPr>
        <w:t> </w:t>
      </w:r>
      <w:r w:rsidRPr="009034DC">
        <w:rPr>
          <w:rFonts w:eastAsia="Malgun Gothic"/>
          <w:lang w:eastAsia="ko-KR"/>
        </w:rPr>
        <w:t>Regulation would use only one of the options which was in accordance with the agreements.</w:t>
      </w:r>
    </w:p>
    <w:p w:rsidR="009034DC" w:rsidRPr="009034DC" w:rsidRDefault="009034DC" w:rsidP="000968CC">
      <w:pPr>
        <w:pStyle w:val="SingleTxtG"/>
        <w:tabs>
          <w:tab w:val="left" w:pos="1560"/>
        </w:tabs>
        <w:rPr>
          <w:rFonts w:eastAsia="Malgun Gothic"/>
          <w:lang w:eastAsia="ko-KR"/>
        </w:rPr>
      </w:pPr>
      <w:r w:rsidRPr="009034DC">
        <w:rPr>
          <w:rFonts w:eastAsia="Malgun Gothic" w:hint="eastAsia"/>
          <w:lang w:eastAsia="ko-KR"/>
        </w:rPr>
        <w:t>6</w:t>
      </w:r>
      <w:r w:rsidRPr="009034DC">
        <w:rPr>
          <w:rFonts w:eastAsia="Malgun Gothic"/>
          <w:lang w:eastAsia="ko-KR"/>
        </w:rPr>
        <w:t>.</w:t>
      </w:r>
      <w:r w:rsidRPr="009034DC">
        <w:rPr>
          <w:rFonts w:eastAsia="Malgun Gothic"/>
          <w:lang w:eastAsia="ko-KR"/>
        </w:rPr>
        <w:tab/>
        <w:t>GRSG adopted ECE/TRANS/WP.29/GRSG/2019/33 as amended by GRSG-117-49 and requested the secretariat to submit it to AC.3 as draft amendment to UN GTR No. 6 for consideration at its March 2020 sessions.</w:t>
      </w:r>
    </w:p>
    <w:p w:rsidR="009034DC" w:rsidRPr="009034DC" w:rsidRDefault="009034DC" w:rsidP="009034DC">
      <w:pPr>
        <w:pStyle w:val="HChG"/>
        <w:spacing w:before="240"/>
        <w:rPr>
          <w:rFonts w:eastAsia="Malgun Gothic"/>
          <w:lang w:eastAsia="ko-KR"/>
        </w:rPr>
      </w:pPr>
      <w:r>
        <w:rPr>
          <w:rFonts w:eastAsiaTheme="minorEastAsia"/>
          <w:lang w:val="en-US"/>
        </w:rPr>
        <w:tab/>
      </w:r>
      <w:r>
        <w:rPr>
          <w:rFonts w:eastAsiaTheme="minorEastAsia"/>
        </w:rPr>
        <w:t>I</w:t>
      </w:r>
      <w:r>
        <w:rPr>
          <w:rFonts w:eastAsia="Malgun Gothic" w:hint="eastAsia"/>
          <w:lang w:eastAsia="ko-KR"/>
        </w:rPr>
        <w:t>V</w:t>
      </w:r>
      <w:r>
        <w:rPr>
          <w:rFonts w:eastAsiaTheme="minorEastAsia"/>
        </w:rPr>
        <w:t>.</w:t>
      </w:r>
      <w:r>
        <w:rPr>
          <w:rFonts w:eastAsiaTheme="minorEastAsia"/>
          <w:lang w:val="en-US"/>
        </w:rPr>
        <w:tab/>
      </w:r>
      <w:r>
        <w:rPr>
          <w:rFonts w:eastAsia="Malgun Gothic" w:hint="eastAsia"/>
          <w:lang w:val="en-US" w:eastAsia="ko-KR"/>
        </w:rPr>
        <w:t>Main resolutions agreed by GRSG</w:t>
      </w:r>
    </w:p>
    <w:p w:rsidR="009034DC" w:rsidRPr="009034DC" w:rsidRDefault="009034DC" w:rsidP="000968CC">
      <w:pPr>
        <w:pStyle w:val="SingleTxtG"/>
        <w:tabs>
          <w:tab w:val="left" w:pos="1560"/>
        </w:tabs>
        <w:rPr>
          <w:rFonts w:eastAsia="Malgun Gothic"/>
          <w:lang w:eastAsia="ko-KR"/>
        </w:rPr>
      </w:pPr>
      <w:r w:rsidRPr="009034DC">
        <w:rPr>
          <w:rFonts w:eastAsia="Malgun Gothic" w:hint="eastAsia"/>
          <w:lang w:eastAsia="ko-KR"/>
        </w:rPr>
        <w:t>7.</w:t>
      </w:r>
      <w:r w:rsidRPr="009034DC">
        <w:rPr>
          <w:rFonts w:eastAsia="Malgun Gothic" w:hint="eastAsia"/>
          <w:lang w:eastAsia="ko-KR"/>
        </w:rPr>
        <w:tab/>
      </w:r>
      <w:r w:rsidRPr="009034DC">
        <w:rPr>
          <w:rFonts w:eastAsia="Malgun Gothic"/>
          <w:lang w:eastAsia="ko-KR"/>
        </w:rPr>
        <w:t>Various safety and convenience options (Lane Departure Warning Systems (LDWS), Autonomous sensors, etc.) for trucks are being installed or under development. If these options are fitted on the underside dashboard-top of the windshield glass, it may limit the driver’s direct front of vision.</w:t>
      </w:r>
    </w:p>
    <w:p w:rsidR="009034DC" w:rsidRDefault="009034DC" w:rsidP="000968CC">
      <w:pPr>
        <w:pStyle w:val="SingleTxtG"/>
        <w:tabs>
          <w:tab w:val="left" w:pos="1560"/>
        </w:tabs>
        <w:rPr>
          <w:rFonts w:eastAsia="Malgun Gothic"/>
          <w:lang w:eastAsia="ko-KR"/>
        </w:rPr>
      </w:pPr>
      <w:r w:rsidRPr="009034DC">
        <w:rPr>
          <w:rFonts w:eastAsia="Malgun Gothic" w:hint="eastAsia"/>
          <w:lang w:eastAsia="ko-KR"/>
        </w:rPr>
        <w:t>8.</w:t>
      </w:r>
      <w:r w:rsidRPr="009034DC">
        <w:rPr>
          <w:rFonts w:eastAsia="Malgun Gothic" w:hint="eastAsia"/>
          <w:lang w:eastAsia="ko-KR"/>
        </w:rPr>
        <w:tab/>
      </w:r>
      <w:r w:rsidRPr="009034DC">
        <w:rPr>
          <w:rFonts w:eastAsia="Malgun Gothic"/>
          <w:lang w:eastAsia="ko-KR"/>
        </w:rPr>
        <w:t xml:space="preserve">For the optimization of installation, the above options may be integrated with the interior mirror. </w:t>
      </w:r>
      <w:r w:rsidR="00152995" w:rsidRPr="009034DC">
        <w:rPr>
          <w:rFonts w:eastAsia="Malgun Gothic"/>
          <w:lang w:eastAsia="ko-KR"/>
        </w:rPr>
        <w:t>However,</w:t>
      </w:r>
      <w:r w:rsidRPr="009034DC">
        <w:rPr>
          <w:rFonts w:eastAsia="Malgun Gothic"/>
          <w:lang w:eastAsia="ko-KR"/>
        </w:rPr>
        <w:t xml:space="preserve"> it is difficult for some models to install the interior mirror, since Zone I may be intruded. Therefore, the opaque obscuration which can be used for installation of the above safety and convenience options must be permitted additionally. For this reason, some new planes such as P5, P6, and P7 shall be added. On the other hand, the new opaque obscuration for Category 1-2 and 2 Vehicles </w:t>
      </w:r>
      <w:proofErr w:type="gramStart"/>
      <w:r w:rsidRPr="009034DC">
        <w:rPr>
          <w:rFonts w:eastAsia="Malgun Gothic"/>
          <w:lang w:eastAsia="ko-KR"/>
        </w:rPr>
        <w:t>has to</w:t>
      </w:r>
      <w:proofErr w:type="gramEnd"/>
      <w:r w:rsidRPr="009034DC">
        <w:rPr>
          <w:rFonts w:eastAsia="Malgun Gothic"/>
          <w:lang w:eastAsia="ko-KR"/>
        </w:rPr>
        <w:t xml:space="preserve"> be equal level with the one for Category 1-1 vehicles using the “V” points in order not to violate safety.</w:t>
      </w:r>
    </w:p>
    <w:p w:rsidR="009034DC" w:rsidRDefault="009034DC" w:rsidP="009034DC">
      <w:pPr>
        <w:pStyle w:val="HChG"/>
        <w:rPr>
          <w:lang w:val="en-US"/>
        </w:rPr>
      </w:pPr>
      <w:r w:rsidRPr="003E7D29">
        <w:rPr>
          <w:lang w:val="en-US"/>
        </w:rPr>
        <w:lastRenderedPageBreak/>
        <w:tab/>
      </w:r>
      <w:r>
        <w:rPr>
          <w:lang w:val="en-US"/>
        </w:rPr>
        <w:t>V</w:t>
      </w:r>
      <w:r w:rsidRPr="003E7D29">
        <w:rPr>
          <w:lang w:val="en-US"/>
        </w:rPr>
        <w:t>.</w:t>
      </w:r>
      <w:r w:rsidRPr="003E7D29">
        <w:rPr>
          <w:lang w:val="en-US"/>
        </w:rPr>
        <w:tab/>
      </w:r>
      <w:r w:rsidRPr="00CF4EF0">
        <w:rPr>
          <w:lang w:val="en-US"/>
        </w:rPr>
        <w:t xml:space="preserve">Development of the </w:t>
      </w:r>
      <w:r>
        <w:rPr>
          <w:lang w:val="en-US"/>
        </w:rPr>
        <w:t xml:space="preserve">UN GTR </w:t>
      </w:r>
    </w:p>
    <w:p w:rsidR="004D393A" w:rsidRPr="00782001" w:rsidRDefault="00782001" w:rsidP="00782001">
      <w:pPr>
        <w:pStyle w:val="SingleTxtG"/>
        <w:tabs>
          <w:tab w:val="left" w:pos="1560"/>
        </w:tabs>
      </w:pPr>
      <w:r>
        <w:t>9.</w:t>
      </w:r>
      <w:r>
        <w:tab/>
      </w:r>
      <w:r w:rsidR="004D393A" w:rsidRPr="00782001">
        <w:t xml:space="preserve">The objective of the proposal is to develop, in the framework of the 1998 Agreement, an amendment to UN GTR No. 6 on Safety Glazing to adapt the provisions to technical progress to enable the approval of windscreens with extended areas of opaque obscuration providing for the installation of safety and convenience elements (e.g. LDWS). </w:t>
      </w:r>
    </w:p>
    <w:p w:rsidR="004D393A" w:rsidRPr="00782001" w:rsidRDefault="00782001" w:rsidP="00782001">
      <w:pPr>
        <w:pStyle w:val="SingleTxtG"/>
        <w:tabs>
          <w:tab w:val="left" w:pos="1560"/>
        </w:tabs>
      </w:pPr>
      <w:r>
        <w:t>10.</w:t>
      </w:r>
      <w:r>
        <w:tab/>
      </w:r>
      <w:r w:rsidR="004D393A" w:rsidRPr="00782001">
        <w:t xml:space="preserve">The development of the draft language for updating the GTR involved consideration of the differences between the respective 1998 Agreement and 1958 Agreement. Specific solutions for the different technical items were developed whereby GRSG experts were requested to support and contribute in the process. </w:t>
      </w:r>
    </w:p>
    <w:p w:rsidR="004D393A" w:rsidRDefault="004D393A" w:rsidP="004D393A">
      <w:pPr>
        <w:pStyle w:val="SingleTxtG"/>
        <w:ind w:right="9"/>
        <w:rPr>
          <w:lang w:val="en-US" w:eastAsia="ko-KR"/>
        </w:rPr>
      </w:pPr>
      <w:r w:rsidRPr="00A431EE">
        <w:rPr>
          <w:lang w:val="en-US" w:eastAsia="ko-KR"/>
        </w:rPr>
        <w:t xml:space="preserve">The Amendment 2 to UN GTR No. 6 </w:t>
      </w:r>
      <w:r w:rsidRPr="00A431EE">
        <w:rPr>
          <w:lang w:val="en-US"/>
        </w:rPr>
        <w:t>incorporates</w:t>
      </w:r>
      <w:r w:rsidRPr="00A431EE">
        <w:rPr>
          <w:lang w:val="en-US" w:eastAsia="ko-KR"/>
        </w:rPr>
        <w:t>:</w:t>
      </w:r>
    </w:p>
    <w:p w:rsidR="004D393A" w:rsidRPr="00A431EE" w:rsidRDefault="004D393A" w:rsidP="00782001">
      <w:pPr>
        <w:pStyle w:val="SingleTxtG"/>
        <w:spacing w:after="240"/>
        <w:ind w:right="9"/>
        <w:rPr>
          <w:lang w:val="en-US" w:eastAsia="ko-KR"/>
        </w:rPr>
      </w:pPr>
      <w:r w:rsidRPr="004D393A">
        <w:rPr>
          <w:lang w:val="en-US" w:eastAsia="ko-KR"/>
        </w:rPr>
        <w:t>Determination of the opaque obscuration</w:t>
      </w:r>
      <w:r>
        <w:rPr>
          <w:lang w:val="en-US" w:eastAsia="ko-KR"/>
        </w:rPr>
        <w:t xml:space="preserve"> by defining </w:t>
      </w:r>
      <w:r w:rsidRPr="009034DC">
        <w:rPr>
          <w:rFonts w:eastAsia="Malgun Gothic"/>
          <w:lang w:eastAsia="ko-KR"/>
        </w:rPr>
        <w:t>planes P5, P6, and P7</w:t>
      </w:r>
    </w:p>
    <w:p w:rsidR="004D393A" w:rsidRPr="004D393A" w:rsidRDefault="004D393A" w:rsidP="004D393A">
      <w:pPr>
        <w:ind w:left="1134"/>
        <w:rPr>
          <w:lang w:val="en-US"/>
        </w:rPr>
      </w:pPr>
      <w:r>
        <w:rPr>
          <w:noProof/>
          <w:lang w:val="en-US" w:eastAsia="ko-KR"/>
        </w:rPr>
        <w:drawing>
          <wp:inline distT="0" distB="0" distL="0" distR="0" wp14:anchorId="53FEF12B" wp14:editId="7676D77C">
            <wp:extent cx="4401820" cy="2962910"/>
            <wp:effectExtent l="0" t="0" r="0" b="8890"/>
            <wp:docPr id="5" name="그림 5"/>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820" cy="2962910"/>
                    </a:xfrm>
                    <a:prstGeom prst="rect">
                      <a:avLst/>
                    </a:prstGeom>
                    <a:noFill/>
                  </pic:spPr>
                </pic:pic>
              </a:graphicData>
            </a:graphic>
          </wp:inline>
        </w:drawing>
      </w:r>
    </w:p>
    <w:p w:rsidR="009034DC" w:rsidRPr="003E7D29" w:rsidRDefault="009034DC" w:rsidP="009034DC">
      <w:pPr>
        <w:pStyle w:val="HChG"/>
        <w:spacing w:before="240" w:after="120"/>
        <w:ind w:left="1138" w:right="1138" w:hanging="1138"/>
        <w:rPr>
          <w:lang w:val="en-US"/>
        </w:rPr>
      </w:pPr>
      <w:r>
        <w:rPr>
          <w:lang w:val="en-US"/>
        </w:rPr>
        <w:tab/>
        <w:t>VI</w:t>
      </w:r>
      <w:r w:rsidR="004D393A">
        <w:rPr>
          <w:lang w:val="en-US"/>
        </w:rPr>
        <w:t>.</w:t>
      </w:r>
      <w:r w:rsidR="004D393A">
        <w:rPr>
          <w:lang w:val="en-US"/>
        </w:rPr>
        <w:tab/>
        <w:t>Conclusion</w:t>
      </w:r>
    </w:p>
    <w:p w:rsidR="009034DC" w:rsidRPr="00782001" w:rsidRDefault="00782001" w:rsidP="00782001">
      <w:pPr>
        <w:pStyle w:val="SingleTxtG"/>
        <w:tabs>
          <w:tab w:val="left" w:pos="1560"/>
        </w:tabs>
      </w:pPr>
      <w:r>
        <w:t>11.</w:t>
      </w:r>
      <w:r>
        <w:tab/>
      </w:r>
      <w:r w:rsidR="009034DC" w:rsidRPr="00782001">
        <w:t>Following the adoption of the draft Amendment 3 to UN GTR No. 6 at its 117th session, GRSG requests AC.3 voting for establishing this Amendment 3 (as proposed in ECE/TRANS/GRSG/2019/33) in the Global Registry.</w:t>
      </w:r>
    </w:p>
    <w:p w:rsidR="00FB1691" w:rsidRPr="00077741" w:rsidRDefault="00FB1691" w:rsidP="00FB1691">
      <w:pPr>
        <w:spacing w:before="240"/>
        <w:jc w:val="center"/>
        <w:rPr>
          <w:u w:val="single"/>
        </w:rPr>
      </w:pPr>
      <w:r>
        <w:rPr>
          <w:u w:val="single"/>
        </w:rPr>
        <w:tab/>
      </w:r>
      <w:r>
        <w:rPr>
          <w:u w:val="single"/>
        </w:rPr>
        <w:tab/>
      </w:r>
      <w:r>
        <w:rPr>
          <w:u w:val="single"/>
        </w:rPr>
        <w:tab/>
      </w:r>
    </w:p>
    <w:sectPr w:rsidR="00FB1691" w:rsidRPr="00077741" w:rsidSect="00782001">
      <w:headerReference w:type="even" r:id="rId9"/>
      <w:headerReference w:type="default" r:id="rId10"/>
      <w:footerReference w:type="even" r:id="rId11"/>
      <w:footerReference w:type="default" r:id="rId12"/>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0A" w:rsidRDefault="00B1710A" w:rsidP="00B1710A">
      <w:pPr>
        <w:spacing w:line="240" w:lineRule="auto"/>
      </w:pPr>
      <w:r>
        <w:separator/>
      </w:r>
    </w:p>
  </w:endnote>
  <w:endnote w:type="continuationSeparator" w:id="0">
    <w:p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842685"/>
      <w:docPartObj>
        <w:docPartGallery w:val="Page Numbers (Bottom of Page)"/>
        <w:docPartUnique/>
      </w:docPartObj>
    </w:sdtPr>
    <w:sdtEndPr>
      <w:rPr>
        <w:noProof/>
      </w:rPr>
    </w:sdtEndPr>
    <w:sdtContent>
      <w:p w:rsidR="004C0133" w:rsidRDefault="004C0133">
        <w:pPr>
          <w:pStyle w:val="Footer"/>
        </w:pPr>
        <w:r>
          <w:fldChar w:fldCharType="begin"/>
        </w:r>
        <w:r>
          <w:instrText xml:space="preserve"> PAGE   \* MERGEFORMAT </w:instrText>
        </w:r>
        <w:r>
          <w:fldChar w:fldCharType="separate"/>
        </w:r>
        <w:r>
          <w:rPr>
            <w:noProof/>
          </w:rPr>
          <w:t>2</w:t>
        </w:r>
        <w:r>
          <w:rPr>
            <w:noProof/>
          </w:rPr>
          <w:fldChar w:fldCharType="end"/>
        </w:r>
      </w:p>
    </w:sdtContent>
  </w:sdt>
  <w:p w:rsidR="004C0133" w:rsidRDefault="004C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570588"/>
      <w:docPartObj>
        <w:docPartGallery w:val="Page Numbers (Bottom of Page)"/>
        <w:docPartUnique/>
      </w:docPartObj>
    </w:sdtPr>
    <w:sdtEndPr>
      <w:rPr>
        <w:noProof/>
      </w:rPr>
    </w:sdtEndPr>
    <w:sdtContent>
      <w:p w:rsidR="004C0133" w:rsidRDefault="004C0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5A00" w:rsidRDefault="0027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0A" w:rsidRDefault="00B1710A" w:rsidP="00B1710A">
      <w:pPr>
        <w:spacing w:line="240" w:lineRule="auto"/>
      </w:pPr>
      <w:r>
        <w:separator/>
      </w:r>
    </w:p>
  </w:footnote>
  <w:footnote w:type="continuationSeparator" w:id="0">
    <w:p w:rsidR="00B1710A" w:rsidRDefault="00B1710A" w:rsidP="00B1710A">
      <w:pPr>
        <w:spacing w:line="240" w:lineRule="auto"/>
      </w:pPr>
      <w:r>
        <w:continuationSeparator/>
      </w:r>
    </w:p>
  </w:footnote>
  <w:footnote w:id="1">
    <w:p w:rsidR="00152995" w:rsidRPr="00152995" w:rsidRDefault="00152995">
      <w:pPr>
        <w:pStyle w:val="FootnoteText"/>
        <w:rPr>
          <w:lang w:val="fr-CH"/>
        </w:rPr>
      </w:pPr>
      <w:r>
        <w:rPr>
          <w:rStyle w:val="FootnoteReference"/>
        </w:rPr>
        <w:tab/>
      </w:r>
      <w:r w:rsidRPr="00152995">
        <w:rPr>
          <w:rStyle w:val="FootnoteReference"/>
          <w:sz w:val="20"/>
          <w:vertAlign w:val="baseline"/>
        </w:rPr>
        <w:t>*</w:t>
      </w:r>
      <w:r>
        <w:rPr>
          <w:rStyle w:val="FootnoteReference"/>
          <w:sz w:val="20"/>
          <w:vertAlign w:val="baseline"/>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4</w:t>
    </w:r>
    <w:r w:rsidR="00841D4D">
      <w:rPr>
        <w:b/>
        <w:bCs/>
        <w:sz w:val="18"/>
        <w:szCs w:val="18"/>
        <w:lang w:val="fr-CH"/>
      </w:rPr>
      <w:t>6</w:t>
    </w:r>
  </w:p>
  <w:p w:rsidR="00CA26FA" w:rsidRDefault="00CA2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ECE/TRANS/WP.29/2020/</w:t>
    </w:r>
    <w:r w:rsidR="00CA26FA">
      <w:rPr>
        <w:b/>
        <w:bCs/>
        <w:sz w:val="18"/>
        <w:szCs w:val="18"/>
        <w:lang w:val="fr-CH"/>
      </w:rPr>
      <w:t>4</w:t>
    </w:r>
    <w:r w:rsidR="00841D4D">
      <w:rPr>
        <w:b/>
        <w:bCs/>
        <w:sz w:val="18"/>
        <w:szCs w:val="18"/>
        <w:lang w:val="fr-CH"/>
      </w:rPr>
      <w:t>6</w:t>
    </w:r>
  </w:p>
  <w:p w:rsidR="00275A00" w:rsidRDefault="0027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52A72"/>
    <w:multiLevelType w:val="hybridMultilevel"/>
    <w:tmpl w:val="CBB6A140"/>
    <w:lvl w:ilvl="0" w:tplc="E12A863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31A52"/>
    <w:rsid w:val="000968CC"/>
    <w:rsid w:val="00104754"/>
    <w:rsid w:val="00152995"/>
    <w:rsid w:val="00275A00"/>
    <w:rsid w:val="002D3B30"/>
    <w:rsid w:val="003346A4"/>
    <w:rsid w:val="0039147B"/>
    <w:rsid w:val="003B7DAD"/>
    <w:rsid w:val="003E78CB"/>
    <w:rsid w:val="0043375B"/>
    <w:rsid w:val="004A0885"/>
    <w:rsid w:val="004C0133"/>
    <w:rsid w:val="004D393A"/>
    <w:rsid w:val="004F3A7B"/>
    <w:rsid w:val="005529C4"/>
    <w:rsid w:val="00654382"/>
    <w:rsid w:val="00782001"/>
    <w:rsid w:val="007B281A"/>
    <w:rsid w:val="007F6F9A"/>
    <w:rsid w:val="00841D4D"/>
    <w:rsid w:val="009034DC"/>
    <w:rsid w:val="00943EF4"/>
    <w:rsid w:val="009652A2"/>
    <w:rsid w:val="00AF31CC"/>
    <w:rsid w:val="00B1710A"/>
    <w:rsid w:val="00BD7D90"/>
    <w:rsid w:val="00C16B74"/>
    <w:rsid w:val="00CA26FA"/>
    <w:rsid w:val="00DA1EBE"/>
    <w:rsid w:val="00E43F67"/>
    <w:rsid w:val="00FB16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4C0133"/>
    <w:pPr>
      <w:spacing w:after="120"/>
      <w:ind w:left="1134" w:right="1134"/>
      <w:jc w:val="both"/>
    </w:pPr>
    <w:rPr>
      <w:rFonts w:eastAsia="Batang"/>
    </w:rPr>
  </w:style>
  <w:style w:type="paragraph" w:customStyle="1" w:styleId="H4G">
    <w:name w:val="_ H_4_G"/>
    <w:basedOn w:val="Normal"/>
    <w:next w:val="Normal"/>
    <w:qFormat/>
    <w:rsid w:val="004C0133"/>
    <w:pPr>
      <w:keepNext/>
      <w:keepLines/>
      <w:tabs>
        <w:tab w:val="right" w:pos="851"/>
      </w:tabs>
      <w:spacing w:before="240" w:after="120" w:line="240" w:lineRule="exact"/>
      <w:ind w:left="1134" w:right="1134" w:hanging="1134"/>
    </w:pPr>
    <w:rPr>
      <w:rFonts w:eastAsia="Batang"/>
      <w:i/>
    </w:rPr>
  </w:style>
  <w:style w:type="character" w:customStyle="1" w:styleId="SingleTxtGChar">
    <w:name w:val="_ Single Txt_G Char"/>
    <w:link w:val="SingleTxtG"/>
    <w:rsid w:val="009034DC"/>
    <w:rPr>
      <w:rFonts w:ascii="Times New Roman" w:eastAsia="Batang"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792</Words>
  <Characters>4620</Characters>
  <Application>Microsoft Office Word</Application>
  <DocSecurity>0</DocSecurity>
  <Lines>159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11</cp:revision>
  <cp:lastPrinted>2019-12-16T15:48:00Z</cp:lastPrinted>
  <dcterms:created xsi:type="dcterms:W3CDTF">2019-12-12T16:28:00Z</dcterms:created>
  <dcterms:modified xsi:type="dcterms:W3CDTF">2019-12-19T15:57:00Z</dcterms:modified>
</cp:coreProperties>
</file>