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7B4C01">
              <w:t>2</w:t>
            </w:r>
            <w:r w:rsidR="00512915">
              <w:t>7</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C070AE" w:rsidP="00703B14">
            <w:pPr>
              <w:spacing w:line="240" w:lineRule="exact"/>
            </w:pPr>
            <w:r>
              <w:t>1</w:t>
            </w:r>
            <w:r w:rsidR="00386354">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C070AE">
        <w:rPr>
          <w:lang w:val="en-US"/>
        </w:rPr>
        <w:t>–</w:t>
      </w:r>
      <w:r>
        <w:rPr>
          <w:lang w:val="en-US"/>
        </w:rPr>
        <w:t>12 March 2020</w:t>
      </w:r>
    </w:p>
    <w:p w:rsidR="00B1710A" w:rsidRDefault="00B1710A" w:rsidP="00B1710A">
      <w:r>
        <w:t xml:space="preserve">Item </w:t>
      </w:r>
      <w:r w:rsidRPr="00EA3336">
        <w:t>4.</w:t>
      </w:r>
      <w:r>
        <w:t>8</w:t>
      </w:r>
      <w:r w:rsidRPr="00EA3336">
        <w:t>.</w:t>
      </w:r>
      <w:r w:rsidR="007B4C01">
        <w:t>1</w:t>
      </w:r>
      <w:r w:rsidR="00512915">
        <w:t>6</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rsidR="00B1710A" w:rsidRPr="00DB192C" w:rsidRDefault="00B1710A" w:rsidP="00B1710A">
      <w:pPr>
        <w:pStyle w:val="HChG"/>
        <w:jc w:val="both"/>
        <w:rPr>
          <w:bCs/>
          <w:szCs w:val="28"/>
        </w:rPr>
      </w:pPr>
      <w:r w:rsidRPr="007C7AC6">
        <w:tab/>
      </w:r>
      <w:r w:rsidRPr="007C7AC6">
        <w:tab/>
      </w:r>
      <w:r w:rsidRPr="007C7AC6">
        <w:rPr>
          <w:bCs/>
          <w:szCs w:val="28"/>
        </w:rPr>
        <w:t>Pr</w:t>
      </w:r>
      <w:r w:rsidRPr="007C7AC6">
        <w:rPr>
          <w:bCs/>
          <w:spacing w:val="1"/>
          <w:szCs w:val="28"/>
        </w:rPr>
        <w:t>o</w:t>
      </w:r>
      <w:r w:rsidRPr="007C7AC6">
        <w:rPr>
          <w:bCs/>
          <w:szCs w:val="28"/>
        </w:rPr>
        <w:t>pos</w:t>
      </w:r>
      <w:r w:rsidRPr="007C7AC6">
        <w:rPr>
          <w:bCs/>
          <w:spacing w:val="1"/>
          <w:szCs w:val="28"/>
        </w:rPr>
        <w:t>a</w:t>
      </w:r>
      <w:r w:rsidRPr="007C7AC6">
        <w:rPr>
          <w:bCs/>
          <w:szCs w:val="28"/>
        </w:rPr>
        <w:t>l</w:t>
      </w:r>
      <w:r w:rsidRPr="007C7AC6">
        <w:rPr>
          <w:bCs/>
          <w:spacing w:val="1"/>
          <w:szCs w:val="28"/>
        </w:rPr>
        <w:t xml:space="preserve"> </w:t>
      </w:r>
      <w:r w:rsidRPr="007C7AC6">
        <w:rPr>
          <w:bCs/>
          <w:szCs w:val="28"/>
        </w:rPr>
        <w:t xml:space="preserve">for </w:t>
      </w:r>
      <w:bookmarkStart w:id="1" w:name="_Hlk26955651"/>
      <w:r w:rsidR="00441ADB">
        <w:t xml:space="preserve">the </w:t>
      </w:r>
      <w:bookmarkStart w:id="2" w:name="_Hlk26958424"/>
      <w:r w:rsidR="00441ADB">
        <w:t>0</w:t>
      </w:r>
      <w:r w:rsidR="00512915">
        <w:t>2</w:t>
      </w:r>
      <w:r w:rsidR="00441ADB">
        <w:t xml:space="preserve"> series of amendments to UN</w:t>
      </w:r>
      <w:r w:rsidR="00F263C6">
        <w:t> </w:t>
      </w:r>
      <w:r w:rsidR="00441ADB">
        <w:t>Regulation No</w:t>
      </w:r>
      <w:r w:rsidR="00AF652C">
        <w:t>.</w:t>
      </w:r>
      <w:r w:rsidR="00F263C6">
        <w:t> </w:t>
      </w:r>
      <w:r w:rsidR="00512915">
        <w:t>55</w:t>
      </w:r>
      <w:r>
        <w:rPr>
          <w:bCs/>
          <w:spacing w:val="1"/>
          <w:szCs w:val="28"/>
        </w:rPr>
        <w:t xml:space="preserve"> (</w:t>
      </w:r>
      <w:r w:rsidR="00512915">
        <w:rPr>
          <w:bCs/>
          <w:spacing w:val="1"/>
          <w:szCs w:val="28"/>
        </w:rPr>
        <w:t>Mechanical couplings</w:t>
      </w:r>
      <w:r w:rsidRPr="007C7AC6">
        <w:rPr>
          <w:bCs/>
          <w:szCs w:val="28"/>
        </w:rPr>
        <w:t>)</w:t>
      </w:r>
      <w:bookmarkEnd w:id="1"/>
      <w:bookmarkEnd w:id="2"/>
    </w:p>
    <w:p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512915">
        <w:rPr>
          <w:lang w:val="en-US"/>
        </w:rPr>
        <w:t>38</w:t>
      </w:r>
      <w:r>
        <w:rPr>
          <w:lang w:val="en-US"/>
        </w:rPr>
        <w:t xml:space="preserve">). It is </w:t>
      </w:r>
      <w:r w:rsidRPr="00EE7C07">
        <w:rPr>
          <w:lang w:val="en-US"/>
        </w:rPr>
        <w:t>based on</w:t>
      </w:r>
      <w:r>
        <w:rPr>
          <w:lang w:val="en-US"/>
        </w:rPr>
        <w:t xml:space="preserve"> ECE/TRANS/WP.29/GRSG/2019/</w:t>
      </w:r>
      <w:r w:rsidR="00512915">
        <w:rPr>
          <w:lang w:val="en-US"/>
        </w:rPr>
        <w:t>6</w:t>
      </w:r>
      <w:r>
        <w:rPr>
          <w:lang w:val="en-US"/>
        </w:rPr>
        <w:t xml:space="preserve"> as </w:t>
      </w:r>
      <w:r w:rsidR="00441ADB">
        <w:rPr>
          <w:lang w:val="en-US"/>
        </w:rPr>
        <w:t>amended by GRSG-117-</w:t>
      </w:r>
      <w:r w:rsidR="00512915">
        <w:rPr>
          <w:lang w:val="en-US"/>
        </w:rPr>
        <w:t>2</w:t>
      </w:r>
      <w:r w:rsidR="00441ADB">
        <w:rPr>
          <w:lang w:val="en-US"/>
        </w:rPr>
        <w:t>5</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7B4C01" w:rsidRDefault="00512915" w:rsidP="007B4C01">
      <w:pPr>
        <w:spacing w:after="120"/>
        <w:ind w:left="1123"/>
        <w:rPr>
          <w:b/>
          <w:bCs/>
          <w:sz w:val="28"/>
        </w:rPr>
      </w:pPr>
      <w:r w:rsidRPr="00512915">
        <w:rPr>
          <w:b/>
          <w:sz w:val="28"/>
        </w:rPr>
        <w:lastRenderedPageBreak/>
        <w:t>02 series of amendments to UN Regulation No 55 (Mechanical couplings</w:t>
      </w:r>
      <w:r w:rsidR="007B4C01" w:rsidRPr="007B4C01">
        <w:rPr>
          <w:b/>
          <w:bCs/>
          <w:sz w:val="28"/>
        </w:rPr>
        <w:t>)</w:t>
      </w:r>
    </w:p>
    <w:p w:rsidR="00512915" w:rsidRDefault="00512915" w:rsidP="00512915">
      <w:pPr>
        <w:spacing w:after="120"/>
        <w:ind w:left="1134" w:right="1134"/>
        <w:jc w:val="both"/>
      </w:pPr>
      <w:r>
        <w:rPr>
          <w:i/>
        </w:rPr>
        <w:t>Paragraph 13.</w:t>
      </w:r>
      <w:r>
        <w:t>, amend to read:</w:t>
      </w:r>
    </w:p>
    <w:p w:rsidR="00512915" w:rsidRPr="001873F5" w:rsidRDefault="00512915" w:rsidP="00512915">
      <w:pPr>
        <w:pStyle w:val="HChG"/>
        <w:ind w:firstLine="0"/>
        <w:rPr>
          <w:b w:val="0"/>
          <w:bCs/>
          <w:lang w:eastAsia="en-GB"/>
        </w:rPr>
      </w:pPr>
      <w:r w:rsidRPr="001873F5">
        <w:rPr>
          <w:b w:val="0"/>
          <w:bCs/>
        </w:rPr>
        <w:t>"</w:t>
      </w:r>
      <w:bookmarkStart w:id="4" w:name="_Toc401757965"/>
      <w:r w:rsidRPr="00AA42AC">
        <w:rPr>
          <w:lang w:eastAsia="en-GB"/>
        </w:rPr>
        <w:t>13.</w:t>
      </w:r>
      <w:r w:rsidRPr="00AA42AC">
        <w:rPr>
          <w:lang w:eastAsia="en-GB"/>
        </w:rPr>
        <w:tab/>
        <w:t>Transitional provisions</w:t>
      </w:r>
      <w:bookmarkEnd w:id="4"/>
    </w:p>
    <w:p w:rsidR="00512915" w:rsidRDefault="00AA42AC" w:rsidP="00F263C6">
      <w:pPr>
        <w:suppressAutoHyphens w:val="0"/>
        <w:spacing w:after="120" w:line="240" w:lineRule="auto"/>
        <w:ind w:left="567" w:firstLine="567"/>
      </w:pPr>
      <w:r>
        <w:rPr>
          <w:i/>
        </w:rPr>
        <w:t xml:space="preserve">After paragraph 13., </w:t>
      </w:r>
      <w:r w:rsidRPr="00AA42AC">
        <w:rPr>
          <w:iCs/>
        </w:rPr>
        <w:t>i</w:t>
      </w:r>
      <w:r w:rsidR="00512915" w:rsidRPr="00AA42AC">
        <w:rPr>
          <w:iCs/>
        </w:rPr>
        <w:t>nsert new paragraphs 13.1. to 13.5.,</w:t>
      </w:r>
      <w:r w:rsidR="00512915">
        <w:rPr>
          <w:i/>
        </w:rPr>
        <w:t xml:space="preserve"> </w:t>
      </w:r>
      <w:r w:rsidR="00512915">
        <w:t>to read:</w:t>
      </w:r>
    </w:p>
    <w:p w:rsidR="00512915" w:rsidRPr="001873F5" w:rsidRDefault="00512915" w:rsidP="00512915">
      <w:pPr>
        <w:pStyle w:val="para"/>
        <w:rPr>
          <w:bCs/>
        </w:rPr>
      </w:pPr>
      <w:r w:rsidRPr="001873F5">
        <w:rPr>
          <w:bCs/>
        </w:rPr>
        <w:t>13.1.</w:t>
      </w:r>
      <w:r w:rsidRPr="001873F5">
        <w:rPr>
          <w:bCs/>
        </w:rPr>
        <w:tab/>
        <w:t>As from the official date of entry into force of the 02 series of amendments, no Contracting Party applying this Regulation shall refuse to grant or refuse to accept type approvals under this Regulation as amended by the 02 series of amendments.</w:t>
      </w:r>
    </w:p>
    <w:p w:rsidR="00512915" w:rsidRPr="001873F5" w:rsidRDefault="00512915" w:rsidP="00512915">
      <w:pPr>
        <w:pStyle w:val="para"/>
        <w:rPr>
          <w:bCs/>
        </w:rPr>
      </w:pPr>
      <w:r w:rsidRPr="001873F5">
        <w:rPr>
          <w:bCs/>
        </w:rPr>
        <w:t>13.2.</w:t>
      </w:r>
      <w:r w:rsidRPr="001873F5">
        <w:rPr>
          <w:bCs/>
        </w:rPr>
        <w:tab/>
        <w:t>As from 1 September 2021, Contracting Parties applying this Regulation shall not be obliged to accept type approvals issued to the preceding series of amendments to this Regulation.</w:t>
      </w:r>
    </w:p>
    <w:p w:rsidR="00512915" w:rsidRPr="001873F5" w:rsidRDefault="00512915" w:rsidP="00512915">
      <w:pPr>
        <w:pStyle w:val="para"/>
        <w:rPr>
          <w:bCs/>
        </w:rPr>
      </w:pPr>
      <w:r w:rsidRPr="001873F5">
        <w:rPr>
          <w:bCs/>
        </w:rPr>
        <w:t>13.3.</w:t>
      </w:r>
      <w:r w:rsidRPr="001873F5">
        <w:rPr>
          <w:bCs/>
        </w:rPr>
        <w:tab/>
        <w:t>Notwithstanding paragraph 13.2., Contracting Parties applying this Regulation shall continue to accept type approvals of mechanical coupling devices and components issued according to the preceding series of amendments to this Regulation.</w:t>
      </w:r>
    </w:p>
    <w:p w:rsidR="00512915" w:rsidRPr="001873F5" w:rsidRDefault="00512915" w:rsidP="00512915">
      <w:pPr>
        <w:pStyle w:val="para"/>
        <w:rPr>
          <w:bCs/>
        </w:rPr>
      </w:pPr>
      <w:r w:rsidRPr="001873F5">
        <w:rPr>
          <w:bCs/>
        </w:rPr>
        <w:t>13.4.</w:t>
      </w:r>
      <w:r w:rsidRPr="001873F5">
        <w:rPr>
          <w:bCs/>
        </w:rPr>
        <w:tab/>
        <w:t>Notwithstanding paragraph 13.2., Contracting Parties applying this Regulation shall continue to accept type approvals issued according to the preceding series of amendments to this Regulation, for the vehicles which are not affected by the changes introduced by the 02 series of amendments.</w:t>
      </w:r>
    </w:p>
    <w:p w:rsidR="00512915" w:rsidRDefault="00512915" w:rsidP="00512915">
      <w:pPr>
        <w:pStyle w:val="para"/>
        <w:rPr>
          <w:bCs/>
        </w:rPr>
      </w:pPr>
      <w:r w:rsidRPr="001873F5">
        <w:rPr>
          <w:bCs/>
        </w:rPr>
        <w:t>13.5.</w:t>
      </w:r>
      <w:r w:rsidRPr="001873F5">
        <w:rPr>
          <w:bCs/>
        </w:rPr>
        <w:tab/>
        <w:t>Contracting Parties applying this Regulation shall not refuse to grant type approvals according to any preceding series of amendments to this Regulation or extensions thereof."</w:t>
      </w:r>
    </w:p>
    <w:p w:rsidR="00C070AE" w:rsidRDefault="00C070AE">
      <w:pPr>
        <w:suppressAutoHyphens w:val="0"/>
        <w:spacing w:after="160" w:line="259" w:lineRule="auto"/>
        <w:rPr>
          <w:bCs/>
          <w:lang w:eastAsia="en-US"/>
        </w:rPr>
      </w:pPr>
      <w:r>
        <w:rPr>
          <w:bCs/>
        </w:rPr>
        <w:br w:type="page"/>
      </w:r>
    </w:p>
    <w:p w:rsidR="00E17DCA" w:rsidRDefault="00E17DCA" w:rsidP="00E17DCA">
      <w:pPr>
        <w:ind w:left="2268" w:hanging="1134"/>
        <w:jc w:val="both"/>
        <w:rPr>
          <w:lang w:val="en-US"/>
        </w:rPr>
      </w:pPr>
      <w:r w:rsidRPr="00E17DCA">
        <w:rPr>
          <w:i/>
          <w:iCs/>
          <w:lang w:val="en-US"/>
        </w:rPr>
        <w:lastRenderedPageBreak/>
        <w:t xml:space="preserve">Annex </w:t>
      </w:r>
      <w:r w:rsidR="001873F5">
        <w:rPr>
          <w:i/>
          <w:iCs/>
          <w:lang w:val="en-US"/>
        </w:rPr>
        <w:t>3</w:t>
      </w:r>
      <w:r>
        <w:rPr>
          <w:lang w:val="en-US"/>
        </w:rPr>
        <w:t>, amend to read</w:t>
      </w:r>
      <w:r w:rsidR="00AA42AC">
        <w:rPr>
          <w:lang w:val="en-US"/>
        </w:rPr>
        <w:t>:</w:t>
      </w:r>
    </w:p>
    <w:p w:rsidR="001873F5" w:rsidRPr="00EE27E4" w:rsidRDefault="00825F57" w:rsidP="001873F5">
      <w:pPr>
        <w:pStyle w:val="HChG"/>
        <w:rPr>
          <w:lang w:eastAsia="en-GB"/>
        </w:rPr>
      </w:pPr>
      <w:bookmarkStart w:id="5" w:name="_Toc358813930"/>
      <w:r>
        <w:t>"</w:t>
      </w:r>
      <w:bookmarkStart w:id="6" w:name="_Toc401757969"/>
      <w:bookmarkEnd w:id="5"/>
      <w:r w:rsidR="001873F5" w:rsidRPr="00EE27E4">
        <w:rPr>
          <w:lang w:eastAsia="en-GB"/>
        </w:rPr>
        <w:t>Annex 3</w:t>
      </w:r>
      <w:bookmarkEnd w:id="6"/>
    </w:p>
    <w:p w:rsidR="001873F5" w:rsidRPr="00EE27E4" w:rsidRDefault="001873F5" w:rsidP="001873F5">
      <w:pPr>
        <w:pStyle w:val="HChG"/>
        <w:rPr>
          <w:lang w:eastAsia="en-GB"/>
        </w:rPr>
      </w:pPr>
      <w:r w:rsidRPr="00EE27E4">
        <w:rPr>
          <w:position w:val="1"/>
          <w:lang w:eastAsia="en-GB"/>
        </w:rPr>
        <w:tab/>
      </w:r>
      <w:r w:rsidRPr="00EE27E4">
        <w:rPr>
          <w:position w:val="1"/>
          <w:lang w:eastAsia="en-GB"/>
        </w:rPr>
        <w:tab/>
      </w:r>
      <w:bookmarkStart w:id="7" w:name="_Toc401757970"/>
      <w:r w:rsidRPr="00EE27E4">
        <w:rPr>
          <w:position w:val="1"/>
          <w:lang w:eastAsia="en-GB"/>
        </w:rPr>
        <w:t>Example of an arrangement of the approval mark</w:t>
      </w:r>
      <w:bookmarkEnd w:id="7"/>
    </w:p>
    <w:p w:rsidR="001873F5" w:rsidRPr="00EE27E4" w:rsidRDefault="001873F5" w:rsidP="001873F5">
      <w:pPr>
        <w:widowControl w:val="0"/>
        <w:suppressAutoHyphens w:val="0"/>
        <w:autoSpaceDE w:val="0"/>
        <w:autoSpaceDN w:val="0"/>
        <w:adjustRightInd w:val="0"/>
        <w:spacing w:before="1" w:line="240" w:lineRule="exact"/>
        <w:rPr>
          <w:sz w:val="24"/>
          <w:szCs w:val="24"/>
          <w:lang w:eastAsia="en-GB"/>
        </w:rPr>
      </w:pPr>
    </w:p>
    <w:p w:rsidR="001873F5" w:rsidRPr="00EE27E4" w:rsidRDefault="001873F5" w:rsidP="001873F5">
      <w:pPr>
        <w:widowControl w:val="0"/>
        <w:suppressAutoHyphens w:val="0"/>
        <w:autoSpaceDE w:val="0"/>
        <w:autoSpaceDN w:val="0"/>
        <w:adjustRightInd w:val="0"/>
        <w:spacing w:line="240" w:lineRule="auto"/>
        <w:ind w:left="1134" w:right="-20"/>
        <w:rPr>
          <w:lang w:eastAsia="en-GB"/>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2318946</wp:posOffset>
                </wp:positionH>
                <wp:positionV relativeFrom="paragraph">
                  <wp:posOffset>1118870</wp:posOffset>
                </wp:positionV>
                <wp:extent cx="268829" cy="562834"/>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29" cy="562834"/>
                        </a:xfrm>
                        <a:prstGeom prst="rect">
                          <a:avLst/>
                        </a:prstGeom>
                        <a:solidFill>
                          <a:srgbClr val="FFFFFF"/>
                        </a:solidFill>
                        <a:ln w="9525">
                          <a:noFill/>
                          <a:miter lim="800000"/>
                          <a:headEnd/>
                          <a:tailEnd/>
                        </a:ln>
                      </wps:spPr>
                      <wps:txbx>
                        <w:txbxContent>
                          <w:p w:rsidR="001873F5" w:rsidRPr="00C070AE" w:rsidRDefault="001873F5" w:rsidP="00C070AE">
                            <w:pPr>
                              <w:ind w:left="-142"/>
                              <w:rPr>
                                <w:rFonts w:asciiTheme="minorBidi" w:hAnsiTheme="minorBidi" w:cstheme="minorBidi"/>
                                <w:color w:val="FFFFFF" w:themeColor="background1"/>
                                <w:sz w:val="68"/>
                                <w:szCs w:val="68"/>
                              </w:rPr>
                            </w:pPr>
                            <w:r w:rsidRPr="00C070AE">
                              <w:rPr>
                                <w:rFonts w:asciiTheme="minorBidi" w:hAnsiTheme="minorBidi" w:cstheme="minorBidi"/>
                                <w:sz w:val="68"/>
                                <w:szCs w:val="6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6pt;margin-top:88.1pt;width:21.15pt;height:4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" stroked="f">
                <v:textbox>
                  <w:txbxContent>
                    <w:p w:rsidR="001873F5" w:rsidRPr="00C070AE" w:rsidRDefault="001873F5" w:rsidP="00C070AE">
                      <w:pPr>
                        <w:ind w:left="-142"/>
                        <w:rPr>
                          <w:rFonts w:asciiTheme="minorBidi" w:hAnsiTheme="minorBidi" w:cstheme="minorBidi"/>
                          <w:color w:val="FFFFFF" w:themeColor="background1"/>
                          <w:sz w:val="68"/>
                          <w:szCs w:val="68"/>
                        </w:rPr>
                      </w:pPr>
                      <w:r w:rsidRPr="00C070AE">
                        <w:rPr>
                          <w:rFonts w:asciiTheme="minorBidi" w:hAnsiTheme="minorBidi" w:cstheme="minorBidi"/>
                          <w:sz w:val="68"/>
                          <w:szCs w:val="68"/>
                        </w:rPr>
                        <w:t>2</w:t>
                      </w:r>
                    </w:p>
                  </w:txbxContent>
                </v:textbox>
              </v:shape>
            </w:pict>
          </mc:Fallback>
        </mc:AlternateContent>
      </w:r>
      <w:r>
        <w:rPr>
          <w:noProof/>
          <w:sz w:val="24"/>
          <w:szCs w:val="24"/>
          <w:lang w:eastAsia="en-GB"/>
        </w:rPr>
        <w:drawing>
          <wp:inline distT="0" distB="0" distL="0" distR="0">
            <wp:extent cx="3507740" cy="1678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7740" cy="1678940"/>
                    </a:xfrm>
                    <a:prstGeom prst="rect">
                      <a:avLst/>
                    </a:prstGeom>
                    <a:noFill/>
                    <a:ln>
                      <a:noFill/>
                    </a:ln>
                  </pic:spPr>
                </pic:pic>
              </a:graphicData>
            </a:graphic>
          </wp:inline>
        </w:drawing>
      </w:r>
    </w:p>
    <w:p w:rsidR="001873F5" w:rsidRPr="00EE27E4" w:rsidRDefault="001873F5" w:rsidP="001873F5">
      <w:pPr>
        <w:widowControl w:val="0"/>
        <w:suppressAutoHyphens w:val="0"/>
        <w:autoSpaceDE w:val="0"/>
        <w:autoSpaceDN w:val="0"/>
        <w:adjustRightInd w:val="0"/>
        <w:spacing w:before="41" w:line="240" w:lineRule="auto"/>
        <w:ind w:right="1127"/>
        <w:jc w:val="right"/>
        <w:rPr>
          <w:lang w:eastAsia="en-GB"/>
        </w:rPr>
      </w:pPr>
      <w:r w:rsidRPr="00EE27E4">
        <w:rPr>
          <w:lang w:eastAsia="en-GB"/>
        </w:rPr>
        <w:t xml:space="preserve">a = 8 </w:t>
      </w:r>
      <w:r w:rsidRPr="00EE27E4">
        <w:rPr>
          <w:spacing w:val="-1"/>
          <w:lang w:eastAsia="en-GB"/>
        </w:rPr>
        <w:t>m</w:t>
      </w:r>
      <w:r w:rsidRPr="00EE27E4">
        <w:rPr>
          <w:lang w:eastAsia="en-GB"/>
        </w:rPr>
        <w:t xml:space="preserve">m </w:t>
      </w:r>
      <w:r w:rsidRPr="00EE27E4">
        <w:rPr>
          <w:spacing w:val="-1"/>
          <w:lang w:eastAsia="en-GB"/>
        </w:rPr>
        <w:t>minimum</w:t>
      </w:r>
    </w:p>
    <w:p w:rsidR="001873F5" w:rsidRPr="00EE27E4" w:rsidRDefault="001873F5" w:rsidP="001873F5">
      <w:pPr>
        <w:widowControl w:val="0"/>
        <w:suppressAutoHyphens w:val="0"/>
        <w:autoSpaceDE w:val="0"/>
        <w:autoSpaceDN w:val="0"/>
        <w:adjustRightInd w:val="0"/>
        <w:spacing w:line="200" w:lineRule="exact"/>
        <w:rPr>
          <w:lang w:eastAsia="en-GB"/>
        </w:rPr>
      </w:pPr>
    </w:p>
    <w:p w:rsidR="001873F5" w:rsidRPr="00EE27E4" w:rsidRDefault="001873F5" w:rsidP="001873F5">
      <w:pPr>
        <w:pStyle w:val="SingleTxtG"/>
        <w:ind w:firstLine="567"/>
        <w:rPr>
          <w:lang w:eastAsia="en-GB"/>
        </w:rPr>
      </w:pPr>
      <w:r w:rsidRPr="00EE27E4">
        <w:rPr>
          <w:lang w:eastAsia="en-GB"/>
        </w:rPr>
        <w:t>The mechanical coupling device or component or vehicle bearing the approval mark shown above is a device or component approved in the Netherlands (E</w:t>
      </w:r>
      <w:r>
        <w:rPr>
          <w:lang w:eastAsia="en-GB"/>
        </w:rPr>
        <w:t xml:space="preserve"> </w:t>
      </w:r>
      <w:r w:rsidRPr="00EE27E4">
        <w:rPr>
          <w:lang w:eastAsia="en-GB"/>
        </w:rPr>
        <w:t>4), under approval number 2439, meeting the requirements of the 0</w:t>
      </w:r>
      <w:r>
        <w:rPr>
          <w:lang w:eastAsia="en-GB"/>
        </w:rPr>
        <w:t>2</w:t>
      </w:r>
      <w:r w:rsidRPr="00EE27E4">
        <w:rPr>
          <w:lang w:eastAsia="en-GB"/>
        </w:rPr>
        <w:t xml:space="preserve"> series of amendments to this Regulation.</w:t>
      </w:r>
    </w:p>
    <w:p w:rsidR="00825F57" w:rsidRPr="00C24E30" w:rsidRDefault="001873F5" w:rsidP="001873F5">
      <w:pPr>
        <w:pStyle w:val="SingleTxtG"/>
      </w:pPr>
      <w:r w:rsidRPr="00EE27E4">
        <w:rPr>
          <w:i/>
          <w:lang w:eastAsia="en-GB"/>
        </w:rPr>
        <w:t>Note:</w:t>
      </w:r>
      <w:r w:rsidRPr="00EE27E4">
        <w:rPr>
          <w:lang w:eastAsia="en-GB"/>
        </w:rPr>
        <w:t xml:space="preserve"> The approval number and additional symbols shall be placed close to the circle and either above or below the letter </w:t>
      </w:r>
      <w:r>
        <w:rPr>
          <w:lang w:eastAsia="en-GB"/>
        </w:rPr>
        <w:t>"</w:t>
      </w:r>
      <w:r w:rsidRPr="00EE27E4">
        <w:rPr>
          <w:lang w:eastAsia="en-GB"/>
        </w:rPr>
        <w:t>E</w:t>
      </w:r>
      <w:r>
        <w:rPr>
          <w:lang w:eastAsia="en-GB"/>
        </w:rPr>
        <w:t>"</w:t>
      </w:r>
      <w:r w:rsidRPr="00EE27E4">
        <w:rPr>
          <w:lang w:eastAsia="en-GB"/>
        </w:rPr>
        <w:t xml:space="preserve">, or to the right or left of that letter. The digits of the approval number shall be on the same side of the letter </w:t>
      </w:r>
      <w:r>
        <w:rPr>
          <w:lang w:eastAsia="en-GB"/>
        </w:rPr>
        <w:t>"</w:t>
      </w:r>
      <w:r w:rsidRPr="00EE27E4">
        <w:rPr>
          <w:lang w:eastAsia="en-GB"/>
        </w:rPr>
        <w:t>E</w:t>
      </w:r>
      <w:r>
        <w:rPr>
          <w:lang w:eastAsia="en-GB"/>
        </w:rPr>
        <w:t>"</w:t>
      </w:r>
      <w:r w:rsidRPr="00EE27E4">
        <w:rPr>
          <w:lang w:eastAsia="en-GB"/>
        </w:rPr>
        <w:t xml:space="preserve"> and face in the same direction. The use of Roman numerals as approval numbers should be avoided </w:t>
      </w:r>
      <w:proofErr w:type="gramStart"/>
      <w:r w:rsidRPr="00EE27E4">
        <w:rPr>
          <w:lang w:eastAsia="en-GB"/>
        </w:rPr>
        <w:t>so as to</w:t>
      </w:r>
      <w:proofErr w:type="gramEnd"/>
      <w:r w:rsidRPr="00EE27E4">
        <w:rPr>
          <w:lang w:eastAsia="en-GB"/>
        </w:rPr>
        <w:t xml:space="preserve"> prevent any confusion with other symbols.</w:t>
      </w:r>
      <w:r w:rsidR="00825F57">
        <w:t>"</w:t>
      </w:r>
    </w:p>
    <w:p w:rsidR="001873F5" w:rsidRDefault="001873F5" w:rsidP="001873F5">
      <w:pPr>
        <w:pStyle w:val="SingleTxtG"/>
        <w:keepNext/>
        <w:ind w:right="0"/>
      </w:pPr>
      <w:r>
        <w:rPr>
          <w:i/>
        </w:rPr>
        <w:t>Annex 7, paragraph 1.1.4.</w:t>
      </w:r>
      <w:r>
        <w:t>, amend to read:</w:t>
      </w:r>
    </w:p>
    <w:p w:rsidR="001873F5" w:rsidRPr="00FB36F8" w:rsidRDefault="001873F5" w:rsidP="001873F5">
      <w:pPr>
        <w:pStyle w:val="SingleTxtG"/>
        <w:spacing w:line="240" w:lineRule="auto"/>
        <w:ind w:left="2268" w:hanging="1134"/>
      </w:pPr>
      <w:r>
        <w:t>"</w:t>
      </w:r>
      <w:r w:rsidRPr="00C676E3">
        <w:t>1.1.4.</w:t>
      </w:r>
      <w:r>
        <w:tab/>
        <w:t xml:space="preserve">When the trailer …… release key which is </w:t>
      </w:r>
      <w:r w:rsidRPr="001873F5">
        <w:rPr>
          <w:bCs/>
        </w:rPr>
        <w:t>supplied by the manufacturer. In such a case, the motor-vehicle's user instructions (e.g. owner's manual, vehicle handbook) shall clearly specify that the removable or repositionable mechanical coupling device shall always be removed or repositioned when it is not in use.</w:t>
      </w:r>
    </w:p>
    <w:p w:rsidR="001873F5" w:rsidRDefault="001873F5" w:rsidP="001873F5">
      <w:pPr>
        <w:tabs>
          <w:tab w:val="left" w:pos="2268"/>
        </w:tabs>
        <w:spacing w:before="120" w:after="120" w:line="240" w:lineRule="auto"/>
        <w:ind w:left="2268" w:right="1134" w:hanging="1134"/>
        <w:jc w:val="both"/>
      </w:pPr>
      <w:r>
        <w:tab/>
      </w:r>
      <w:r w:rsidRPr="00FB36F8">
        <w:t>If the installed</w:t>
      </w:r>
      <w:r>
        <w:rPr>
          <w:b/>
        </w:rPr>
        <w:t xml:space="preserve"> </w:t>
      </w:r>
      <w:r>
        <w:t>…"</w:t>
      </w:r>
    </w:p>
    <w:p w:rsidR="00EE3133" w:rsidRPr="00441ADB" w:rsidRDefault="00EE3133" w:rsidP="00EE3133">
      <w:pPr>
        <w:ind w:left="4395"/>
        <w:jc w:val="both"/>
      </w:pPr>
      <w:r>
        <w:rPr>
          <w:u w:val="single"/>
        </w:rPr>
        <w:tab/>
      </w:r>
      <w:r>
        <w:rPr>
          <w:u w:val="single"/>
        </w:rPr>
        <w:tab/>
      </w:r>
      <w:r>
        <w:rPr>
          <w:u w:val="single"/>
        </w:rPr>
        <w:tab/>
      </w:r>
    </w:p>
    <w:sectPr w:rsidR="00EE3133" w:rsidRPr="00441ADB" w:rsidSect="00386354">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674623"/>
      <w:docPartObj>
        <w:docPartGallery w:val="Page Numbers (Bottom of Page)"/>
        <w:docPartUnique/>
      </w:docPartObj>
    </w:sdtPr>
    <w:sdtEndPr>
      <w:rPr>
        <w:noProof/>
      </w:rPr>
    </w:sdtEndPr>
    <w:sdtContent>
      <w:p w:rsidR="00386354" w:rsidRDefault="00386354">
        <w:pPr>
          <w:pStyle w:val="Footer"/>
        </w:pPr>
        <w:r>
          <w:fldChar w:fldCharType="begin"/>
        </w:r>
        <w:r>
          <w:instrText xml:space="preserve"> PAGE   \* MERGEFORMAT </w:instrText>
        </w:r>
        <w:r>
          <w:fldChar w:fldCharType="separate"/>
        </w:r>
        <w:r>
          <w:rPr>
            <w:noProof/>
          </w:rPr>
          <w:t>2</w:t>
        </w:r>
        <w:r>
          <w:rPr>
            <w:noProof/>
          </w:rPr>
          <w:fldChar w:fldCharType="end"/>
        </w:r>
      </w:p>
    </w:sdtContent>
  </w:sdt>
  <w:p w:rsidR="00386354" w:rsidRDefault="00386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91439"/>
      <w:docPartObj>
        <w:docPartGallery w:val="Page Numbers (Bottom of Page)"/>
        <w:docPartUnique/>
      </w:docPartObj>
    </w:sdtPr>
    <w:sdtEndPr>
      <w:rPr>
        <w:noProof/>
        <w:sz w:val="18"/>
        <w:szCs w:val="18"/>
      </w:rPr>
    </w:sdtEndPr>
    <w:sdtContent>
      <w:p w:rsidR="00A90048" w:rsidRPr="00A90048" w:rsidRDefault="00A90048" w:rsidP="00386354">
        <w:pPr>
          <w:pStyle w:val="Footer"/>
          <w:jc w:val="right"/>
          <w:rPr>
            <w:sz w:val="18"/>
            <w:szCs w:val="18"/>
          </w:rPr>
        </w:pPr>
        <w:r w:rsidRPr="00A90048">
          <w:rPr>
            <w:sz w:val="18"/>
            <w:szCs w:val="18"/>
          </w:rPr>
          <w:fldChar w:fldCharType="begin"/>
        </w:r>
        <w:r w:rsidRPr="00A90048">
          <w:rPr>
            <w:sz w:val="18"/>
            <w:szCs w:val="18"/>
          </w:rPr>
          <w:instrText xml:space="preserve"> PAGE   \* MERGEFORMAT </w:instrText>
        </w:r>
        <w:r w:rsidRPr="00A90048">
          <w:rPr>
            <w:sz w:val="18"/>
            <w:szCs w:val="18"/>
          </w:rPr>
          <w:fldChar w:fldCharType="separate"/>
        </w:r>
        <w:r w:rsidRPr="00A90048">
          <w:rPr>
            <w:noProof/>
            <w:sz w:val="18"/>
            <w:szCs w:val="18"/>
          </w:rPr>
          <w:t>2</w:t>
        </w:r>
        <w:r w:rsidRPr="00A90048">
          <w:rPr>
            <w:noProof/>
            <w:sz w:val="18"/>
            <w:szCs w:val="18"/>
          </w:rPr>
          <w:fldChar w:fldCharType="end"/>
        </w:r>
      </w:p>
    </w:sdtContent>
  </w:sdt>
  <w:p w:rsidR="00A90048" w:rsidRDefault="00A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B1710A" w:rsidRPr="00EC4B12" w:rsidRDefault="00B1710A" w:rsidP="00544B63">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w:t>
      </w:r>
      <w:bookmarkStart w:id="3" w:name="_GoBack"/>
      <w:bookmarkEnd w:id="3"/>
      <w:r>
        <w:rPr>
          <w:lang w:val="en-US"/>
        </w:rPr>
        <w:t>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15" w:rsidRPr="00857A22" w:rsidRDefault="00512915" w:rsidP="00512915">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27</w:t>
    </w:r>
  </w:p>
  <w:p w:rsidR="00512915" w:rsidRDefault="0051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A22" w:rsidRPr="00857A22" w:rsidRDefault="00857A22" w:rsidP="00512915">
    <w:pPr>
      <w:pStyle w:val="Header"/>
      <w:pBdr>
        <w:bottom w:val="single" w:sz="4" w:space="1" w:color="auto"/>
      </w:pBdr>
      <w:jc w:val="right"/>
      <w:rPr>
        <w:b/>
        <w:bCs/>
        <w:sz w:val="18"/>
        <w:szCs w:val="18"/>
      </w:rPr>
    </w:pPr>
    <w:bookmarkStart w:id="8" w:name="_Hlk26957474"/>
    <w:bookmarkStart w:id="9" w:name="_Hlk26957475"/>
    <w:r w:rsidRPr="00857A22">
      <w:rPr>
        <w:b/>
        <w:bCs/>
        <w:sz w:val="18"/>
        <w:szCs w:val="18"/>
        <w:lang w:val="fr-CH"/>
      </w:rPr>
      <w:t>ECE/TRANS/WP.29/2020/</w:t>
    </w:r>
    <w:bookmarkEnd w:id="8"/>
    <w:bookmarkEnd w:id="9"/>
    <w:r w:rsidR="007B4C01">
      <w:rPr>
        <w:b/>
        <w:bCs/>
        <w:sz w:val="18"/>
        <w:szCs w:val="18"/>
        <w:lang w:val="fr-CH"/>
      </w:rPr>
      <w:t>2</w:t>
    </w:r>
    <w:r w:rsidR="00512915">
      <w:rPr>
        <w:b/>
        <w:bCs/>
        <w:sz w:val="18"/>
        <w:szCs w:val="18"/>
        <w:lang w:val="fr-CH"/>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1873F5"/>
    <w:rsid w:val="00386354"/>
    <w:rsid w:val="00441ADB"/>
    <w:rsid w:val="00512915"/>
    <w:rsid w:val="00544B63"/>
    <w:rsid w:val="00603AA7"/>
    <w:rsid w:val="007B4C01"/>
    <w:rsid w:val="00825F57"/>
    <w:rsid w:val="00857A22"/>
    <w:rsid w:val="00870F04"/>
    <w:rsid w:val="009C6CFC"/>
    <w:rsid w:val="00A77FB8"/>
    <w:rsid w:val="00A90048"/>
    <w:rsid w:val="00AA42AC"/>
    <w:rsid w:val="00AA4F93"/>
    <w:rsid w:val="00AF652C"/>
    <w:rsid w:val="00B1710A"/>
    <w:rsid w:val="00C070AE"/>
    <w:rsid w:val="00E17DCA"/>
    <w:rsid w:val="00E31696"/>
    <w:rsid w:val="00EE3133"/>
    <w:rsid w:val="00F26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 w:type="paragraph" w:customStyle="1" w:styleId="para">
    <w:name w:val="para"/>
    <w:basedOn w:val="Normal"/>
    <w:link w:val="paraChar"/>
    <w:rsid w:val="00512915"/>
    <w:pPr>
      <w:spacing w:after="120"/>
      <w:ind w:left="2268" w:right="1134" w:hanging="1134"/>
      <w:jc w:val="both"/>
    </w:pPr>
    <w:rPr>
      <w:lang w:eastAsia="en-US"/>
    </w:rPr>
  </w:style>
  <w:style w:type="character" w:customStyle="1" w:styleId="paraChar">
    <w:name w:val="para Char"/>
    <w:link w:val="para"/>
    <w:rsid w:val="00512915"/>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9</cp:revision>
  <cp:lastPrinted>2019-12-16T14:52:00Z</cp:lastPrinted>
  <dcterms:created xsi:type="dcterms:W3CDTF">2019-12-12T13:36:00Z</dcterms:created>
  <dcterms:modified xsi:type="dcterms:W3CDTF">2019-12-19T10:32:00Z</dcterms:modified>
</cp:coreProperties>
</file>