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A14A4" w:rsidRPr="005A14A4" w14:paraId="46B00D32" w14:textId="77777777" w:rsidTr="00AA14CF">
        <w:trPr>
          <w:cantSplit/>
          <w:trHeight w:hRule="exact" w:val="851"/>
        </w:trPr>
        <w:tc>
          <w:tcPr>
            <w:tcW w:w="9781" w:type="dxa"/>
            <w:tcBorders>
              <w:bottom w:val="single" w:sz="4" w:space="0" w:color="auto"/>
            </w:tcBorders>
            <w:vAlign w:val="bottom"/>
          </w:tcPr>
          <w:p w14:paraId="3F053ADD" w14:textId="77777777" w:rsidR="005A14A4" w:rsidRPr="005A14A4" w:rsidRDefault="005A14A4" w:rsidP="005A14A4">
            <w:pPr>
              <w:suppressAutoHyphens/>
              <w:spacing w:after="0" w:line="240" w:lineRule="atLeast"/>
              <w:ind w:firstLine="284"/>
              <w:jc w:val="right"/>
              <w:rPr>
                <w:rFonts w:ascii="Times New Roman" w:eastAsia="Times New Roman" w:hAnsi="Times New Roman" w:cs="Times New Roman"/>
                <w:color w:val="000000"/>
                <w:spacing w:val="-3"/>
                <w:sz w:val="20"/>
                <w:szCs w:val="20"/>
              </w:rPr>
            </w:pPr>
            <w:r w:rsidRPr="005A14A4">
              <w:rPr>
                <w:rFonts w:ascii="Times New Roman" w:eastAsia="Times New Roman" w:hAnsi="Times New Roman" w:cs="Times New Roman"/>
                <w:b/>
                <w:color w:val="000000"/>
                <w:spacing w:val="-3"/>
                <w:sz w:val="40"/>
                <w:szCs w:val="40"/>
              </w:rPr>
              <w:t>INF.</w:t>
            </w:r>
            <w:r>
              <w:rPr>
                <w:rFonts w:ascii="Times New Roman" w:eastAsia="Times New Roman" w:hAnsi="Times New Roman" w:cs="Times New Roman"/>
                <w:b/>
                <w:color w:val="000000"/>
                <w:spacing w:val="-3"/>
                <w:sz w:val="40"/>
                <w:szCs w:val="40"/>
              </w:rPr>
              <w:t>4</w:t>
            </w:r>
          </w:p>
        </w:tc>
      </w:tr>
      <w:tr w:rsidR="005A14A4" w:rsidRPr="005A14A4" w14:paraId="6E43C3E9" w14:textId="77777777" w:rsidTr="00AA14CF">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5A14A4" w:rsidRPr="005C5E6C" w14:paraId="08D2756C" w14:textId="77777777" w:rsidTr="00AA14CF">
              <w:trPr>
                <w:cantSplit/>
                <w:trHeight w:val="2410"/>
              </w:trPr>
              <w:tc>
                <w:tcPr>
                  <w:tcW w:w="7230" w:type="dxa"/>
                </w:tcPr>
                <w:p w14:paraId="6AF719FE" w14:textId="77777777" w:rsidR="005A14A4" w:rsidRPr="005C5E6C" w:rsidRDefault="005A14A4" w:rsidP="005A14A4">
                  <w:pPr>
                    <w:suppressAutoHyphens/>
                    <w:spacing w:before="120" w:after="0" w:line="240" w:lineRule="atLeast"/>
                    <w:rPr>
                      <w:rFonts w:ascii="Times New Roman" w:eastAsia="Times New Roman" w:hAnsi="Times New Roman" w:cs="Times New Roman"/>
                      <w:b/>
                      <w:sz w:val="28"/>
                      <w:szCs w:val="28"/>
                    </w:rPr>
                  </w:pPr>
                  <w:r w:rsidRPr="005C5E6C">
                    <w:rPr>
                      <w:rFonts w:ascii="Times New Roman" w:eastAsia="Times New Roman" w:hAnsi="Times New Roman" w:cs="Times New Roman"/>
                      <w:b/>
                      <w:sz w:val="28"/>
                      <w:szCs w:val="28"/>
                    </w:rPr>
                    <w:t>Economic Commission for Europe</w:t>
                  </w:r>
                </w:p>
                <w:p w14:paraId="24AD1585" w14:textId="77777777" w:rsidR="005A14A4" w:rsidRPr="005C5E6C" w:rsidRDefault="005A14A4" w:rsidP="005A14A4">
                  <w:pPr>
                    <w:suppressAutoHyphens/>
                    <w:spacing w:before="120" w:after="0" w:line="240" w:lineRule="atLeast"/>
                    <w:rPr>
                      <w:rFonts w:ascii="Times New Roman" w:eastAsia="Times New Roman" w:hAnsi="Times New Roman" w:cs="Times New Roman"/>
                      <w:sz w:val="28"/>
                      <w:szCs w:val="28"/>
                    </w:rPr>
                  </w:pPr>
                  <w:r w:rsidRPr="005C5E6C">
                    <w:rPr>
                      <w:rFonts w:ascii="Times New Roman" w:eastAsia="Times New Roman" w:hAnsi="Times New Roman" w:cs="Times New Roman"/>
                      <w:sz w:val="28"/>
                      <w:szCs w:val="28"/>
                    </w:rPr>
                    <w:t>Inland Transport Committee</w:t>
                  </w:r>
                </w:p>
                <w:p w14:paraId="1F1F46B1" w14:textId="77777777" w:rsidR="005A14A4" w:rsidRPr="005C5E6C" w:rsidRDefault="005A14A4" w:rsidP="005A14A4">
                  <w:pPr>
                    <w:suppressAutoHyphens/>
                    <w:spacing w:before="120" w:after="0" w:line="240" w:lineRule="atLeast"/>
                    <w:rPr>
                      <w:rFonts w:ascii="Times New Roman" w:eastAsia="Times New Roman" w:hAnsi="Times New Roman" w:cs="Times New Roman"/>
                      <w:b/>
                      <w:sz w:val="24"/>
                      <w:szCs w:val="24"/>
                    </w:rPr>
                  </w:pPr>
                  <w:r w:rsidRPr="005C5E6C">
                    <w:rPr>
                      <w:rFonts w:ascii="Times New Roman" w:eastAsia="Times New Roman" w:hAnsi="Times New Roman" w:cs="Times New Roman"/>
                      <w:b/>
                      <w:sz w:val="24"/>
                      <w:szCs w:val="24"/>
                    </w:rPr>
                    <w:t>Working Party on the Transport of Perishable Foodstuffs</w:t>
                  </w:r>
                </w:p>
                <w:p w14:paraId="0DE7B0B2" w14:textId="77777777" w:rsidR="005A14A4" w:rsidRPr="005C5E6C" w:rsidRDefault="005A14A4" w:rsidP="005A14A4">
                  <w:pPr>
                    <w:suppressAutoHyphens/>
                    <w:spacing w:before="120" w:after="0" w:line="240" w:lineRule="atLeast"/>
                    <w:rPr>
                      <w:rFonts w:ascii="Times New Roman" w:eastAsia="Times New Roman" w:hAnsi="Times New Roman" w:cs="Times New Roman"/>
                      <w:b/>
                      <w:sz w:val="20"/>
                      <w:szCs w:val="20"/>
                    </w:rPr>
                  </w:pPr>
                  <w:r w:rsidRPr="005C5E6C">
                    <w:rPr>
                      <w:rFonts w:ascii="Times New Roman" w:eastAsia="Times New Roman" w:hAnsi="Times New Roman" w:cs="Times New Roman"/>
                      <w:b/>
                      <w:bCs/>
                      <w:sz w:val="20"/>
                      <w:szCs w:val="20"/>
                    </w:rPr>
                    <w:t xml:space="preserve">Seventy-sixth </w:t>
                  </w:r>
                  <w:r w:rsidRPr="005C5E6C">
                    <w:rPr>
                      <w:rFonts w:ascii="Times New Roman" w:eastAsia="Times New Roman" w:hAnsi="Times New Roman" w:cs="Times New Roman"/>
                      <w:b/>
                      <w:sz w:val="20"/>
                      <w:szCs w:val="20"/>
                    </w:rPr>
                    <w:t>session</w:t>
                  </w:r>
                </w:p>
                <w:p w14:paraId="0C725F94" w14:textId="77777777" w:rsidR="005A14A4" w:rsidRPr="005C5E6C" w:rsidRDefault="005A14A4" w:rsidP="005A14A4">
                  <w:pPr>
                    <w:suppressAutoHyphens/>
                    <w:spacing w:after="0" w:line="240" w:lineRule="atLeast"/>
                    <w:rPr>
                      <w:rFonts w:ascii="Times New Roman" w:eastAsia="Times New Roman" w:hAnsi="Times New Roman" w:cs="Times New Roman"/>
                      <w:sz w:val="20"/>
                      <w:szCs w:val="20"/>
                    </w:rPr>
                  </w:pPr>
                  <w:r w:rsidRPr="005C5E6C">
                    <w:rPr>
                      <w:rFonts w:ascii="Times New Roman" w:eastAsia="Times New Roman" w:hAnsi="Times New Roman" w:cs="Times New Roman"/>
                      <w:sz w:val="20"/>
                      <w:szCs w:val="20"/>
                    </w:rPr>
                    <w:t>Geneva, 13-16 October 2020</w:t>
                  </w:r>
                </w:p>
                <w:p w14:paraId="1AC96C1D" w14:textId="77777777" w:rsidR="005A14A4" w:rsidRPr="005C5E6C" w:rsidRDefault="005A14A4" w:rsidP="005A14A4">
                  <w:pPr>
                    <w:suppressAutoHyphens/>
                    <w:spacing w:after="0" w:line="240" w:lineRule="atLeast"/>
                    <w:rPr>
                      <w:rFonts w:ascii="Times New Roman" w:eastAsia="Times New Roman" w:hAnsi="Times New Roman" w:cs="Times New Roman"/>
                      <w:sz w:val="20"/>
                      <w:szCs w:val="20"/>
                    </w:rPr>
                  </w:pPr>
                  <w:r w:rsidRPr="005C5E6C">
                    <w:rPr>
                      <w:rFonts w:ascii="Times New Roman" w:eastAsia="Times New Roman" w:hAnsi="Times New Roman" w:cs="Times New Roman"/>
                      <w:sz w:val="20"/>
                      <w:szCs w:val="20"/>
                    </w:rPr>
                    <w:t>Item 5 (f) of the provisional agenda</w:t>
                  </w:r>
                </w:p>
                <w:p w14:paraId="3C45429E" w14:textId="77777777" w:rsidR="005A14A4" w:rsidRPr="005C5E6C" w:rsidRDefault="005A14A4" w:rsidP="005A14A4">
                  <w:pPr>
                    <w:suppressAutoHyphens/>
                    <w:spacing w:after="0" w:line="240" w:lineRule="atLeast"/>
                    <w:rPr>
                      <w:rFonts w:ascii="Times New Roman" w:eastAsia="Times New Roman" w:hAnsi="Times New Roman" w:cs="Times New Roman"/>
                      <w:b/>
                      <w:sz w:val="20"/>
                      <w:szCs w:val="20"/>
                    </w:rPr>
                  </w:pPr>
                  <w:r w:rsidRPr="005C5E6C">
                    <w:rPr>
                      <w:rFonts w:ascii="Times New Roman" w:eastAsia="Times New Roman" w:hAnsi="Times New Roman" w:cs="Times New Roman"/>
                      <w:b/>
                      <w:sz w:val="20"/>
                      <w:szCs w:val="20"/>
                    </w:rPr>
                    <w:t xml:space="preserve">Status and implementation of the Agreement </w:t>
                  </w:r>
                  <w:r w:rsidRPr="005C5E6C">
                    <w:rPr>
                      <w:rFonts w:ascii="Times New Roman" w:eastAsia="Times New Roman" w:hAnsi="Times New Roman" w:cs="Times New Roman"/>
                      <w:b/>
                      <w:sz w:val="20"/>
                      <w:szCs w:val="20"/>
                    </w:rPr>
                    <w:br/>
                    <w:t xml:space="preserve">on the International Carriage of Perishable Foodstuffs </w:t>
                  </w:r>
                  <w:r w:rsidRPr="005C5E6C">
                    <w:rPr>
                      <w:rFonts w:ascii="Times New Roman" w:eastAsia="Times New Roman" w:hAnsi="Times New Roman" w:cs="Times New Roman"/>
                      <w:b/>
                      <w:sz w:val="20"/>
                      <w:szCs w:val="20"/>
                    </w:rPr>
                    <w:br/>
                    <w:t>and on the Special Equipment to be Used for such Carriage (ATP)</w:t>
                  </w:r>
                </w:p>
                <w:p w14:paraId="48197613" w14:textId="77777777" w:rsidR="005A14A4" w:rsidRPr="005C5E6C" w:rsidRDefault="005A14A4" w:rsidP="005A14A4">
                  <w:pPr>
                    <w:suppressAutoHyphens/>
                    <w:spacing w:after="0" w:line="240" w:lineRule="atLeast"/>
                    <w:rPr>
                      <w:rFonts w:ascii="Times New Roman" w:eastAsia="Times New Roman" w:hAnsi="Times New Roman" w:cs="Times New Roman"/>
                      <w:b/>
                      <w:sz w:val="20"/>
                      <w:szCs w:val="20"/>
                    </w:rPr>
                  </w:pPr>
                  <w:r w:rsidRPr="005C5E6C">
                    <w:rPr>
                      <w:rFonts w:ascii="Times New Roman" w:eastAsia="Times New Roman" w:hAnsi="Times New Roman" w:cs="Times New Roman"/>
                      <w:b/>
                      <w:sz w:val="20"/>
                      <w:szCs w:val="20"/>
                    </w:rPr>
                    <w:t>Interpretation of ATP</w:t>
                  </w:r>
                </w:p>
              </w:tc>
              <w:tc>
                <w:tcPr>
                  <w:tcW w:w="2409" w:type="dxa"/>
                </w:tcPr>
                <w:p w14:paraId="13D3861B" w14:textId="77777777" w:rsidR="005A14A4" w:rsidRPr="005C5E6C" w:rsidRDefault="005A14A4" w:rsidP="005A14A4">
                  <w:pPr>
                    <w:suppressAutoHyphens/>
                    <w:spacing w:after="0" w:line="240" w:lineRule="atLeast"/>
                    <w:rPr>
                      <w:rFonts w:ascii="Times New Roman" w:eastAsia="Times New Roman" w:hAnsi="Times New Roman" w:cs="Times New Roman"/>
                      <w:b/>
                      <w:sz w:val="20"/>
                      <w:szCs w:val="20"/>
                    </w:rPr>
                  </w:pPr>
                </w:p>
                <w:p w14:paraId="34CC6D10" w14:textId="77777777" w:rsidR="005A14A4" w:rsidRPr="005C5E6C" w:rsidRDefault="005A14A4" w:rsidP="005A14A4">
                  <w:pPr>
                    <w:suppressAutoHyphens/>
                    <w:spacing w:after="0" w:line="240" w:lineRule="atLeast"/>
                    <w:rPr>
                      <w:rFonts w:ascii="Times New Roman" w:eastAsia="Times New Roman" w:hAnsi="Times New Roman" w:cs="Times New Roman"/>
                      <w:b/>
                      <w:sz w:val="20"/>
                      <w:szCs w:val="20"/>
                    </w:rPr>
                  </w:pPr>
                </w:p>
                <w:p w14:paraId="2180BB95" w14:textId="77777777" w:rsidR="005A14A4" w:rsidRPr="005C5E6C" w:rsidRDefault="005A14A4" w:rsidP="005A14A4">
                  <w:pPr>
                    <w:suppressAutoHyphens/>
                    <w:spacing w:after="120" w:line="240" w:lineRule="atLeast"/>
                    <w:rPr>
                      <w:rFonts w:ascii="Times New Roman" w:eastAsia="Times New Roman" w:hAnsi="Times New Roman" w:cs="Times New Roman"/>
                      <w:bCs/>
                      <w:sz w:val="20"/>
                      <w:szCs w:val="20"/>
                    </w:rPr>
                  </w:pPr>
                  <w:r w:rsidRPr="005C5E6C">
                    <w:rPr>
                      <w:rFonts w:ascii="Times New Roman" w:eastAsia="Times New Roman" w:hAnsi="Times New Roman" w:cs="Times New Roman"/>
                      <w:bCs/>
                      <w:sz w:val="20"/>
                      <w:szCs w:val="20"/>
                    </w:rPr>
                    <w:t>25 September 2020</w:t>
                  </w:r>
                </w:p>
                <w:p w14:paraId="62A90284" w14:textId="77777777" w:rsidR="005A14A4" w:rsidRPr="005C5E6C" w:rsidRDefault="005A14A4" w:rsidP="005A14A4">
                  <w:pPr>
                    <w:suppressAutoHyphens/>
                    <w:spacing w:after="0" w:line="240" w:lineRule="atLeast"/>
                    <w:rPr>
                      <w:rFonts w:ascii="Times New Roman" w:eastAsia="Times New Roman" w:hAnsi="Times New Roman" w:cs="Times New Roman"/>
                      <w:bCs/>
                      <w:sz w:val="20"/>
                      <w:szCs w:val="20"/>
                    </w:rPr>
                  </w:pPr>
                  <w:r w:rsidRPr="005C5E6C">
                    <w:rPr>
                      <w:rFonts w:ascii="Times New Roman" w:eastAsia="Times New Roman" w:hAnsi="Times New Roman" w:cs="Times New Roman"/>
                      <w:bCs/>
                      <w:sz w:val="20"/>
                      <w:szCs w:val="20"/>
                    </w:rPr>
                    <w:t>English</w:t>
                  </w:r>
                </w:p>
              </w:tc>
              <w:bookmarkStart w:id="0" w:name="_GoBack"/>
              <w:bookmarkEnd w:id="0"/>
            </w:tr>
          </w:tbl>
          <w:p w14:paraId="0CEF6031" w14:textId="77777777" w:rsidR="005A14A4" w:rsidRPr="005A14A4" w:rsidRDefault="005A14A4" w:rsidP="005A14A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14:paraId="5649F4DE" w14:textId="77777777" w:rsidR="005A14A4" w:rsidRPr="005A14A4" w:rsidRDefault="005A14A4" w:rsidP="005A14A4">
            <w:pPr>
              <w:suppressAutoHyphens/>
              <w:spacing w:before="120" w:after="0" w:line="240" w:lineRule="atLeast"/>
              <w:ind w:right="425" w:firstLine="284"/>
              <w:rPr>
                <w:rFonts w:ascii="Times New Roman" w:eastAsia="Times New Roman" w:hAnsi="Times New Roman" w:cs="Times New Roman"/>
                <w:color w:val="000000"/>
                <w:spacing w:val="-3"/>
                <w:sz w:val="20"/>
                <w:szCs w:val="20"/>
              </w:rPr>
            </w:pPr>
          </w:p>
        </w:tc>
      </w:tr>
    </w:tbl>
    <w:p w14:paraId="38BFA4A0" w14:textId="77777777" w:rsidR="00FE2F1D" w:rsidRPr="00785049" w:rsidRDefault="005034BA" w:rsidP="005034BA">
      <w:pPr>
        <w:pStyle w:val="HChG"/>
        <w:rPr>
          <w:lang w:val="en-US"/>
        </w:rPr>
      </w:pPr>
      <w:r>
        <w:rPr>
          <w:lang w:val="fr-CH"/>
        </w:rPr>
        <w:tab/>
      </w:r>
      <w:r>
        <w:rPr>
          <w:lang w:val="fr-CH"/>
        </w:rPr>
        <w:tab/>
      </w:r>
      <w:r w:rsidR="00FE2F1D">
        <w:rPr>
          <w:lang w:val="fr-CH"/>
        </w:rPr>
        <w:t xml:space="preserve">The </w:t>
      </w:r>
      <w:proofErr w:type="spellStart"/>
      <w:r w:rsidR="00FE2F1D">
        <w:rPr>
          <w:lang w:val="fr-CH"/>
        </w:rPr>
        <w:t>explanations</w:t>
      </w:r>
      <w:proofErr w:type="spellEnd"/>
      <w:r w:rsidR="00FE2F1D">
        <w:rPr>
          <w:lang w:val="fr-CH"/>
        </w:rPr>
        <w:t xml:space="preserve"> </w:t>
      </w:r>
      <w:proofErr w:type="spellStart"/>
      <w:r w:rsidR="00FE2F1D">
        <w:rPr>
          <w:lang w:val="fr-CH"/>
        </w:rPr>
        <w:t>concerning</w:t>
      </w:r>
      <w:proofErr w:type="spellEnd"/>
      <w:r w:rsidR="00FE2F1D">
        <w:rPr>
          <w:lang w:val="fr-CH"/>
        </w:rPr>
        <w:t xml:space="preserve"> the </w:t>
      </w:r>
      <w:proofErr w:type="spellStart"/>
      <w:r w:rsidR="00FE2F1D">
        <w:rPr>
          <w:lang w:val="fr-CH"/>
        </w:rPr>
        <w:t>procedure</w:t>
      </w:r>
      <w:proofErr w:type="spellEnd"/>
      <w:r w:rsidR="00FE2F1D">
        <w:rPr>
          <w:lang w:val="fr-CH"/>
        </w:rPr>
        <w:t xml:space="preserve"> of checking</w:t>
      </w:r>
      <w:r w:rsidR="00187D43">
        <w:rPr>
          <w:lang w:val="fr-CH"/>
        </w:rPr>
        <w:t xml:space="preserve"> a refrigirated equipment in </w:t>
      </w:r>
      <w:r w:rsidR="00785049">
        <w:rPr>
          <w:lang w:val="en-US"/>
        </w:rPr>
        <w:t xml:space="preserve">use </w:t>
      </w:r>
      <w:r w:rsidR="00785049" w:rsidRPr="005034BA">
        <w:rPr>
          <w:lang w:val="en"/>
        </w:rPr>
        <w:t>manufactured</w:t>
      </w:r>
      <w:r w:rsidR="00785049">
        <w:rPr>
          <w:lang w:val="en-US"/>
        </w:rPr>
        <w:t xml:space="preserve"> after 2</w:t>
      </w:r>
      <w:r w:rsidR="00785049" w:rsidRPr="00785049">
        <w:rPr>
          <w:vertAlign w:val="superscript"/>
          <w:lang w:val="en-US"/>
        </w:rPr>
        <w:t>nd</w:t>
      </w:r>
      <w:r w:rsidR="00785049">
        <w:rPr>
          <w:lang w:val="en-US"/>
        </w:rPr>
        <w:t xml:space="preserve"> January 2012</w:t>
      </w:r>
    </w:p>
    <w:p w14:paraId="2B1B6604" w14:textId="77777777" w:rsidR="00FE2F1D" w:rsidRPr="00785049" w:rsidRDefault="005034BA" w:rsidP="005034BA">
      <w:pPr>
        <w:pStyle w:val="H1G"/>
        <w:rPr>
          <w:szCs w:val="28"/>
          <w:lang w:val="en-US"/>
        </w:rPr>
      </w:pPr>
      <w:r>
        <w:rPr>
          <w:lang w:val="fr-CH"/>
        </w:rPr>
        <w:tab/>
      </w:r>
      <w:r>
        <w:rPr>
          <w:lang w:val="fr-CH"/>
        </w:rPr>
        <w:tab/>
      </w:r>
      <w:proofErr w:type="spellStart"/>
      <w:r>
        <w:rPr>
          <w:lang w:val="fr-CH"/>
        </w:rPr>
        <w:t>Submitted</w:t>
      </w:r>
      <w:proofErr w:type="spellEnd"/>
      <w:r w:rsidR="00785049">
        <w:rPr>
          <w:lang w:val="fr-CH"/>
        </w:rPr>
        <w:t xml:space="preserve"> by </w:t>
      </w:r>
      <w:r>
        <w:rPr>
          <w:lang w:val="fr-CH"/>
        </w:rPr>
        <w:t xml:space="preserve">the </w:t>
      </w:r>
      <w:proofErr w:type="spellStart"/>
      <w:r w:rsidR="00785049">
        <w:rPr>
          <w:lang w:val="fr-CH"/>
        </w:rPr>
        <w:t>Russian</w:t>
      </w:r>
      <w:proofErr w:type="spellEnd"/>
      <w:r w:rsidR="00785049">
        <w:rPr>
          <w:lang w:val="fr-CH"/>
        </w:rPr>
        <w:t xml:space="preserve"> </w:t>
      </w:r>
      <w:r w:rsidR="00785049" w:rsidRPr="005034BA">
        <w:rPr>
          <w:lang w:val="en" w:eastAsia="ja-JP"/>
        </w:rPr>
        <w:t>Federation</w:t>
      </w:r>
      <w:r w:rsidR="00FE2F1D" w:rsidRPr="00785049">
        <w:rPr>
          <w:szCs w:val="28"/>
          <w:lang w:val="en-US"/>
        </w:rPr>
        <w:t xml:space="preserve"> </w:t>
      </w:r>
    </w:p>
    <w:p w14:paraId="552583C4" w14:textId="77777777" w:rsidR="00FE2F1D" w:rsidRPr="00785049" w:rsidRDefault="00CD14B7" w:rsidP="00CD14B7">
      <w:pPr>
        <w:pStyle w:val="SingleTxtG"/>
        <w:tabs>
          <w:tab w:val="left" w:pos="1701"/>
        </w:tabs>
        <w:spacing w:before="120"/>
        <w:rPr>
          <w:lang w:val="en-US" w:eastAsia="ru-RU"/>
        </w:rPr>
      </w:pPr>
      <w:r>
        <w:rPr>
          <w:lang w:val="en-US" w:eastAsia="ru-RU"/>
        </w:rPr>
        <w:t>1.</w:t>
      </w:r>
      <w:r>
        <w:rPr>
          <w:lang w:val="en-US" w:eastAsia="ru-RU"/>
        </w:rPr>
        <w:tab/>
      </w:r>
      <w:r w:rsidR="00785049">
        <w:rPr>
          <w:lang w:val="en-US" w:eastAsia="ru-RU"/>
        </w:rPr>
        <w:t>In accordance with p</w:t>
      </w:r>
      <w:r w:rsidR="00FE2F1D" w:rsidRPr="00785049">
        <w:rPr>
          <w:lang w:val="en-US" w:eastAsia="ru-RU"/>
        </w:rPr>
        <w:t xml:space="preserve">. 6.2. </w:t>
      </w:r>
      <w:r w:rsidR="00CA35F4" w:rsidRPr="00CA35F4">
        <w:rPr>
          <w:lang w:val="en-US" w:eastAsia="ru-RU"/>
        </w:rPr>
        <w:t>o</w:t>
      </w:r>
      <w:r w:rsidR="00CA35F4">
        <w:rPr>
          <w:lang w:val="en-US" w:eastAsia="ru-RU"/>
        </w:rPr>
        <w:t xml:space="preserve">f the </w:t>
      </w:r>
      <w:r w:rsidR="00785049">
        <w:rPr>
          <w:lang w:val="en-US" w:eastAsia="ru-RU"/>
        </w:rPr>
        <w:t xml:space="preserve">Appendix </w:t>
      </w:r>
      <w:r w:rsidR="00FE2F1D" w:rsidRPr="00785049">
        <w:rPr>
          <w:lang w:val="en-US" w:eastAsia="ru-RU"/>
        </w:rPr>
        <w:t xml:space="preserve">2 </w:t>
      </w:r>
      <w:r w:rsidR="00785049">
        <w:rPr>
          <w:lang w:val="en-US" w:eastAsia="ru-RU"/>
        </w:rPr>
        <w:t>to Annex 1</w:t>
      </w:r>
      <w:r w:rsidR="00FE2F1D" w:rsidRPr="00785049">
        <w:rPr>
          <w:lang w:val="en-US" w:eastAsia="ru-RU"/>
        </w:rPr>
        <w:t xml:space="preserve"> </w:t>
      </w:r>
      <w:r w:rsidR="00785049">
        <w:rPr>
          <w:lang w:val="en-US" w:eastAsia="ru-RU"/>
        </w:rPr>
        <w:t>of the ATP</w:t>
      </w:r>
      <w:r w:rsidR="00FE2F1D" w:rsidRPr="00785049">
        <w:rPr>
          <w:lang w:val="en-US" w:eastAsia="ru-RU"/>
        </w:rPr>
        <w:t>:</w:t>
      </w:r>
    </w:p>
    <w:p w14:paraId="1B3CC7A7" w14:textId="77777777" w:rsidR="00CA35F4" w:rsidRDefault="00CD14B7" w:rsidP="00CD14B7">
      <w:pPr>
        <w:pStyle w:val="SingleTxtG"/>
        <w:tabs>
          <w:tab w:val="left" w:pos="1701"/>
        </w:tabs>
        <w:rPr>
          <w:sz w:val="24"/>
          <w:szCs w:val="24"/>
          <w:lang w:val="en-US"/>
        </w:rPr>
      </w:pPr>
      <w:r>
        <w:t>2.</w:t>
      </w:r>
      <w:r>
        <w:tab/>
      </w:r>
      <w:r w:rsidR="00785049" w:rsidRPr="005A14A4">
        <w:t>The check is processed targeting to reveal, if at the ambient temperature +15</w:t>
      </w:r>
      <w:r>
        <w:rPr>
          <w:rFonts w:eastAsia="Symbol"/>
        </w:rPr>
        <w:t>°</w:t>
      </w:r>
      <w:r w:rsidR="00785049" w:rsidRPr="005A14A4">
        <w:t xml:space="preserve">С the temperature inside the empty vehicle body can be </w:t>
      </w:r>
      <w:r w:rsidR="00CA35F4" w:rsidRPr="005A14A4">
        <w:t>lowered within a maximum period (in minutes) to the temperature for the corresponding class of a vehicle as assigned in the following table:</w:t>
      </w:r>
    </w:p>
    <w:p w14:paraId="05C41628" w14:textId="77777777" w:rsidR="00CA35F4" w:rsidRPr="001D1136" w:rsidRDefault="00CA35F4" w:rsidP="00CA35F4">
      <w:pPr>
        <w:spacing w:after="0" w:line="200" w:lineRule="exact"/>
        <w:rPr>
          <w:sz w:val="20"/>
          <w:szCs w:val="20"/>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1711"/>
        <w:gridCol w:w="445"/>
        <w:gridCol w:w="448"/>
        <w:gridCol w:w="445"/>
        <w:gridCol w:w="448"/>
        <w:gridCol w:w="446"/>
        <w:gridCol w:w="446"/>
        <w:gridCol w:w="446"/>
        <w:gridCol w:w="446"/>
        <w:gridCol w:w="446"/>
        <w:gridCol w:w="446"/>
        <w:gridCol w:w="446"/>
        <w:gridCol w:w="448"/>
        <w:gridCol w:w="445"/>
        <w:gridCol w:w="448"/>
        <w:gridCol w:w="445"/>
        <w:gridCol w:w="448"/>
        <w:gridCol w:w="556"/>
      </w:tblGrid>
      <w:tr w:rsidR="00CA35F4" w:rsidRPr="005A14A4" w14:paraId="0283EADC" w14:textId="77777777" w:rsidTr="00F25B97">
        <w:trPr>
          <w:trHeight w:hRule="exact" w:val="562"/>
        </w:trPr>
        <w:tc>
          <w:tcPr>
            <w:tcW w:w="1711" w:type="dxa"/>
            <w:tcBorders>
              <w:top w:val="single" w:sz="4" w:space="0" w:color="000000"/>
              <w:left w:val="single" w:sz="4" w:space="0" w:color="000000"/>
              <w:bottom w:val="single" w:sz="4" w:space="0" w:color="000000"/>
              <w:right w:val="single" w:sz="4" w:space="0" w:color="000000"/>
            </w:tcBorders>
          </w:tcPr>
          <w:p w14:paraId="4E92B0C1" w14:textId="77777777" w:rsidR="00CA35F4" w:rsidRPr="005A14A4" w:rsidRDefault="00CA35F4" w:rsidP="00F25B97">
            <w:pPr>
              <w:spacing w:after="0" w:line="272" w:lineRule="exact"/>
              <w:ind w:left="22" w:right="-20"/>
              <w:rPr>
                <w:rFonts w:ascii="Times New Roman" w:eastAsia="Times New Roman" w:hAnsi="Times New Roman" w:cs="Times New Roman"/>
                <w:b/>
                <w:sz w:val="20"/>
                <w:szCs w:val="20"/>
              </w:rPr>
            </w:pPr>
            <w:proofErr w:type="spellStart"/>
            <w:r w:rsidRPr="005A14A4">
              <w:rPr>
                <w:rFonts w:ascii="Times New Roman" w:eastAsia="Times New Roman" w:hAnsi="Times New Roman" w:cs="Times New Roman"/>
                <w:b/>
                <w:spacing w:val="-1"/>
                <w:sz w:val="20"/>
                <w:szCs w:val="20"/>
              </w:rPr>
              <w:t>Нар</w:t>
            </w:r>
            <w:r w:rsidRPr="005A14A4">
              <w:rPr>
                <w:rFonts w:ascii="Times New Roman" w:eastAsia="Times New Roman" w:hAnsi="Times New Roman" w:cs="Times New Roman"/>
                <w:b/>
                <w:spacing w:val="2"/>
                <w:sz w:val="20"/>
                <w:szCs w:val="20"/>
              </w:rPr>
              <w:t>у</w:t>
            </w:r>
            <w:r w:rsidRPr="005A14A4">
              <w:rPr>
                <w:rFonts w:ascii="Times New Roman" w:eastAsia="Times New Roman" w:hAnsi="Times New Roman" w:cs="Times New Roman"/>
                <w:b/>
                <w:spacing w:val="-1"/>
                <w:sz w:val="20"/>
                <w:szCs w:val="20"/>
              </w:rPr>
              <w:t>жная</w:t>
            </w:r>
            <w:proofErr w:type="spellEnd"/>
          </w:p>
          <w:p w14:paraId="6C93CD1A" w14:textId="77777777" w:rsidR="00CA35F4" w:rsidRPr="005A14A4" w:rsidRDefault="00CA35F4" w:rsidP="00F25B97">
            <w:pPr>
              <w:spacing w:after="0" w:line="240" w:lineRule="auto"/>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b/>
                <w:sz w:val="20"/>
                <w:szCs w:val="20"/>
              </w:rPr>
              <w:t>темпера</w:t>
            </w:r>
            <w:r w:rsidRPr="005A14A4">
              <w:rPr>
                <w:rFonts w:ascii="Times New Roman" w:eastAsia="Times New Roman" w:hAnsi="Times New Roman" w:cs="Times New Roman"/>
                <w:b/>
                <w:spacing w:val="-2"/>
                <w:sz w:val="20"/>
                <w:szCs w:val="20"/>
              </w:rPr>
              <w:t>т</w:t>
            </w:r>
            <w:r w:rsidRPr="005A14A4">
              <w:rPr>
                <w:rFonts w:ascii="Times New Roman" w:eastAsia="Times New Roman" w:hAnsi="Times New Roman" w:cs="Times New Roman"/>
                <w:b/>
                <w:spacing w:val="2"/>
                <w:sz w:val="20"/>
                <w:szCs w:val="20"/>
              </w:rPr>
              <w:t>у</w:t>
            </w:r>
            <w:r w:rsidRPr="005A14A4">
              <w:rPr>
                <w:rFonts w:ascii="Times New Roman" w:eastAsia="Times New Roman" w:hAnsi="Times New Roman" w:cs="Times New Roman"/>
                <w:b/>
                <w:spacing w:val="-1"/>
                <w:sz w:val="20"/>
                <w:szCs w:val="20"/>
              </w:rPr>
              <w:t>р</w:t>
            </w:r>
            <w:r w:rsidRPr="005A14A4">
              <w:rPr>
                <w:rFonts w:ascii="Times New Roman" w:eastAsia="Times New Roman" w:hAnsi="Times New Roman" w:cs="Times New Roman"/>
                <w:b/>
                <w:sz w:val="20"/>
                <w:szCs w:val="20"/>
              </w:rPr>
              <w:t>а</w:t>
            </w:r>
            <w:proofErr w:type="spellEnd"/>
          </w:p>
        </w:tc>
        <w:tc>
          <w:tcPr>
            <w:tcW w:w="445" w:type="dxa"/>
            <w:tcBorders>
              <w:top w:val="single" w:sz="4" w:space="0" w:color="000000"/>
              <w:left w:val="single" w:sz="4" w:space="0" w:color="000000"/>
              <w:bottom w:val="single" w:sz="4" w:space="0" w:color="000000"/>
              <w:right w:val="single" w:sz="4" w:space="0" w:color="000000"/>
            </w:tcBorders>
          </w:tcPr>
          <w:p w14:paraId="7D305B59" w14:textId="77777777" w:rsidR="00CA35F4" w:rsidRPr="005A14A4" w:rsidRDefault="00CA35F4" w:rsidP="00F25B97">
            <w:pPr>
              <w:spacing w:before="6" w:after="0" w:line="100" w:lineRule="exact"/>
              <w:rPr>
                <w:sz w:val="20"/>
                <w:szCs w:val="20"/>
              </w:rPr>
            </w:pPr>
          </w:p>
          <w:p w14:paraId="432D5DBE" w14:textId="77777777" w:rsidR="00CA35F4" w:rsidRPr="005A14A4" w:rsidRDefault="00CA35F4" w:rsidP="00F25B97">
            <w:pPr>
              <w:spacing w:after="0" w:line="240" w:lineRule="auto"/>
              <w:ind w:left="96"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30</w:t>
            </w:r>
          </w:p>
        </w:tc>
        <w:tc>
          <w:tcPr>
            <w:tcW w:w="448" w:type="dxa"/>
            <w:tcBorders>
              <w:top w:val="single" w:sz="4" w:space="0" w:color="000000"/>
              <w:left w:val="single" w:sz="4" w:space="0" w:color="000000"/>
              <w:bottom w:val="single" w:sz="4" w:space="0" w:color="000000"/>
              <w:right w:val="single" w:sz="4" w:space="0" w:color="000000"/>
            </w:tcBorders>
          </w:tcPr>
          <w:p w14:paraId="3E7217F7" w14:textId="77777777" w:rsidR="00CA35F4" w:rsidRPr="005A14A4" w:rsidRDefault="00CA35F4" w:rsidP="00F25B97">
            <w:pPr>
              <w:spacing w:before="6" w:after="0" w:line="100" w:lineRule="exact"/>
              <w:rPr>
                <w:sz w:val="20"/>
                <w:szCs w:val="20"/>
              </w:rPr>
            </w:pPr>
          </w:p>
          <w:p w14:paraId="3A0E45AF" w14:textId="77777777" w:rsidR="00CA35F4" w:rsidRPr="005A14A4" w:rsidRDefault="00CA35F4" w:rsidP="00F25B97">
            <w:pPr>
              <w:spacing w:after="0" w:line="240" w:lineRule="auto"/>
              <w:ind w:left="99"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29</w:t>
            </w:r>
          </w:p>
        </w:tc>
        <w:tc>
          <w:tcPr>
            <w:tcW w:w="445" w:type="dxa"/>
            <w:tcBorders>
              <w:top w:val="single" w:sz="4" w:space="0" w:color="000000"/>
              <w:left w:val="single" w:sz="4" w:space="0" w:color="000000"/>
              <w:bottom w:val="single" w:sz="4" w:space="0" w:color="000000"/>
              <w:right w:val="single" w:sz="4" w:space="0" w:color="000000"/>
            </w:tcBorders>
          </w:tcPr>
          <w:p w14:paraId="50941414" w14:textId="77777777" w:rsidR="00CA35F4" w:rsidRPr="005A14A4" w:rsidRDefault="00CA35F4" w:rsidP="00F25B97">
            <w:pPr>
              <w:spacing w:before="6" w:after="0" w:line="100" w:lineRule="exact"/>
              <w:rPr>
                <w:sz w:val="20"/>
                <w:szCs w:val="20"/>
              </w:rPr>
            </w:pPr>
          </w:p>
          <w:p w14:paraId="5BD3245F" w14:textId="77777777" w:rsidR="00CA35F4" w:rsidRPr="005A14A4" w:rsidRDefault="00CA35F4" w:rsidP="00F25B97">
            <w:pPr>
              <w:spacing w:after="0" w:line="240" w:lineRule="auto"/>
              <w:ind w:left="96"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28</w:t>
            </w:r>
          </w:p>
        </w:tc>
        <w:tc>
          <w:tcPr>
            <w:tcW w:w="448" w:type="dxa"/>
            <w:tcBorders>
              <w:top w:val="single" w:sz="4" w:space="0" w:color="000000"/>
              <w:left w:val="single" w:sz="4" w:space="0" w:color="000000"/>
              <w:bottom w:val="single" w:sz="4" w:space="0" w:color="000000"/>
              <w:right w:val="single" w:sz="4" w:space="0" w:color="000000"/>
            </w:tcBorders>
          </w:tcPr>
          <w:p w14:paraId="4E2739EF" w14:textId="77777777" w:rsidR="00CA35F4" w:rsidRPr="005A14A4" w:rsidRDefault="00CA35F4" w:rsidP="00F25B97">
            <w:pPr>
              <w:spacing w:before="6" w:after="0" w:line="100" w:lineRule="exact"/>
              <w:rPr>
                <w:sz w:val="20"/>
                <w:szCs w:val="20"/>
              </w:rPr>
            </w:pPr>
          </w:p>
          <w:p w14:paraId="51E67577" w14:textId="77777777" w:rsidR="00CA35F4" w:rsidRPr="005A14A4" w:rsidRDefault="00CA35F4" w:rsidP="00F25B97">
            <w:pPr>
              <w:spacing w:after="0" w:line="240" w:lineRule="auto"/>
              <w:ind w:left="99"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27</w:t>
            </w:r>
          </w:p>
        </w:tc>
        <w:tc>
          <w:tcPr>
            <w:tcW w:w="446" w:type="dxa"/>
            <w:tcBorders>
              <w:top w:val="single" w:sz="4" w:space="0" w:color="000000"/>
              <w:left w:val="single" w:sz="4" w:space="0" w:color="000000"/>
              <w:bottom w:val="single" w:sz="4" w:space="0" w:color="000000"/>
              <w:right w:val="single" w:sz="4" w:space="0" w:color="000000"/>
            </w:tcBorders>
          </w:tcPr>
          <w:p w14:paraId="113548CD" w14:textId="77777777" w:rsidR="00CA35F4" w:rsidRPr="005A14A4" w:rsidRDefault="00CA35F4" w:rsidP="00F25B97">
            <w:pPr>
              <w:spacing w:before="6" w:after="0" w:line="100" w:lineRule="exact"/>
              <w:rPr>
                <w:sz w:val="20"/>
                <w:szCs w:val="20"/>
              </w:rPr>
            </w:pPr>
          </w:p>
          <w:p w14:paraId="44368989" w14:textId="77777777" w:rsidR="00CA35F4" w:rsidRPr="005A14A4" w:rsidRDefault="00CA35F4" w:rsidP="00F25B97">
            <w:pPr>
              <w:spacing w:after="0" w:line="240" w:lineRule="auto"/>
              <w:ind w:left="96"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26</w:t>
            </w:r>
          </w:p>
        </w:tc>
        <w:tc>
          <w:tcPr>
            <w:tcW w:w="446" w:type="dxa"/>
            <w:tcBorders>
              <w:top w:val="single" w:sz="4" w:space="0" w:color="000000"/>
              <w:left w:val="single" w:sz="4" w:space="0" w:color="000000"/>
              <w:bottom w:val="single" w:sz="4" w:space="0" w:color="000000"/>
              <w:right w:val="single" w:sz="4" w:space="0" w:color="000000"/>
            </w:tcBorders>
          </w:tcPr>
          <w:p w14:paraId="7B4714EC" w14:textId="77777777" w:rsidR="00CA35F4" w:rsidRPr="005A14A4" w:rsidRDefault="00CA35F4" w:rsidP="00F25B97">
            <w:pPr>
              <w:spacing w:before="6" w:after="0" w:line="100" w:lineRule="exact"/>
              <w:rPr>
                <w:sz w:val="20"/>
                <w:szCs w:val="20"/>
              </w:rPr>
            </w:pPr>
          </w:p>
          <w:p w14:paraId="70FA9EDD"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25</w:t>
            </w:r>
          </w:p>
        </w:tc>
        <w:tc>
          <w:tcPr>
            <w:tcW w:w="446" w:type="dxa"/>
            <w:tcBorders>
              <w:top w:val="single" w:sz="4" w:space="0" w:color="000000"/>
              <w:left w:val="single" w:sz="4" w:space="0" w:color="000000"/>
              <w:bottom w:val="single" w:sz="4" w:space="0" w:color="000000"/>
              <w:right w:val="single" w:sz="4" w:space="0" w:color="000000"/>
            </w:tcBorders>
          </w:tcPr>
          <w:p w14:paraId="59AD6B4F" w14:textId="77777777" w:rsidR="00CA35F4" w:rsidRPr="005A14A4" w:rsidRDefault="00CA35F4" w:rsidP="00F25B97">
            <w:pPr>
              <w:spacing w:before="6" w:after="0" w:line="100" w:lineRule="exact"/>
              <w:rPr>
                <w:sz w:val="20"/>
                <w:szCs w:val="20"/>
              </w:rPr>
            </w:pPr>
          </w:p>
          <w:p w14:paraId="6CFAAC9C"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24</w:t>
            </w:r>
          </w:p>
        </w:tc>
        <w:tc>
          <w:tcPr>
            <w:tcW w:w="446" w:type="dxa"/>
            <w:tcBorders>
              <w:top w:val="single" w:sz="4" w:space="0" w:color="000000"/>
              <w:left w:val="single" w:sz="4" w:space="0" w:color="000000"/>
              <w:bottom w:val="single" w:sz="4" w:space="0" w:color="000000"/>
              <w:right w:val="single" w:sz="4" w:space="0" w:color="000000"/>
            </w:tcBorders>
          </w:tcPr>
          <w:p w14:paraId="67BCC0A0" w14:textId="77777777" w:rsidR="00CA35F4" w:rsidRPr="005A14A4" w:rsidRDefault="00CA35F4" w:rsidP="00F25B97">
            <w:pPr>
              <w:spacing w:before="6" w:after="0" w:line="100" w:lineRule="exact"/>
              <w:rPr>
                <w:sz w:val="20"/>
                <w:szCs w:val="20"/>
              </w:rPr>
            </w:pPr>
          </w:p>
          <w:p w14:paraId="4F369FF4"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23</w:t>
            </w:r>
          </w:p>
        </w:tc>
        <w:tc>
          <w:tcPr>
            <w:tcW w:w="446" w:type="dxa"/>
            <w:tcBorders>
              <w:top w:val="single" w:sz="4" w:space="0" w:color="000000"/>
              <w:left w:val="single" w:sz="4" w:space="0" w:color="000000"/>
              <w:bottom w:val="single" w:sz="4" w:space="0" w:color="000000"/>
              <w:right w:val="single" w:sz="4" w:space="0" w:color="000000"/>
            </w:tcBorders>
          </w:tcPr>
          <w:p w14:paraId="7DA327B5" w14:textId="77777777" w:rsidR="00CA35F4" w:rsidRPr="005A14A4" w:rsidRDefault="00CA35F4" w:rsidP="00F25B97">
            <w:pPr>
              <w:spacing w:before="6" w:after="0" w:line="100" w:lineRule="exact"/>
              <w:rPr>
                <w:sz w:val="20"/>
                <w:szCs w:val="20"/>
              </w:rPr>
            </w:pPr>
          </w:p>
          <w:p w14:paraId="7737434F"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22</w:t>
            </w:r>
          </w:p>
        </w:tc>
        <w:tc>
          <w:tcPr>
            <w:tcW w:w="446" w:type="dxa"/>
            <w:tcBorders>
              <w:top w:val="single" w:sz="4" w:space="0" w:color="000000"/>
              <w:left w:val="single" w:sz="4" w:space="0" w:color="000000"/>
              <w:bottom w:val="single" w:sz="4" w:space="0" w:color="000000"/>
              <w:right w:val="single" w:sz="4" w:space="0" w:color="000000"/>
            </w:tcBorders>
          </w:tcPr>
          <w:p w14:paraId="1E1E37F2" w14:textId="77777777" w:rsidR="00CA35F4" w:rsidRPr="005A14A4" w:rsidRDefault="00CA35F4" w:rsidP="00F25B97">
            <w:pPr>
              <w:spacing w:before="6" w:after="0" w:line="100" w:lineRule="exact"/>
              <w:rPr>
                <w:sz w:val="20"/>
                <w:szCs w:val="20"/>
              </w:rPr>
            </w:pPr>
          </w:p>
          <w:p w14:paraId="0854F757"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21</w:t>
            </w:r>
          </w:p>
        </w:tc>
        <w:tc>
          <w:tcPr>
            <w:tcW w:w="446" w:type="dxa"/>
            <w:tcBorders>
              <w:top w:val="single" w:sz="4" w:space="0" w:color="000000"/>
              <w:left w:val="single" w:sz="4" w:space="0" w:color="000000"/>
              <w:bottom w:val="single" w:sz="4" w:space="0" w:color="000000"/>
              <w:right w:val="single" w:sz="4" w:space="0" w:color="000000"/>
            </w:tcBorders>
          </w:tcPr>
          <w:p w14:paraId="3EA16F77" w14:textId="77777777" w:rsidR="00CA35F4" w:rsidRPr="005A14A4" w:rsidRDefault="00CA35F4" w:rsidP="00F25B97">
            <w:pPr>
              <w:spacing w:before="6" w:after="0" w:line="100" w:lineRule="exact"/>
              <w:rPr>
                <w:sz w:val="20"/>
                <w:szCs w:val="20"/>
              </w:rPr>
            </w:pPr>
          </w:p>
          <w:p w14:paraId="523DFE2C"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20</w:t>
            </w:r>
          </w:p>
        </w:tc>
        <w:tc>
          <w:tcPr>
            <w:tcW w:w="448" w:type="dxa"/>
            <w:tcBorders>
              <w:top w:val="single" w:sz="4" w:space="0" w:color="000000"/>
              <w:left w:val="single" w:sz="4" w:space="0" w:color="000000"/>
              <w:bottom w:val="single" w:sz="4" w:space="0" w:color="000000"/>
              <w:right w:val="single" w:sz="4" w:space="0" w:color="000000"/>
            </w:tcBorders>
          </w:tcPr>
          <w:p w14:paraId="2F4CC4F0" w14:textId="77777777" w:rsidR="00CA35F4" w:rsidRPr="005A14A4" w:rsidRDefault="00CA35F4" w:rsidP="00F25B97">
            <w:pPr>
              <w:spacing w:before="6" w:after="0" w:line="100" w:lineRule="exact"/>
              <w:rPr>
                <w:sz w:val="20"/>
                <w:szCs w:val="20"/>
              </w:rPr>
            </w:pPr>
          </w:p>
          <w:p w14:paraId="2F2BF4B2" w14:textId="77777777" w:rsidR="00CA35F4" w:rsidRPr="005A14A4" w:rsidRDefault="00CA35F4" w:rsidP="00F25B97">
            <w:pPr>
              <w:spacing w:after="0" w:line="240" w:lineRule="auto"/>
              <w:ind w:left="9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19</w:t>
            </w:r>
          </w:p>
        </w:tc>
        <w:tc>
          <w:tcPr>
            <w:tcW w:w="445" w:type="dxa"/>
            <w:tcBorders>
              <w:top w:val="single" w:sz="4" w:space="0" w:color="000000"/>
              <w:left w:val="single" w:sz="4" w:space="0" w:color="000000"/>
              <w:bottom w:val="single" w:sz="4" w:space="0" w:color="000000"/>
              <w:right w:val="single" w:sz="4" w:space="0" w:color="000000"/>
            </w:tcBorders>
          </w:tcPr>
          <w:p w14:paraId="44570B68" w14:textId="77777777" w:rsidR="00CA35F4" w:rsidRPr="005A14A4" w:rsidRDefault="00CA35F4" w:rsidP="00F25B97">
            <w:pPr>
              <w:spacing w:before="6" w:after="0" w:line="100" w:lineRule="exact"/>
              <w:rPr>
                <w:sz w:val="20"/>
                <w:szCs w:val="20"/>
              </w:rPr>
            </w:pPr>
          </w:p>
          <w:p w14:paraId="5A5D7E34" w14:textId="77777777" w:rsidR="00CA35F4" w:rsidRPr="005A14A4" w:rsidRDefault="00CA35F4" w:rsidP="00F25B97">
            <w:pPr>
              <w:spacing w:after="0" w:line="240" w:lineRule="auto"/>
              <w:ind w:left="96"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18</w:t>
            </w:r>
          </w:p>
        </w:tc>
        <w:tc>
          <w:tcPr>
            <w:tcW w:w="448" w:type="dxa"/>
            <w:tcBorders>
              <w:top w:val="single" w:sz="4" w:space="0" w:color="000000"/>
              <w:left w:val="single" w:sz="4" w:space="0" w:color="000000"/>
              <w:bottom w:val="single" w:sz="4" w:space="0" w:color="000000"/>
              <w:right w:val="single" w:sz="4" w:space="0" w:color="000000"/>
            </w:tcBorders>
          </w:tcPr>
          <w:p w14:paraId="4FBF8088" w14:textId="77777777" w:rsidR="00CA35F4" w:rsidRPr="005A14A4" w:rsidRDefault="00CA35F4" w:rsidP="00F25B97">
            <w:pPr>
              <w:spacing w:before="6" w:after="0" w:line="100" w:lineRule="exact"/>
              <w:rPr>
                <w:sz w:val="20"/>
                <w:szCs w:val="20"/>
              </w:rPr>
            </w:pPr>
          </w:p>
          <w:p w14:paraId="00B2D3FA" w14:textId="77777777" w:rsidR="00CA35F4" w:rsidRPr="005A14A4" w:rsidRDefault="00CA35F4" w:rsidP="00F25B97">
            <w:pPr>
              <w:spacing w:after="0" w:line="240" w:lineRule="auto"/>
              <w:ind w:left="98"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17</w:t>
            </w:r>
          </w:p>
        </w:tc>
        <w:tc>
          <w:tcPr>
            <w:tcW w:w="445" w:type="dxa"/>
            <w:tcBorders>
              <w:top w:val="single" w:sz="4" w:space="0" w:color="000000"/>
              <w:left w:val="single" w:sz="4" w:space="0" w:color="000000"/>
              <w:bottom w:val="single" w:sz="4" w:space="0" w:color="000000"/>
              <w:right w:val="single" w:sz="4" w:space="0" w:color="000000"/>
            </w:tcBorders>
          </w:tcPr>
          <w:p w14:paraId="677AC6E1" w14:textId="77777777" w:rsidR="00CA35F4" w:rsidRPr="005A14A4" w:rsidRDefault="00CA35F4" w:rsidP="00F25B97">
            <w:pPr>
              <w:spacing w:before="6" w:after="0" w:line="100" w:lineRule="exact"/>
              <w:rPr>
                <w:sz w:val="20"/>
                <w:szCs w:val="20"/>
              </w:rPr>
            </w:pPr>
          </w:p>
          <w:p w14:paraId="6C2C9442" w14:textId="77777777" w:rsidR="00CA35F4" w:rsidRPr="005A14A4" w:rsidRDefault="00CA35F4" w:rsidP="00F25B97">
            <w:pPr>
              <w:spacing w:after="0" w:line="240" w:lineRule="auto"/>
              <w:ind w:left="96"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16</w:t>
            </w:r>
          </w:p>
        </w:tc>
        <w:tc>
          <w:tcPr>
            <w:tcW w:w="448" w:type="dxa"/>
            <w:tcBorders>
              <w:top w:val="single" w:sz="4" w:space="0" w:color="000000"/>
              <w:left w:val="single" w:sz="4" w:space="0" w:color="000000"/>
              <w:bottom w:val="single" w:sz="4" w:space="0" w:color="000000"/>
              <w:right w:val="single" w:sz="4" w:space="0" w:color="000000"/>
            </w:tcBorders>
          </w:tcPr>
          <w:p w14:paraId="05408A36" w14:textId="77777777" w:rsidR="00CA35F4" w:rsidRPr="005A14A4" w:rsidRDefault="00CA35F4" w:rsidP="00F25B97">
            <w:pPr>
              <w:spacing w:before="6" w:after="0" w:line="100" w:lineRule="exact"/>
              <w:rPr>
                <w:sz w:val="20"/>
                <w:szCs w:val="20"/>
              </w:rPr>
            </w:pPr>
          </w:p>
          <w:p w14:paraId="1802F231" w14:textId="77777777" w:rsidR="00CA35F4" w:rsidRPr="005A14A4" w:rsidRDefault="00CA35F4" w:rsidP="00F25B97">
            <w:pPr>
              <w:spacing w:after="0" w:line="240" w:lineRule="auto"/>
              <w:ind w:left="98"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15</w:t>
            </w:r>
          </w:p>
        </w:tc>
        <w:tc>
          <w:tcPr>
            <w:tcW w:w="556" w:type="dxa"/>
            <w:tcBorders>
              <w:top w:val="single" w:sz="4" w:space="0" w:color="000000"/>
              <w:left w:val="single" w:sz="4" w:space="0" w:color="000000"/>
              <w:bottom w:val="single" w:sz="4" w:space="0" w:color="000000"/>
              <w:right w:val="single" w:sz="4" w:space="0" w:color="000000"/>
            </w:tcBorders>
          </w:tcPr>
          <w:p w14:paraId="4411FA99" w14:textId="77777777" w:rsidR="00CA35F4" w:rsidRPr="005A14A4" w:rsidRDefault="00CA35F4" w:rsidP="00F25B97">
            <w:pPr>
              <w:spacing w:before="6" w:after="0" w:line="100" w:lineRule="exact"/>
              <w:rPr>
                <w:sz w:val="20"/>
                <w:szCs w:val="20"/>
              </w:rPr>
            </w:pPr>
          </w:p>
          <w:p w14:paraId="00C78D49" w14:textId="77777777" w:rsidR="00CA35F4" w:rsidRPr="005A14A4" w:rsidRDefault="00CA35F4" w:rsidP="00F25B97">
            <w:pPr>
              <w:spacing w:after="0" w:line="240" w:lineRule="auto"/>
              <w:ind w:left="157"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°C</w:t>
            </w:r>
          </w:p>
        </w:tc>
      </w:tr>
      <w:tr w:rsidR="00CA35F4" w:rsidRPr="005A14A4" w14:paraId="7D075823" w14:textId="77777777" w:rsidTr="00F25B97">
        <w:trPr>
          <w:trHeight w:hRule="exact" w:val="342"/>
        </w:trPr>
        <w:tc>
          <w:tcPr>
            <w:tcW w:w="1711" w:type="dxa"/>
            <w:tcBorders>
              <w:top w:val="single" w:sz="4" w:space="0" w:color="000000"/>
              <w:left w:val="single" w:sz="4" w:space="0" w:color="000000"/>
              <w:bottom w:val="single" w:sz="4" w:space="0" w:color="000000"/>
              <w:right w:val="single" w:sz="4" w:space="0" w:color="000000"/>
            </w:tcBorders>
          </w:tcPr>
          <w:p w14:paraId="19D5BC63"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Классы</w:t>
            </w:r>
            <w:proofErr w:type="spellEnd"/>
            <w:r w:rsidRPr="005A14A4">
              <w:rPr>
                <w:rFonts w:ascii="Times New Roman" w:eastAsia="Times New Roman" w:hAnsi="Times New Roman" w:cs="Times New Roman"/>
                <w:spacing w:val="-1"/>
                <w:sz w:val="20"/>
                <w:szCs w:val="20"/>
              </w:rPr>
              <w:t xml:space="preserve"> </w:t>
            </w:r>
            <w:r w:rsidRPr="005A14A4">
              <w:rPr>
                <w:rFonts w:ascii="Times New Roman" w:eastAsia="Times New Roman" w:hAnsi="Times New Roman" w:cs="Times New Roman"/>
                <w:sz w:val="20"/>
                <w:szCs w:val="20"/>
              </w:rPr>
              <w:t>C, F</w:t>
            </w:r>
          </w:p>
        </w:tc>
        <w:tc>
          <w:tcPr>
            <w:tcW w:w="445" w:type="dxa"/>
            <w:tcBorders>
              <w:top w:val="single" w:sz="4" w:space="0" w:color="000000"/>
              <w:left w:val="single" w:sz="4" w:space="0" w:color="000000"/>
              <w:bottom w:val="single" w:sz="4" w:space="0" w:color="000000"/>
              <w:right w:val="single" w:sz="4" w:space="0" w:color="000000"/>
            </w:tcBorders>
          </w:tcPr>
          <w:p w14:paraId="37A8E55D"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360</w:t>
            </w:r>
          </w:p>
        </w:tc>
        <w:tc>
          <w:tcPr>
            <w:tcW w:w="448" w:type="dxa"/>
            <w:tcBorders>
              <w:top w:val="single" w:sz="4" w:space="0" w:color="000000"/>
              <w:left w:val="single" w:sz="4" w:space="0" w:color="000000"/>
              <w:bottom w:val="single" w:sz="4" w:space="0" w:color="000000"/>
              <w:right w:val="single" w:sz="4" w:space="0" w:color="000000"/>
            </w:tcBorders>
          </w:tcPr>
          <w:p w14:paraId="6573DF3C" w14:textId="77777777" w:rsidR="00CA35F4" w:rsidRPr="005A14A4" w:rsidRDefault="00CA35F4" w:rsidP="00F25B97">
            <w:pPr>
              <w:spacing w:after="0" w:line="273"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350</w:t>
            </w:r>
          </w:p>
        </w:tc>
        <w:tc>
          <w:tcPr>
            <w:tcW w:w="445" w:type="dxa"/>
            <w:tcBorders>
              <w:top w:val="single" w:sz="4" w:space="0" w:color="000000"/>
              <w:left w:val="single" w:sz="4" w:space="0" w:color="000000"/>
              <w:bottom w:val="single" w:sz="4" w:space="0" w:color="000000"/>
              <w:right w:val="single" w:sz="4" w:space="0" w:color="000000"/>
            </w:tcBorders>
          </w:tcPr>
          <w:p w14:paraId="2947FD08"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340</w:t>
            </w:r>
          </w:p>
        </w:tc>
        <w:tc>
          <w:tcPr>
            <w:tcW w:w="448" w:type="dxa"/>
            <w:tcBorders>
              <w:top w:val="single" w:sz="4" w:space="0" w:color="000000"/>
              <w:left w:val="single" w:sz="4" w:space="0" w:color="000000"/>
              <w:bottom w:val="single" w:sz="4" w:space="0" w:color="000000"/>
              <w:right w:val="single" w:sz="4" w:space="0" w:color="000000"/>
            </w:tcBorders>
          </w:tcPr>
          <w:p w14:paraId="49C2D587"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330</w:t>
            </w:r>
          </w:p>
        </w:tc>
        <w:tc>
          <w:tcPr>
            <w:tcW w:w="446" w:type="dxa"/>
            <w:tcBorders>
              <w:top w:val="single" w:sz="4" w:space="0" w:color="000000"/>
              <w:left w:val="single" w:sz="4" w:space="0" w:color="000000"/>
              <w:bottom w:val="single" w:sz="4" w:space="0" w:color="000000"/>
              <w:right w:val="single" w:sz="4" w:space="0" w:color="000000"/>
            </w:tcBorders>
          </w:tcPr>
          <w:p w14:paraId="528669AB"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320</w:t>
            </w:r>
          </w:p>
        </w:tc>
        <w:tc>
          <w:tcPr>
            <w:tcW w:w="446" w:type="dxa"/>
            <w:tcBorders>
              <w:top w:val="single" w:sz="4" w:space="0" w:color="000000"/>
              <w:left w:val="single" w:sz="4" w:space="0" w:color="000000"/>
              <w:bottom w:val="single" w:sz="4" w:space="0" w:color="000000"/>
              <w:right w:val="single" w:sz="4" w:space="0" w:color="000000"/>
            </w:tcBorders>
          </w:tcPr>
          <w:p w14:paraId="0990A5DB"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310</w:t>
            </w:r>
          </w:p>
        </w:tc>
        <w:tc>
          <w:tcPr>
            <w:tcW w:w="446" w:type="dxa"/>
            <w:tcBorders>
              <w:top w:val="single" w:sz="4" w:space="0" w:color="000000"/>
              <w:left w:val="single" w:sz="4" w:space="0" w:color="000000"/>
              <w:bottom w:val="single" w:sz="4" w:space="0" w:color="000000"/>
              <w:right w:val="single" w:sz="4" w:space="0" w:color="000000"/>
            </w:tcBorders>
          </w:tcPr>
          <w:p w14:paraId="0D378925"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300</w:t>
            </w:r>
          </w:p>
        </w:tc>
        <w:tc>
          <w:tcPr>
            <w:tcW w:w="446" w:type="dxa"/>
            <w:tcBorders>
              <w:top w:val="single" w:sz="4" w:space="0" w:color="000000"/>
              <w:left w:val="single" w:sz="4" w:space="0" w:color="000000"/>
              <w:bottom w:val="single" w:sz="4" w:space="0" w:color="000000"/>
              <w:right w:val="single" w:sz="4" w:space="0" w:color="000000"/>
            </w:tcBorders>
          </w:tcPr>
          <w:p w14:paraId="269507F7"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290</w:t>
            </w:r>
          </w:p>
        </w:tc>
        <w:tc>
          <w:tcPr>
            <w:tcW w:w="446" w:type="dxa"/>
            <w:tcBorders>
              <w:top w:val="single" w:sz="4" w:space="0" w:color="000000"/>
              <w:left w:val="single" w:sz="4" w:space="0" w:color="000000"/>
              <w:bottom w:val="single" w:sz="4" w:space="0" w:color="000000"/>
              <w:right w:val="single" w:sz="4" w:space="0" w:color="000000"/>
            </w:tcBorders>
          </w:tcPr>
          <w:p w14:paraId="3E5F590F"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280</w:t>
            </w:r>
          </w:p>
        </w:tc>
        <w:tc>
          <w:tcPr>
            <w:tcW w:w="446" w:type="dxa"/>
            <w:tcBorders>
              <w:top w:val="single" w:sz="4" w:space="0" w:color="000000"/>
              <w:left w:val="single" w:sz="4" w:space="0" w:color="000000"/>
              <w:bottom w:val="single" w:sz="4" w:space="0" w:color="000000"/>
              <w:right w:val="single" w:sz="4" w:space="0" w:color="000000"/>
            </w:tcBorders>
          </w:tcPr>
          <w:p w14:paraId="6AE8757B"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270</w:t>
            </w:r>
          </w:p>
        </w:tc>
        <w:tc>
          <w:tcPr>
            <w:tcW w:w="446" w:type="dxa"/>
            <w:tcBorders>
              <w:top w:val="single" w:sz="4" w:space="0" w:color="000000"/>
              <w:left w:val="single" w:sz="4" w:space="0" w:color="000000"/>
              <w:bottom w:val="single" w:sz="4" w:space="0" w:color="000000"/>
              <w:right w:val="single" w:sz="4" w:space="0" w:color="000000"/>
            </w:tcBorders>
          </w:tcPr>
          <w:p w14:paraId="72EFD223"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260</w:t>
            </w:r>
          </w:p>
        </w:tc>
        <w:tc>
          <w:tcPr>
            <w:tcW w:w="448" w:type="dxa"/>
            <w:tcBorders>
              <w:top w:val="single" w:sz="4" w:space="0" w:color="000000"/>
              <w:left w:val="single" w:sz="4" w:space="0" w:color="000000"/>
              <w:bottom w:val="single" w:sz="4" w:space="0" w:color="000000"/>
              <w:right w:val="single" w:sz="4" w:space="0" w:color="000000"/>
            </w:tcBorders>
          </w:tcPr>
          <w:p w14:paraId="755D7CA0"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250</w:t>
            </w:r>
          </w:p>
        </w:tc>
        <w:tc>
          <w:tcPr>
            <w:tcW w:w="445" w:type="dxa"/>
            <w:tcBorders>
              <w:top w:val="single" w:sz="4" w:space="0" w:color="000000"/>
              <w:left w:val="single" w:sz="4" w:space="0" w:color="000000"/>
              <w:bottom w:val="single" w:sz="4" w:space="0" w:color="000000"/>
              <w:right w:val="single" w:sz="4" w:space="0" w:color="000000"/>
            </w:tcBorders>
          </w:tcPr>
          <w:p w14:paraId="1E830654"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240</w:t>
            </w:r>
          </w:p>
        </w:tc>
        <w:tc>
          <w:tcPr>
            <w:tcW w:w="448" w:type="dxa"/>
            <w:tcBorders>
              <w:top w:val="single" w:sz="4" w:space="0" w:color="000000"/>
              <w:left w:val="single" w:sz="4" w:space="0" w:color="000000"/>
              <w:bottom w:val="single" w:sz="4" w:space="0" w:color="000000"/>
              <w:right w:val="single" w:sz="4" w:space="0" w:color="000000"/>
            </w:tcBorders>
          </w:tcPr>
          <w:p w14:paraId="23969644"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230</w:t>
            </w:r>
          </w:p>
        </w:tc>
        <w:tc>
          <w:tcPr>
            <w:tcW w:w="445" w:type="dxa"/>
            <w:tcBorders>
              <w:top w:val="single" w:sz="4" w:space="0" w:color="000000"/>
              <w:left w:val="single" w:sz="4" w:space="0" w:color="000000"/>
              <w:bottom w:val="single" w:sz="4" w:space="0" w:color="000000"/>
              <w:right w:val="single" w:sz="4" w:space="0" w:color="000000"/>
            </w:tcBorders>
          </w:tcPr>
          <w:p w14:paraId="630F68B2" w14:textId="77777777" w:rsidR="00CA35F4" w:rsidRPr="005A14A4" w:rsidRDefault="00CA35F4" w:rsidP="00F25B97">
            <w:pPr>
              <w:spacing w:after="0" w:line="273" w:lineRule="exact"/>
              <w:ind w:left="21"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220</w:t>
            </w:r>
          </w:p>
        </w:tc>
        <w:tc>
          <w:tcPr>
            <w:tcW w:w="448" w:type="dxa"/>
            <w:tcBorders>
              <w:top w:val="single" w:sz="4" w:space="0" w:color="000000"/>
              <w:left w:val="single" w:sz="4" w:space="0" w:color="000000"/>
              <w:bottom w:val="single" w:sz="4" w:space="0" w:color="000000"/>
              <w:right w:val="single" w:sz="4" w:space="0" w:color="000000"/>
            </w:tcBorders>
          </w:tcPr>
          <w:p w14:paraId="61306521" w14:textId="77777777" w:rsidR="00CA35F4" w:rsidRPr="005A14A4" w:rsidRDefault="00CA35F4" w:rsidP="00F25B97">
            <w:pPr>
              <w:spacing w:after="0" w:line="273"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210</w:t>
            </w:r>
          </w:p>
        </w:tc>
        <w:tc>
          <w:tcPr>
            <w:tcW w:w="556" w:type="dxa"/>
            <w:tcBorders>
              <w:top w:val="single" w:sz="4" w:space="0" w:color="000000"/>
              <w:left w:val="single" w:sz="4" w:space="0" w:color="000000"/>
              <w:bottom w:val="single" w:sz="4" w:space="0" w:color="000000"/>
              <w:right w:val="single" w:sz="4" w:space="0" w:color="000000"/>
            </w:tcBorders>
          </w:tcPr>
          <w:p w14:paraId="18A4957B" w14:textId="77777777" w:rsidR="00CA35F4" w:rsidRPr="005A14A4" w:rsidRDefault="00CA35F4" w:rsidP="00F25B97">
            <w:pPr>
              <w:spacing w:after="0" w:line="273"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мин</w:t>
            </w:r>
            <w:proofErr w:type="spellEnd"/>
            <w:r w:rsidRPr="005A14A4">
              <w:rPr>
                <w:rFonts w:ascii="Times New Roman" w:eastAsia="Times New Roman" w:hAnsi="Times New Roman" w:cs="Times New Roman"/>
                <w:sz w:val="20"/>
                <w:szCs w:val="20"/>
              </w:rPr>
              <w:t>.</w:t>
            </w:r>
          </w:p>
        </w:tc>
      </w:tr>
      <w:tr w:rsidR="00CA35F4" w:rsidRPr="005A14A4" w14:paraId="7589DAF2" w14:textId="77777777" w:rsidTr="00F25B97">
        <w:trPr>
          <w:trHeight w:hRule="exact" w:val="341"/>
        </w:trPr>
        <w:tc>
          <w:tcPr>
            <w:tcW w:w="1711" w:type="dxa"/>
            <w:tcBorders>
              <w:top w:val="single" w:sz="4" w:space="0" w:color="000000"/>
              <w:left w:val="single" w:sz="4" w:space="0" w:color="000000"/>
              <w:bottom w:val="single" w:sz="4" w:space="0" w:color="000000"/>
              <w:right w:val="single" w:sz="4" w:space="0" w:color="000000"/>
            </w:tcBorders>
          </w:tcPr>
          <w:p w14:paraId="1DCD295C"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Классы</w:t>
            </w:r>
            <w:proofErr w:type="spellEnd"/>
            <w:r w:rsidRPr="005A14A4">
              <w:rPr>
                <w:rFonts w:ascii="Times New Roman" w:eastAsia="Times New Roman" w:hAnsi="Times New Roman" w:cs="Times New Roman"/>
                <w:spacing w:val="-1"/>
                <w:sz w:val="20"/>
                <w:szCs w:val="20"/>
              </w:rPr>
              <w:t xml:space="preserve"> </w:t>
            </w:r>
            <w:r w:rsidRPr="005A14A4">
              <w:rPr>
                <w:rFonts w:ascii="Times New Roman" w:eastAsia="Times New Roman" w:hAnsi="Times New Roman" w:cs="Times New Roman"/>
                <w:sz w:val="20"/>
                <w:szCs w:val="20"/>
              </w:rPr>
              <w:t>B, E</w:t>
            </w:r>
          </w:p>
        </w:tc>
        <w:tc>
          <w:tcPr>
            <w:tcW w:w="445" w:type="dxa"/>
            <w:tcBorders>
              <w:top w:val="single" w:sz="4" w:space="0" w:color="000000"/>
              <w:left w:val="single" w:sz="4" w:space="0" w:color="000000"/>
              <w:bottom w:val="single" w:sz="4" w:space="0" w:color="000000"/>
              <w:right w:val="single" w:sz="4" w:space="0" w:color="000000"/>
            </w:tcBorders>
          </w:tcPr>
          <w:p w14:paraId="62B85E99"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270</w:t>
            </w:r>
          </w:p>
        </w:tc>
        <w:tc>
          <w:tcPr>
            <w:tcW w:w="448" w:type="dxa"/>
            <w:tcBorders>
              <w:top w:val="single" w:sz="4" w:space="0" w:color="000000"/>
              <w:left w:val="single" w:sz="4" w:space="0" w:color="000000"/>
              <w:bottom w:val="single" w:sz="4" w:space="0" w:color="000000"/>
              <w:right w:val="single" w:sz="4" w:space="0" w:color="000000"/>
            </w:tcBorders>
          </w:tcPr>
          <w:p w14:paraId="56120BEA"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262</w:t>
            </w:r>
          </w:p>
        </w:tc>
        <w:tc>
          <w:tcPr>
            <w:tcW w:w="445" w:type="dxa"/>
            <w:tcBorders>
              <w:top w:val="single" w:sz="4" w:space="0" w:color="000000"/>
              <w:left w:val="single" w:sz="4" w:space="0" w:color="000000"/>
              <w:bottom w:val="single" w:sz="4" w:space="0" w:color="000000"/>
              <w:right w:val="single" w:sz="4" w:space="0" w:color="000000"/>
            </w:tcBorders>
          </w:tcPr>
          <w:p w14:paraId="0D600546"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253</w:t>
            </w:r>
          </w:p>
        </w:tc>
        <w:tc>
          <w:tcPr>
            <w:tcW w:w="448" w:type="dxa"/>
            <w:tcBorders>
              <w:top w:val="single" w:sz="4" w:space="0" w:color="000000"/>
              <w:left w:val="single" w:sz="4" w:space="0" w:color="000000"/>
              <w:bottom w:val="single" w:sz="4" w:space="0" w:color="000000"/>
              <w:right w:val="single" w:sz="4" w:space="0" w:color="000000"/>
            </w:tcBorders>
          </w:tcPr>
          <w:p w14:paraId="37B70C2C"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245</w:t>
            </w:r>
          </w:p>
        </w:tc>
        <w:tc>
          <w:tcPr>
            <w:tcW w:w="446" w:type="dxa"/>
            <w:tcBorders>
              <w:top w:val="single" w:sz="4" w:space="0" w:color="000000"/>
              <w:left w:val="single" w:sz="4" w:space="0" w:color="000000"/>
              <w:bottom w:val="single" w:sz="4" w:space="0" w:color="000000"/>
              <w:right w:val="single" w:sz="4" w:space="0" w:color="000000"/>
            </w:tcBorders>
          </w:tcPr>
          <w:p w14:paraId="045AC13D"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236</w:t>
            </w:r>
          </w:p>
        </w:tc>
        <w:tc>
          <w:tcPr>
            <w:tcW w:w="446" w:type="dxa"/>
            <w:tcBorders>
              <w:top w:val="single" w:sz="4" w:space="0" w:color="000000"/>
              <w:left w:val="single" w:sz="4" w:space="0" w:color="000000"/>
              <w:bottom w:val="single" w:sz="4" w:space="0" w:color="000000"/>
              <w:right w:val="single" w:sz="4" w:space="0" w:color="000000"/>
            </w:tcBorders>
          </w:tcPr>
          <w:p w14:paraId="28B3FF0D"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228</w:t>
            </w:r>
          </w:p>
        </w:tc>
        <w:tc>
          <w:tcPr>
            <w:tcW w:w="446" w:type="dxa"/>
            <w:tcBorders>
              <w:top w:val="single" w:sz="4" w:space="0" w:color="000000"/>
              <w:left w:val="single" w:sz="4" w:space="0" w:color="000000"/>
              <w:bottom w:val="single" w:sz="4" w:space="0" w:color="000000"/>
              <w:right w:val="single" w:sz="4" w:space="0" w:color="000000"/>
            </w:tcBorders>
          </w:tcPr>
          <w:p w14:paraId="1C4C70EA"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219</w:t>
            </w:r>
          </w:p>
        </w:tc>
        <w:tc>
          <w:tcPr>
            <w:tcW w:w="446" w:type="dxa"/>
            <w:tcBorders>
              <w:top w:val="single" w:sz="4" w:space="0" w:color="000000"/>
              <w:left w:val="single" w:sz="4" w:space="0" w:color="000000"/>
              <w:bottom w:val="single" w:sz="4" w:space="0" w:color="000000"/>
              <w:right w:val="single" w:sz="4" w:space="0" w:color="000000"/>
            </w:tcBorders>
          </w:tcPr>
          <w:p w14:paraId="3B9476A8"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211</w:t>
            </w:r>
          </w:p>
        </w:tc>
        <w:tc>
          <w:tcPr>
            <w:tcW w:w="446" w:type="dxa"/>
            <w:tcBorders>
              <w:top w:val="single" w:sz="4" w:space="0" w:color="000000"/>
              <w:left w:val="single" w:sz="4" w:space="0" w:color="000000"/>
              <w:bottom w:val="single" w:sz="4" w:space="0" w:color="000000"/>
              <w:right w:val="single" w:sz="4" w:space="0" w:color="000000"/>
            </w:tcBorders>
          </w:tcPr>
          <w:p w14:paraId="4998E6F8"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202</w:t>
            </w:r>
          </w:p>
        </w:tc>
        <w:tc>
          <w:tcPr>
            <w:tcW w:w="446" w:type="dxa"/>
            <w:tcBorders>
              <w:top w:val="single" w:sz="4" w:space="0" w:color="000000"/>
              <w:left w:val="single" w:sz="4" w:space="0" w:color="000000"/>
              <w:bottom w:val="single" w:sz="4" w:space="0" w:color="000000"/>
              <w:right w:val="single" w:sz="4" w:space="0" w:color="000000"/>
            </w:tcBorders>
          </w:tcPr>
          <w:p w14:paraId="09E18D11"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194</w:t>
            </w:r>
          </w:p>
        </w:tc>
        <w:tc>
          <w:tcPr>
            <w:tcW w:w="446" w:type="dxa"/>
            <w:tcBorders>
              <w:top w:val="single" w:sz="4" w:space="0" w:color="000000"/>
              <w:left w:val="single" w:sz="4" w:space="0" w:color="000000"/>
              <w:bottom w:val="single" w:sz="4" w:space="0" w:color="000000"/>
              <w:right w:val="single" w:sz="4" w:space="0" w:color="000000"/>
            </w:tcBorders>
          </w:tcPr>
          <w:p w14:paraId="2CED77E7"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185</w:t>
            </w:r>
          </w:p>
        </w:tc>
        <w:tc>
          <w:tcPr>
            <w:tcW w:w="448" w:type="dxa"/>
            <w:tcBorders>
              <w:top w:val="single" w:sz="4" w:space="0" w:color="000000"/>
              <w:left w:val="single" w:sz="4" w:space="0" w:color="000000"/>
              <w:bottom w:val="single" w:sz="4" w:space="0" w:color="000000"/>
              <w:right w:val="single" w:sz="4" w:space="0" w:color="000000"/>
            </w:tcBorders>
          </w:tcPr>
          <w:p w14:paraId="2D1DB1A2"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177</w:t>
            </w:r>
          </w:p>
        </w:tc>
        <w:tc>
          <w:tcPr>
            <w:tcW w:w="445" w:type="dxa"/>
            <w:tcBorders>
              <w:top w:val="single" w:sz="4" w:space="0" w:color="000000"/>
              <w:left w:val="single" w:sz="4" w:space="0" w:color="000000"/>
              <w:bottom w:val="single" w:sz="4" w:space="0" w:color="000000"/>
              <w:right w:val="single" w:sz="4" w:space="0" w:color="000000"/>
            </w:tcBorders>
          </w:tcPr>
          <w:p w14:paraId="67347016"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168</w:t>
            </w:r>
          </w:p>
        </w:tc>
        <w:tc>
          <w:tcPr>
            <w:tcW w:w="448" w:type="dxa"/>
            <w:tcBorders>
              <w:top w:val="single" w:sz="4" w:space="0" w:color="000000"/>
              <w:left w:val="single" w:sz="4" w:space="0" w:color="000000"/>
              <w:bottom w:val="single" w:sz="4" w:space="0" w:color="000000"/>
              <w:right w:val="single" w:sz="4" w:space="0" w:color="000000"/>
            </w:tcBorders>
          </w:tcPr>
          <w:p w14:paraId="61BCECD5"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160</w:t>
            </w:r>
          </w:p>
        </w:tc>
        <w:tc>
          <w:tcPr>
            <w:tcW w:w="445" w:type="dxa"/>
            <w:tcBorders>
              <w:top w:val="single" w:sz="4" w:space="0" w:color="000000"/>
              <w:left w:val="single" w:sz="4" w:space="0" w:color="000000"/>
              <w:bottom w:val="single" w:sz="4" w:space="0" w:color="000000"/>
              <w:right w:val="single" w:sz="4" w:space="0" w:color="000000"/>
            </w:tcBorders>
          </w:tcPr>
          <w:p w14:paraId="27D69659"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151</w:t>
            </w:r>
          </w:p>
        </w:tc>
        <w:tc>
          <w:tcPr>
            <w:tcW w:w="448" w:type="dxa"/>
            <w:tcBorders>
              <w:top w:val="single" w:sz="4" w:space="0" w:color="000000"/>
              <w:left w:val="single" w:sz="4" w:space="0" w:color="000000"/>
              <w:bottom w:val="single" w:sz="4" w:space="0" w:color="000000"/>
              <w:right w:val="single" w:sz="4" w:space="0" w:color="000000"/>
            </w:tcBorders>
          </w:tcPr>
          <w:p w14:paraId="6E52AE8B"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143</w:t>
            </w:r>
          </w:p>
        </w:tc>
        <w:tc>
          <w:tcPr>
            <w:tcW w:w="556" w:type="dxa"/>
            <w:tcBorders>
              <w:top w:val="single" w:sz="4" w:space="0" w:color="000000"/>
              <w:left w:val="single" w:sz="4" w:space="0" w:color="000000"/>
              <w:bottom w:val="single" w:sz="4" w:space="0" w:color="000000"/>
              <w:right w:val="single" w:sz="4" w:space="0" w:color="000000"/>
            </w:tcBorders>
          </w:tcPr>
          <w:p w14:paraId="74FEFF02"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мин</w:t>
            </w:r>
            <w:proofErr w:type="spellEnd"/>
            <w:r w:rsidRPr="005A14A4">
              <w:rPr>
                <w:rFonts w:ascii="Times New Roman" w:eastAsia="Times New Roman" w:hAnsi="Times New Roman" w:cs="Times New Roman"/>
                <w:sz w:val="20"/>
                <w:szCs w:val="20"/>
              </w:rPr>
              <w:t>.</w:t>
            </w:r>
          </w:p>
        </w:tc>
      </w:tr>
      <w:tr w:rsidR="00CA35F4" w:rsidRPr="005A14A4" w14:paraId="6D818C98" w14:textId="77777777" w:rsidTr="00F25B97">
        <w:trPr>
          <w:trHeight w:hRule="exact" w:val="342"/>
        </w:trPr>
        <w:tc>
          <w:tcPr>
            <w:tcW w:w="1711" w:type="dxa"/>
            <w:tcBorders>
              <w:top w:val="single" w:sz="4" w:space="0" w:color="000000"/>
              <w:left w:val="single" w:sz="4" w:space="0" w:color="000000"/>
              <w:bottom w:val="single" w:sz="4" w:space="0" w:color="000000"/>
              <w:right w:val="single" w:sz="4" w:space="0" w:color="000000"/>
            </w:tcBorders>
          </w:tcPr>
          <w:p w14:paraId="44A1736B"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Классы</w:t>
            </w:r>
            <w:proofErr w:type="spellEnd"/>
            <w:r w:rsidRPr="005A14A4">
              <w:rPr>
                <w:rFonts w:ascii="Times New Roman" w:eastAsia="Times New Roman" w:hAnsi="Times New Roman" w:cs="Times New Roman"/>
                <w:spacing w:val="-1"/>
                <w:sz w:val="20"/>
                <w:szCs w:val="20"/>
              </w:rPr>
              <w:t xml:space="preserve"> </w:t>
            </w:r>
            <w:r w:rsidRPr="005A14A4">
              <w:rPr>
                <w:rFonts w:ascii="Times New Roman" w:eastAsia="Times New Roman" w:hAnsi="Times New Roman" w:cs="Times New Roman"/>
                <w:sz w:val="20"/>
                <w:szCs w:val="20"/>
              </w:rPr>
              <w:t>A, D</w:t>
            </w:r>
          </w:p>
        </w:tc>
        <w:tc>
          <w:tcPr>
            <w:tcW w:w="445" w:type="dxa"/>
            <w:tcBorders>
              <w:top w:val="single" w:sz="4" w:space="0" w:color="000000"/>
              <w:left w:val="single" w:sz="4" w:space="0" w:color="000000"/>
              <w:bottom w:val="single" w:sz="4" w:space="0" w:color="000000"/>
              <w:right w:val="single" w:sz="4" w:space="0" w:color="000000"/>
            </w:tcBorders>
          </w:tcPr>
          <w:p w14:paraId="00D5B34E"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180</w:t>
            </w:r>
          </w:p>
        </w:tc>
        <w:tc>
          <w:tcPr>
            <w:tcW w:w="448" w:type="dxa"/>
            <w:tcBorders>
              <w:top w:val="single" w:sz="4" w:space="0" w:color="000000"/>
              <w:left w:val="single" w:sz="4" w:space="0" w:color="000000"/>
              <w:bottom w:val="single" w:sz="4" w:space="0" w:color="000000"/>
              <w:right w:val="single" w:sz="4" w:space="0" w:color="000000"/>
            </w:tcBorders>
          </w:tcPr>
          <w:p w14:paraId="214C6C3D"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173</w:t>
            </w:r>
          </w:p>
        </w:tc>
        <w:tc>
          <w:tcPr>
            <w:tcW w:w="445" w:type="dxa"/>
            <w:tcBorders>
              <w:top w:val="single" w:sz="4" w:space="0" w:color="000000"/>
              <w:left w:val="single" w:sz="4" w:space="0" w:color="000000"/>
              <w:bottom w:val="single" w:sz="4" w:space="0" w:color="000000"/>
              <w:right w:val="single" w:sz="4" w:space="0" w:color="000000"/>
            </w:tcBorders>
          </w:tcPr>
          <w:p w14:paraId="0BE11CC8"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166</w:t>
            </w:r>
          </w:p>
        </w:tc>
        <w:tc>
          <w:tcPr>
            <w:tcW w:w="448" w:type="dxa"/>
            <w:tcBorders>
              <w:top w:val="single" w:sz="4" w:space="0" w:color="000000"/>
              <w:left w:val="single" w:sz="4" w:space="0" w:color="000000"/>
              <w:bottom w:val="single" w:sz="4" w:space="0" w:color="000000"/>
              <w:right w:val="single" w:sz="4" w:space="0" w:color="000000"/>
            </w:tcBorders>
          </w:tcPr>
          <w:p w14:paraId="5619E19C" w14:textId="77777777" w:rsidR="00CA35F4" w:rsidRPr="005A14A4" w:rsidRDefault="00CA35F4" w:rsidP="00F25B97">
            <w:pPr>
              <w:spacing w:after="0" w:line="272" w:lineRule="exact"/>
              <w:ind w:left="24"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159</w:t>
            </w:r>
          </w:p>
        </w:tc>
        <w:tc>
          <w:tcPr>
            <w:tcW w:w="446" w:type="dxa"/>
            <w:tcBorders>
              <w:top w:val="single" w:sz="4" w:space="0" w:color="000000"/>
              <w:left w:val="single" w:sz="4" w:space="0" w:color="000000"/>
              <w:bottom w:val="single" w:sz="4" w:space="0" w:color="000000"/>
              <w:right w:val="single" w:sz="4" w:space="0" w:color="000000"/>
            </w:tcBorders>
          </w:tcPr>
          <w:p w14:paraId="39F101AA"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152</w:t>
            </w:r>
          </w:p>
        </w:tc>
        <w:tc>
          <w:tcPr>
            <w:tcW w:w="446" w:type="dxa"/>
            <w:tcBorders>
              <w:top w:val="single" w:sz="4" w:space="0" w:color="000000"/>
              <w:left w:val="single" w:sz="4" w:space="0" w:color="000000"/>
              <w:bottom w:val="single" w:sz="4" w:space="0" w:color="000000"/>
              <w:right w:val="single" w:sz="4" w:space="0" w:color="000000"/>
            </w:tcBorders>
          </w:tcPr>
          <w:p w14:paraId="6DD9ACC6"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145</w:t>
            </w:r>
          </w:p>
        </w:tc>
        <w:tc>
          <w:tcPr>
            <w:tcW w:w="446" w:type="dxa"/>
            <w:tcBorders>
              <w:top w:val="single" w:sz="4" w:space="0" w:color="000000"/>
              <w:left w:val="single" w:sz="4" w:space="0" w:color="000000"/>
              <w:bottom w:val="single" w:sz="4" w:space="0" w:color="000000"/>
              <w:right w:val="single" w:sz="4" w:space="0" w:color="000000"/>
            </w:tcBorders>
          </w:tcPr>
          <w:p w14:paraId="52C615D9"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138</w:t>
            </w:r>
          </w:p>
        </w:tc>
        <w:tc>
          <w:tcPr>
            <w:tcW w:w="446" w:type="dxa"/>
            <w:tcBorders>
              <w:top w:val="single" w:sz="4" w:space="0" w:color="000000"/>
              <w:left w:val="single" w:sz="4" w:space="0" w:color="000000"/>
              <w:bottom w:val="single" w:sz="4" w:space="0" w:color="000000"/>
              <w:right w:val="single" w:sz="4" w:space="0" w:color="000000"/>
            </w:tcBorders>
          </w:tcPr>
          <w:p w14:paraId="144111A8"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131</w:t>
            </w:r>
          </w:p>
        </w:tc>
        <w:tc>
          <w:tcPr>
            <w:tcW w:w="446" w:type="dxa"/>
            <w:tcBorders>
              <w:top w:val="single" w:sz="4" w:space="0" w:color="000000"/>
              <w:left w:val="single" w:sz="4" w:space="0" w:color="000000"/>
              <w:bottom w:val="single" w:sz="4" w:space="0" w:color="000000"/>
              <w:right w:val="single" w:sz="4" w:space="0" w:color="000000"/>
            </w:tcBorders>
          </w:tcPr>
          <w:p w14:paraId="1F4F1C1F"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124</w:t>
            </w:r>
          </w:p>
        </w:tc>
        <w:tc>
          <w:tcPr>
            <w:tcW w:w="446" w:type="dxa"/>
            <w:tcBorders>
              <w:top w:val="single" w:sz="4" w:space="0" w:color="000000"/>
              <w:left w:val="single" w:sz="4" w:space="0" w:color="000000"/>
              <w:bottom w:val="single" w:sz="4" w:space="0" w:color="000000"/>
              <w:right w:val="single" w:sz="4" w:space="0" w:color="000000"/>
            </w:tcBorders>
          </w:tcPr>
          <w:p w14:paraId="38F68CAE"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117</w:t>
            </w:r>
          </w:p>
        </w:tc>
        <w:tc>
          <w:tcPr>
            <w:tcW w:w="446" w:type="dxa"/>
            <w:tcBorders>
              <w:top w:val="single" w:sz="4" w:space="0" w:color="000000"/>
              <w:left w:val="single" w:sz="4" w:space="0" w:color="000000"/>
              <w:bottom w:val="single" w:sz="4" w:space="0" w:color="000000"/>
              <w:right w:val="single" w:sz="4" w:space="0" w:color="000000"/>
            </w:tcBorders>
          </w:tcPr>
          <w:p w14:paraId="657FCA9F" w14:textId="77777777" w:rsidR="00CA35F4" w:rsidRPr="005A14A4" w:rsidRDefault="00CA35F4" w:rsidP="00F25B97">
            <w:pPr>
              <w:spacing w:after="0" w:line="272" w:lineRule="exact"/>
              <w:ind w:left="23"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110</w:t>
            </w:r>
          </w:p>
        </w:tc>
        <w:tc>
          <w:tcPr>
            <w:tcW w:w="448" w:type="dxa"/>
            <w:tcBorders>
              <w:top w:val="single" w:sz="4" w:space="0" w:color="000000"/>
              <w:left w:val="single" w:sz="4" w:space="0" w:color="000000"/>
              <w:bottom w:val="single" w:sz="4" w:space="0" w:color="000000"/>
              <w:right w:val="single" w:sz="4" w:space="0" w:color="000000"/>
            </w:tcBorders>
          </w:tcPr>
          <w:p w14:paraId="728D26AD"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103</w:t>
            </w:r>
          </w:p>
        </w:tc>
        <w:tc>
          <w:tcPr>
            <w:tcW w:w="445" w:type="dxa"/>
            <w:tcBorders>
              <w:top w:val="single" w:sz="4" w:space="0" w:color="000000"/>
              <w:left w:val="single" w:sz="4" w:space="0" w:color="000000"/>
              <w:bottom w:val="single" w:sz="4" w:space="0" w:color="000000"/>
              <w:right w:val="single" w:sz="4" w:space="0" w:color="000000"/>
            </w:tcBorders>
          </w:tcPr>
          <w:p w14:paraId="2C11B0C9" w14:textId="77777777" w:rsidR="00CA35F4" w:rsidRPr="005A14A4" w:rsidRDefault="00CA35F4" w:rsidP="00F25B97">
            <w:pPr>
              <w:spacing w:after="0" w:line="272" w:lineRule="exact"/>
              <w:ind w:left="172" w:right="-54"/>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96</w:t>
            </w:r>
          </w:p>
        </w:tc>
        <w:tc>
          <w:tcPr>
            <w:tcW w:w="448" w:type="dxa"/>
            <w:tcBorders>
              <w:top w:val="single" w:sz="4" w:space="0" w:color="000000"/>
              <w:left w:val="single" w:sz="4" w:space="0" w:color="000000"/>
              <w:bottom w:val="single" w:sz="4" w:space="0" w:color="000000"/>
              <w:right w:val="single" w:sz="4" w:space="0" w:color="000000"/>
            </w:tcBorders>
          </w:tcPr>
          <w:p w14:paraId="3DB7E543" w14:textId="77777777" w:rsidR="00CA35F4" w:rsidRPr="005A14A4" w:rsidRDefault="00CA35F4" w:rsidP="00F25B97">
            <w:pPr>
              <w:spacing w:after="0" w:line="272" w:lineRule="exact"/>
              <w:ind w:left="174" w:right="-54"/>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89</w:t>
            </w:r>
          </w:p>
        </w:tc>
        <w:tc>
          <w:tcPr>
            <w:tcW w:w="445" w:type="dxa"/>
            <w:tcBorders>
              <w:top w:val="single" w:sz="4" w:space="0" w:color="000000"/>
              <w:left w:val="single" w:sz="4" w:space="0" w:color="000000"/>
              <w:bottom w:val="single" w:sz="4" w:space="0" w:color="000000"/>
              <w:right w:val="single" w:sz="4" w:space="0" w:color="000000"/>
            </w:tcBorders>
          </w:tcPr>
          <w:p w14:paraId="52E317CD" w14:textId="77777777" w:rsidR="00CA35F4" w:rsidRPr="005A14A4" w:rsidRDefault="00CA35F4" w:rsidP="00F25B97">
            <w:pPr>
              <w:spacing w:after="0" w:line="272" w:lineRule="exact"/>
              <w:ind w:left="172" w:right="-54"/>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82</w:t>
            </w:r>
          </w:p>
        </w:tc>
        <w:tc>
          <w:tcPr>
            <w:tcW w:w="448" w:type="dxa"/>
            <w:tcBorders>
              <w:top w:val="single" w:sz="4" w:space="0" w:color="000000"/>
              <w:left w:val="single" w:sz="4" w:space="0" w:color="000000"/>
              <w:bottom w:val="single" w:sz="4" w:space="0" w:color="000000"/>
              <w:right w:val="single" w:sz="4" w:space="0" w:color="000000"/>
            </w:tcBorders>
          </w:tcPr>
          <w:p w14:paraId="6D14F2DB" w14:textId="77777777" w:rsidR="00CA35F4" w:rsidRPr="005A14A4" w:rsidRDefault="00CA35F4" w:rsidP="00F25B97">
            <w:pPr>
              <w:spacing w:after="0" w:line="272" w:lineRule="exact"/>
              <w:ind w:left="174" w:right="-54"/>
              <w:rPr>
                <w:rFonts w:ascii="Times New Roman" w:eastAsia="Times New Roman" w:hAnsi="Times New Roman" w:cs="Times New Roman"/>
                <w:sz w:val="20"/>
                <w:szCs w:val="20"/>
              </w:rPr>
            </w:pPr>
            <w:r w:rsidRPr="005A14A4">
              <w:rPr>
                <w:rFonts w:ascii="Times New Roman" w:eastAsia="Times New Roman" w:hAnsi="Times New Roman" w:cs="Times New Roman"/>
                <w:sz w:val="20"/>
                <w:szCs w:val="20"/>
              </w:rPr>
              <w:t>75</w:t>
            </w:r>
          </w:p>
        </w:tc>
        <w:tc>
          <w:tcPr>
            <w:tcW w:w="556" w:type="dxa"/>
            <w:tcBorders>
              <w:top w:val="single" w:sz="4" w:space="0" w:color="000000"/>
              <w:left w:val="single" w:sz="4" w:space="0" w:color="000000"/>
              <w:bottom w:val="single" w:sz="4" w:space="0" w:color="000000"/>
              <w:right w:val="single" w:sz="4" w:space="0" w:color="000000"/>
            </w:tcBorders>
          </w:tcPr>
          <w:p w14:paraId="57B59E2A" w14:textId="77777777" w:rsidR="00CA35F4" w:rsidRPr="005A14A4" w:rsidRDefault="00CA35F4" w:rsidP="00F25B97">
            <w:pPr>
              <w:spacing w:after="0" w:line="272" w:lineRule="exact"/>
              <w:ind w:left="22" w:right="-20"/>
              <w:rPr>
                <w:rFonts w:ascii="Times New Roman" w:eastAsia="Times New Roman" w:hAnsi="Times New Roman" w:cs="Times New Roman"/>
                <w:sz w:val="20"/>
                <w:szCs w:val="20"/>
              </w:rPr>
            </w:pPr>
            <w:proofErr w:type="spellStart"/>
            <w:r w:rsidRPr="005A14A4">
              <w:rPr>
                <w:rFonts w:ascii="Times New Roman" w:eastAsia="Times New Roman" w:hAnsi="Times New Roman" w:cs="Times New Roman"/>
                <w:sz w:val="20"/>
                <w:szCs w:val="20"/>
              </w:rPr>
              <w:t>мин</w:t>
            </w:r>
            <w:proofErr w:type="spellEnd"/>
            <w:r w:rsidRPr="005A14A4">
              <w:rPr>
                <w:rFonts w:ascii="Times New Roman" w:eastAsia="Times New Roman" w:hAnsi="Times New Roman" w:cs="Times New Roman"/>
                <w:sz w:val="20"/>
                <w:szCs w:val="20"/>
              </w:rPr>
              <w:t>.</w:t>
            </w:r>
          </w:p>
        </w:tc>
      </w:tr>
    </w:tbl>
    <w:p w14:paraId="1DFB8D2B" w14:textId="77777777" w:rsidR="00CA35F4" w:rsidRDefault="00CA35F4" w:rsidP="00CA35F4">
      <w:pPr>
        <w:spacing w:after="0"/>
        <w:ind w:left="360"/>
        <w:contextualSpacing/>
        <w:rPr>
          <w:rFonts w:ascii="Times New Roman" w:eastAsia="Times New Roman" w:hAnsi="Times New Roman" w:cs="Times New Roman"/>
          <w:sz w:val="24"/>
          <w:szCs w:val="24"/>
          <w:lang w:val="ru-RU"/>
        </w:rPr>
      </w:pPr>
    </w:p>
    <w:p w14:paraId="56637E77" w14:textId="77777777" w:rsidR="00CA35F4" w:rsidRPr="005A14A4" w:rsidRDefault="00CD14B7" w:rsidP="00CD14B7">
      <w:pPr>
        <w:pStyle w:val="SingleTxtG"/>
        <w:tabs>
          <w:tab w:val="left" w:pos="1701"/>
        </w:tabs>
      </w:pPr>
      <w:r>
        <w:t>3.</w:t>
      </w:r>
      <w:r>
        <w:tab/>
      </w:r>
      <w:r w:rsidR="00CA35F4" w:rsidRPr="005A14A4">
        <w:t>In the p. 6.2. of the Appendix 2 to Annex 1 of the ATP only the minimum parameter on the ambient temperature +15°C is stated and no maximum parameter on the ambient temperature is indicated. Along with this in that table there are no time parameters (in minutes) for accepting the results at the ambient temperature above +30°C, although in many countries in summer period the temperature exceeds +30°C.</w:t>
      </w:r>
    </w:p>
    <w:p w14:paraId="41F77EE3" w14:textId="77777777" w:rsidR="00FE2F1D" w:rsidRPr="005A14A4" w:rsidRDefault="00CD14B7" w:rsidP="00CD14B7">
      <w:pPr>
        <w:pStyle w:val="SingleTxtG"/>
        <w:tabs>
          <w:tab w:val="left" w:pos="1701"/>
        </w:tabs>
      </w:pPr>
      <w:r>
        <w:t>4.</w:t>
      </w:r>
      <w:r>
        <w:tab/>
      </w:r>
      <w:r w:rsidR="009F61D7" w:rsidRPr="005A14A4">
        <w:t>If the values in that table are brought into the graph</w:t>
      </w:r>
      <w:r w:rsidR="00143283" w:rsidRPr="005A14A4">
        <w:t>ic</w:t>
      </w:r>
      <w:r w:rsidR="009F61D7" w:rsidRPr="005A14A4">
        <w:t xml:space="preserve"> view, you can see that there is a </w:t>
      </w:r>
      <w:r w:rsidR="00445FC6" w:rsidRPr="005A14A4">
        <w:t xml:space="preserve">linear </w:t>
      </w:r>
      <w:r w:rsidR="009F61D7" w:rsidRPr="005A14A4">
        <w:t xml:space="preserve">dependence of the time </w:t>
      </w:r>
      <w:r w:rsidR="00143283" w:rsidRPr="005A14A4">
        <w:t xml:space="preserve">(herein further – time) </w:t>
      </w:r>
      <w:r w:rsidR="009F61D7" w:rsidRPr="005A14A4">
        <w:t xml:space="preserve">during which the internal temperature of the empty vehicle body can be lowered to the temperature assigned </w:t>
      </w:r>
      <w:r w:rsidR="00445FC6" w:rsidRPr="005A14A4">
        <w:t>for the given class of the vehicle</w:t>
      </w:r>
      <w:r w:rsidR="00FE2F1D" w:rsidRPr="005A14A4">
        <w:t>:</w:t>
      </w:r>
    </w:p>
    <w:p w14:paraId="4ECB9445" w14:textId="77777777" w:rsidR="00FE2F1D" w:rsidRDefault="00FE2F1D" w:rsidP="00FE2F1D">
      <w:pPr>
        <w:spacing w:after="0"/>
        <w:ind w:left="360"/>
        <w:contextualSpacing/>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lastRenderedPageBreak/>
        <w:drawing>
          <wp:inline distT="0" distB="0" distL="0" distR="0" wp14:anchorId="513BEB05" wp14:editId="02B3F417">
            <wp:extent cx="5429250" cy="2705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03F1AE" w14:textId="77777777" w:rsidR="00FE2F1D" w:rsidRDefault="00FE2F1D" w:rsidP="00FE2F1D">
      <w:pPr>
        <w:spacing w:after="0"/>
        <w:ind w:left="360"/>
        <w:contextualSpacing/>
        <w:rPr>
          <w:rFonts w:ascii="Times New Roman" w:eastAsia="Times New Roman" w:hAnsi="Times New Roman" w:cs="Times New Roman"/>
          <w:sz w:val="24"/>
          <w:szCs w:val="24"/>
          <w:lang w:val="ru-RU"/>
        </w:rPr>
      </w:pPr>
    </w:p>
    <w:p w14:paraId="795B9F83" w14:textId="77777777" w:rsidR="00FE2F1D" w:rsidRDefault="00CD14B7" w:rsidP="00CD14B7">
      <w:pPr>
        <w:pStyle w:val="SingleTxtG"/>
        <w:tabs>
          <w:tab w:val="left" w:pos="1701"/>
        </w:tabs>
        <w:rPr>
          <w:lang w:val="en-US"/>
        </w:rPr>
      </w:pPr>
      <w:r>
        <w:rPr>
          <w:lang w:val="en-US"/>
        </w:rPr>
        <w:t>5.</w:t>
      </w:r>
      <w:r>
        <w:rPr>
          <w:lang w:val="en-US"/>
        </w:rPr>
        <w:tab/>
      </w:r>
      <w:r w:rsidR="003D3537">
        <w:rPr>
          <w:lang w:val="en-US"/>
        </w:rPr>
        <w:t>For</w:t>
      </w:r>
      <w:r w:rsidR="003D3537" w:rsidRPr="003D3537">
        <w:rPr>
          <w:lang w:val="en-US"/>
        </w:rPr>
        <w:t xml:space="preserve"> </w:t>
      </w:r>
      <w:r w:rsidR="003D3537">
        <w:rPr>
          <w:lang w:val="en-US"/>
        </w:rPr>
        <w:t>the</w:t>
      </w:r>
      <w:r w:rsidR="003D3537" w:rsidRPr="003D3537">
        <w:rPr>
          <w:lang w:val="en-US"/>
        </w:rPr>
        <w:t xml:space="preserve"> </w:t>
      </w:r>
      <w:r w:rsidR="003D3537">
        <w:rPr>
          <w:lang w:val="en-US"/>
        </w:rPr>
        <w:t>vehicles</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classes</w:t>
      </w:r>
      <w:r w:rsidR="003D3537" w:rsidRPr="003D3537">
        <w:rPr>
          <w:lang w:val="en-US"/>
        </w:rPr>
        <w:t xml:space="preserve"> </w:t>
      </w:r>
      <w:r w:rsidR="00FE2F1D" w:rsidRPr="0022554B">
        <w:rPr>
          <w:lang w:val="en-US"/>
        </w:rPr>
        <w:t>C</w:t>
      </w:r>
      <w:r w:rsidR="00FE2F1D" w:rsidRPr="003D3537">
        <w:rPr>
          <w:lang w:val="en-US"/>
        </w:rPr>
        <w:t xml:space="preserve">, </w:t>
      </w:r>
      <w:r w:rsidR="00FE2F1D" w:rsidRPr="0022554B">
        <w:rPr>
          <w:lang w:val="en-US"/>
        </w:rPr>
        <w:t>F</w:t>
      </w:r>
      <w:r w:rsidR="00FE2F1D" w:rsidRPr="003D3537">
        <w:rPr>
          <w:lang w:val="en-US"/>
        </w:rPr>
        <w:t xml:space="preserve"> </w:t>
      </w:r>
      <w:r w:rsidR="003D3537">
        <w:rPr>
          <w:lang w:val="en-US"/>
        </w:rPr>
        <w:t>the time increase in 10 minutes is</w:t>
      </w:r>
      <w:r w:rsidR="003D3537" w:rsidRPr="003D3537">
        <w:rPr>
          <w:lang w:val="en-US"/>
        </w:rPr>
        <w:t xml:space="preserve"> provided for </w:t>
      </w:r>
      <w:r w:rsidR="003D3537">
        <w:rPr>
          <w:lang w:val="en-US"/>
        </w:rPr>
        <w:t>the</w:t>
      </w:r>
      <w:r w:rsidR="003D3537" w:rsidRPr="003D3537">
        <w:rPr>
          <w:lang w:val="en-US"/>
        </w:rPr>
        <w:t xml:space="preserve"> </w:t>
      </w:r>
      <w:r w:rsidR="003D3537">
        <w:rPr>
          <w:lang w:val="en-US"/>
        </w:rPr>
        <w:t>increase</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ambient</w:t>
      </w:r>
      <w:r w:rsidR="003D3537" w:rsidRPr="003D3537">
        <w:rPr>
          <w:lang w:val="en-US"/>
        </w:rPr>
        <w:t xml:space="preserve"> </w:t>
      </w:r>
      <w:r w:rsidR="003D3537">
        <w:rPr>
          <w:lang w:val="en-US"/>
        </w:rPr>
        <w:t>temperature</w:t>
      </w:r>
      <w:r w:rsidR="003D3537" w:rsidRPr="003D3537">
        <w:rPr>
          <w:lang w:val="en-US"/>
        </w:rPr>
        <w:t xml:space="preserve"> </w:t>
      </w:r>
      <w:r w:rsidR="003D3537">
        <w:rPr>
          <w:lang w:val="en-US"/>
        </w:rPr>
        <w:t xml:space="preserve">in </w:t>
      </w:r>
      <w:r w:rsidR="00FE2F1D" w:rsidRPr="003D3537">
        <w:rPr>
          <w:lang w:val="en-US"/>
        </w:rPr>
        <w:t>1°</w:t>
      </w:r>
      <w:r w:rsidR="00FE2F1D" w:rsidRPr="0022554B">
        <w:t>C</w:t>
      </w:r>
      <w:r w:rsidR="00FE2F1D" w:rsidRPr="003D3537">
        <w:rPr>
          <w:lang w:val="en-US"/>
        </w:rPr>
        <w:t>;</w:t>
      </w:r>
    </w:p>
    <w:p w14:paraId="4B0355CE" w14:textId="77777777" w:rsidR="003D3537" w:rsidRDefault="00CD14B7" w:rsidP="00CD14B7">
      <w:pPr>
        <w:pStyle w:val="SingleTxtG"/>
        <w:tabs>
          <w:tab w:val="left" w:pos="1701"/>
        </w:tabs>
        <w:rPr>
          <w:lang w:val="en-US"/>
        </w:rPr>
      </w:pPr>
      <w:r>
        <w:rPr>
          <w:lang w:val="en-US"/>
        </w:rPr>
        <w:t>6.</w:t>
      </w:r>
      <w:r>
        <w:rPr>
          <w:lang w:val="en-US"/>
        </w:rPr>
        <w:tab/>
      </w:r>
      <w:r w:rsidR="003D3537">
        <w:rPr>
          <w:lang w:val="en-US"/>
        </w:rPr>
        <w:t>For</w:t>
      </w:r>
      <w:r w:rsidR="003D3537" w:rsidRPr="003D3537">
        <w:rPr>
          <w:lang w:val="en-US"/>
        </w:rPr>
        <w:t xml:space="preserve"> </w:t>
      </w:r>
      <w:r w:rsidR="003D3537">
        <w:rPr>
          <w:lang w:val="en-US"/>
        </w:rPr>
        <w:t>the</w:t>
      </w:r>
      <w:r w:rsidR="003D3537" w:rsidRPr="003D3537">
        <w:rPr>
          <w:lang w:val="en-US"/>
        </w:rPr>
        <w:t xml:space="preserve"> </w:t>
      </w:r>
      <w:r w:rsidR="003D3537">
        <w:rPr>
          <w:lang w:val="en-US"/>
        </w:rPr>
        <w:t>vehicles</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classes</w:t>
      </w:r>
      <w:r w:rsidR="003D3537" w:rsidRPr="003D3537">
        <w:rPr>
          <w:lang w:val="en-US"/>
        </w:rPr>
        <w:t xml:space="preserve"> </w:t>
      </w:r>
      <w:r w:rsidR="003D3537">
        <w:rPr>
          <w:lang w:val="en-US"/>
        </w:rPr>
        <w:t>A</w:t>
      </w:r>
      <w:r w:rsidR="003D3537" w:rsidRPr="003D3537">
        <w:rPr>
          <w:lang w:val="en-US"/>
        </w:rPr>
        <w:t xml:space="preserve">, </w:t>
      </w:r>
      <w:r w:rsidR="003D3537">
        <w:rPr>
          <w:lang w:val="en-US"/>
        </w:rPr>
        <w:t>D</w:t>
      </w:r>
      <w:r w:rsidR="003D3537" w:rsidRPr="003D3537">
        <w:rPr>
          <w:lang w:val="en-US"/>
        </w:rPr>
        <w:t xml:space="preserve"> </w:t>
      </w:r>
      <w:r w:rsidR="003D3537">
        <w:rPr>
          <w:lang w:val="en-US"/>
        </w:rPr>
        <w:t>the time increase in 7 minutes is</w:t>
      </w:r>
      <w:r w:rsidR="003D3537" w:rsidRPr="003D3537">
        <w:rPr>
          <w:lang w:val="en-US"/>
        </w:rPr>
        <w:t xml:space="preserve"> provided for </w:t>
      </w:r>
      <w:r w:rsidR="003D3537">
        <w:rPr>
          <w:lang w:val="en-US"/>
        </w:rPr>
        <w:t>the</w:t>
      </w:r>
      <w:r w:rsidR="003D3537" w:rsidRPr="003D3537">
        <w:rPr>
          <w:lang w:val="en-US"/>
        </w:rPr>
        <w:t xml:space="preserve"> </w:t>
      </w:r>
      <w:r w:rsidR="003D3537">
        <w:rPr>
          <w:lang w:val="en-US"/>
        </w:rPr>
        <w:t>increase</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ambient</w:t>
      </w:r>
      <w:r w:rsidR="003D3537" w:rsidRPr="003D3537">
        <w:rPr>
          <w:lang w:val="en-US"/>
        </w:rPr>
        <w:t xml:space="preserve"> </w:t>
      </w:r>
      <w:r w:rsidR="003D3537">
        <w:rPr>
          <w:lang w:val="en-US"/>
        </w:rPr>
        <w:t>temperature</w:t>
      </w:r>
      <w:r w:rsidR="003D3537" w:rsidRPr="003D3537">
        <w:rPr>
          <w:lang w:val="en-US"/>
        </w:rPr>
        <w:t xml:space="preserve"> </w:t>
      </w:r>
      <w:r w:rsidR="003D3537">
        <w:rPr>
          <w:lang w:val="en-US"/>
        </w:rPr>
        <w:t xml:space="preserve">in </w:t>
      </w:r>
      <w:r w:rsidR="003D3537" w:rsidRPr="003D3537">
        <w:rPr>
          <w:lang w:val="en-US"/>
        </w:rPr>
        <w:t>1°</w:t>
      </w:r>
      <w:r w:rsidR="003D3537" w:rsidRPr="0022554B">
        <w:t>C</w:t>
      </w:r>
      <w:r w:rsidR="003D3537" w:rsidRPr="003D3537">
        <w:rPr>
          <w:lang w:val="en-US"/>
        </w:rPr>
        <w:t>;</w:t>
      </w:r>
    </w:p>
    <w:p w14:paraId="59FFAB5B" w14:textId="77777777" w:rsidR="00FE2F1D" w:rsidRPr="003D3537" w:rsidRDefault="00CD14B7" w:rsidP="00CD14B7">
      <w:pPr>
        <w:pStyle w:val="SingleTxtG"/>
        <w:tabs>
          <w:tab w:val="left" w:pos="1701"/>
        </w:tabs>
        <w:rPr>
          <w:lang w:val="en-US"/>
        </w:rPr>
      </w:pPr>
      <w:r>
        <w:rPr>
          <w:lang w:val="en-US"/>
        </w:rPr>
        <w:t>7.</w:t>
      </w:r>
      <w:r>
        <w:rPr>
          <w:lang w:val="en-US"/>
        </w:rPr>
        <w:tab/>
      </w:r>
      <w:r w:rsidR="003D3537">
        <w:rPr>
          <w:lang w:val="en-US"/>
        </w:rPr>
        <w:t>For</w:t>
      </w:r>
      <w:r w:rsidR="003D3537" w:rsidRPr="003D3537">
        <w:rPr>
          <w:lang w:val="en-US"/>
        </w:rPr>
        <w:t xml:space="preserve"> </w:t>
      </w:r>
      <w:r w:rsidR="003D3537">
        <w:rPr>
          <w:lang w:val="en-US"/>
        </w:rPr>
        <w:t>the</w:t>
      </w:r>
      <w:r w:rsidR="003D3537" w:rsidRPr="003D3537">
        <w:rPr>
          <w:lang w:val="en-US"/>
        </w:rPr>
        <w:t xml:space="preserve"> </w:t>
      </w:r>
      <w:r w:rsidR="003D3537">
        <w:rPr>
          <w:lang w:val="en-US"/>
        </w:rPr>
        <w:t>vehicles</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classes</w:t>
      </w:r>
      <w:r w:rsidR="003D3537" w:rsidRPr="003D3537">
        <w:rPr>
          <w:lang w:val="en-US"/>
        </w:rPr>
        <w:t xml:space="preserve"> </w:t>
      </w:r>
      <w:r w:rsidR="003D3537">
        <w:rPr>
          <w:lang w:val="en-US"/>
        </w:rPr>
        <w:t>B</w:t>
      </w:r>
      <w:r w:rsidR="003D3537" w:rsidRPr="003D3537">
        <w:rPr>
          <w:lang w:val="en-US"/>
        </w:rPr>
        <w:t xml:space="preserve">, </w:t>
      </w:r>
      <w:r w:rsidR="003D3537">
        <w:rPr>
          <w:lang w:val="en-US"/>
        </w:rPr>
        <w:t>E</w:t>
      </w:r>
      <w:r w:rsidR="003D3537" w:rsidRPr="003D3537">
        <w:rPr>
          <w:lang w:val="en-US"/>
        </w:rPr>
        <w:t xml:space="preserve"> </w:t>
      </w:r>
      <w:r w:rsidR="003D3537">
        <w:rPr>
          <w:lang w:val="en-US"/>
        </w:rPr>
        <w:t>the time increase in 8 minutes or 9 minutes by turn is</w:t>
      </w:r>
      <w:r w:rsidR="003D3537" w:rsidRPr="003D3537">
        <w:rPr>
          <w:lang w:val="en-US"/>
        </w:rPr>
        <w:t xml:space="preserve"> provided for </w:t>
      </w:r>
      <w:r w:rsidR="003D3537">
        <w:rPr>
          <w:lang w:val="en-US"/>
        </w:rPr>
        <w:t>the</w:t>
      </w:r>
      <w:r w:rsidR="003D3537" w:rsidRPr="003D3537">
        <w:rPr>
          <w:lang w:val="en-US"/>
        </w:rPr>
        <w:t xml:space="preserve"> </w:t>
      </w:r>
      <w:r w:rsidR="003D3537">
        <w:rPr>
          <w:lang w:val="en-US"/>
        </w:rPr>
        <w:t>increase</w:t>
      </w:r>
      <w:r w:rsidR="003D3537" w:rsidRPr="003D3537">
        <w:rPr>
          <w:lang w:val="en-US"/>
        </w:rPr>
        <w:t xml:space="preserve"> </w:t>
      </w:r>
      <w:r w:rsidR="003D3537">
        <w:rPr>
          <w:lang w:val="en-US"/>
        </w:rPr>
        <w:t>of</w:t>
      </w:r>
      <w:r w:rsidR="003D3537" w:rsidRPr="003D3537">
        <w:rPr>
          <w:lang w:val="en-US"/>
        </w:rPr>
        <w:t xml:space="preserve"> </w:t>
      </w:r>
      <w:r w:rsidR="003D3537">
        <w:rPr>
          <w:lang w:val="en-US"/>
        </w:rPr>
        <w:t>the</w:t>
      </w:r>
      <w:r w:rsidR="003D3537" w:rsidRPr="003D3537">
        <w:rPr>
          <w:lang w:val="en-US"/>
        </w:rPr>
        <w:t xml:space="preserve"> </w:t>
      </w:r>
      <w:r w:rsidR="003D3537">
        <w:rPr>
          <w:lang w:val="en-US"/>
        </w:rPr>
        <w:t>ambient</w:t>
      </w:r>
      <w:r w:rsidR="003D3537" w:rsidRPr="003D3537">
        <w:rPr>
          <w:lang w:val="en-US"/>
        </w:rPr>
        <w:t xml:space="preserve"> </w:t>
      </w:r>
      <w:r w:rsidR="003D3537">
        <w:rPr>
          <w:lang w:val="en-US"/>
        </w:rPr>
        <w:t>temperature</w:t>
      </w:r>
      <w:r w:rsidR="003D3537" w:rsidRPr="003D3537">
        <w:rPr>
          <w:lang w:val="en-US"/>
        </w:rPr>
        <w:t xml:space="preserve"> </w:t>
      </w:r>
      <w:r w:rsidR="003D3537">
        <w:rPr>
          <w:lang w:val="en-US"/>
        </w:rPr>
        <w:t xml:space="preserve">in </w:t>
      </w:r>
      <w:r w:rsidR="003D3537" w:rsidRPr="003D3537">
        <w:rPr>
          <w:lang w:val="en-US"/>
        </w:rPr>
        <w:t>1°</w:t>
      </w:r>
      <w:r w:rsidR="003D3537" w:rsidRPr="0022554B">
        <w:t>C</w:t>
      </w:r>
      <w:r w:rsidR="00FE2F1D" w:rsidRPr="003D3537">
        <w:rPr>
          <w:lang w:val="en-US"/>
        </w:rPr>
        <w:t>.</w:t>
      </w:r>
    </w:p>
    <w:p w14:paraId="405DB500" w14:textId="77777777" w:rsidR="003D3537" w:rsidRDefault="00CD14B7" w:rsidP="00CD14B7">
      <w:pPr>
        <w:pStyle w:val="SingleTxtG"/>
        <w:tabs>
          <w:tab w:val="left" w:pos="1701"/>
        </w:tabs>
      </w:pPr>
      <w:r>
        <w:rPr>
          <w:lang w:val="en-US"/>
        </w:rPr>
        <w:t>8.</w:t>
      </w:r>
      <w:r>
        <w:rPr>
          <w:lang w:val="en-US"/>
        </w:rPr>
        <w:tab/>
      </w:r>
      <w:r w:rsidR="003D3537">
        <w:rPr>
          <w:lang w:val="en-US"/>
        </w:rPr>
        <w:t>Would</w:t>
      </w:r>
      <w:r w:rsidR="003D3537" w:rsidRPr="003D3537">
        <w:rPr>
          <w:lang w:val="en-US"/>
        </w:rPr>
        <w:t xml:space="preserve"> </w:t>
      </w:r>
      <w:r w:rsidR="003D3537">
        <w:rPr>
          <w:lang w:val="en-US"/>
        </w:rPr>
        <w:t>you</w:t>
      </w:r>
      <w:r w:rsidR="003D3537" w:rsidRPr="003D3537">
        <w:rPr>
          <w:lang w:val="en-US"/>
        </w:rPr>
        <w:t xml:space="preserve">, </w:t>
      </w:r>
      <w:r w:rsidR="003D3537">
        <w:rPr>
          <w:lang w:val="en-US"/>
        </w:rPr>
        <w:t>please</w:t>
      </w:r>
      <w:r w:rsidR="003D3537" w:rsidRPr="003D3537">
        <w:rPr>
          <w:lang w:val="en-US"/>
        </w:rPr>
        <w:t xml:space="preserve">, </w:t>
      </w:r>
      <w:r w:rsidR="003D3537">
        <w:rPr>
          <w:lang w:val="en-US"/>
        </w:rPr>
        <w:t>clarify</w:t>
      </w:r>
      <w:r w:rsidR="003D3537" w:rsidRPr="003D3537">
        <w:rPr>
          <w:lang w:val="en-US"/>
        </w:rPr>
        <w:t xml:space="preserve">, </w:t>
      </w:r>
      <w:r w:rsidR="003D3537">
        <w:rPr>
          <w:lang w:val="en-US"/>
        </w:rPr>
        <w:t>if</w:t>
      </w:r>
      <w:r w:rsidR="003D3537" w:rsidRPr="003D3537">
        <w:rPr>
          <w:lang w:val="en-US"/>
        </w:rPr>
        <w:t xml:space="preserve"> </w:t>
      </w:r>
      <w:r w:rsidR="003D3537">
        <w:rPr>
          <w:lang w:val="en-US"/>
        </w:rPr>
        <w:t xml:space="preserve">the check of the effectiveness of the thermal equipment of the vehicles </w:t>
      </w:r>
      <w:r w:rsidR="009428C4">
        <w:rPr>
          <w:lang w:val="en-US"/>
        </w:rPr>
        <w:t xml:space="preserve">can be processed at ambient temperature above </w:t>
      </w:r>
      <w:r w:rsidR="009428C4" w:rsidRPr="00CA35F4">
        <w:rPr>
          <w:lang w:val="en-US"/>
        </w:rPr>
        <w:t>+</w:t>
      </w:r>
      <w:r w:rsidR="009428C4">
        <w:rPr>
          <w:lang w:val="en-US"/>
        </w:rPr>
        <w:t>30</w:t>
      </w:r>
      <w:r w:rsidR="009428C4" w:rsidRPr="00CA35F4">
        <w:rPr>
          <w:lang w:val="en-US"/>
        </w:rPr>
        <w:t>°</w:t>
      </w:r>
      <w:r w:rsidR="009428C4" w:rsidRPr="0022554B">
        <w:t>C</w:t>
      </w:r>
      <w:r w:rsidR="009428C4">
        <w:t xml:space="preserve"> under condition that the value of the maximum time is defined by calculation according to the above brought dependence.</w:t>
      </w:r>
    </w:p>
    <w:p w14:paraId="65F58CE6" w14:textId="77777777" w:rsidR="00504FFD" w:rsidRDefault="00CD14B7" w:rsidP="00CD14B7">
      <w:pPr>
        <w:pStyle w:val="SingleTxtG"/>
        <w:tabs>
          <w:tab w:val="left" w:pos="1701"/>
        </w:tabs>
      </w:pPr>
      <w:r>
        <w:rPr>
          <w:lang w:val="en-US"/>
        </w:rPr>
        <w:t>9.</w:t>
      </w:r>
      <w:r>
        <w:rPr>
          <w:lang w:val="en-US"/>
        </w:rPr>
        <w:tab/>
      </w:r>
      <w:r w:rsidR="009428C4">
        <w:rPr>
          <w:lang w:val="en-US"/>
        </w:rPr>
        <w:t>Russian</w:t>
      </w:r>
      <w:r w:rsidR="009428C4" w:rsidRPr="009428C4">
        <w:rPr>
          <w:lang w:val="en-US"/>
        </w:rPr>
        <w:t xml:space="preserve"> </w:t>
      </w:r>
      <w:r w:rsidR="009428C4">
        <w:rPr>
          <w:lang w:val="en-US"/>
        </w:rPr>
        <w:t>Federation</w:t>
      </w:r>
      <w:r w:rsidR="009428C4" w:rsidRPr="009428C4">
        <w:rPr>
          <w:lang w:val="en-US"/>
        </w:rPr>
        <w:t xml:space="preserve"> </w:t>
      </w:r>
      <w:r w:rsidR="009428C4">
        <w:rPr>
          <w:lang w:val="en-US"/>
        </w:rPr>
        <w:t>is</w:t>
      </w:r>
      <w:r w:rsidR="009428C4" w:rsidRPr="009428C4">
        <w:rPr>
          <w:lang w:val="en-US"/>
        </w:rPr>
        <w:t xml:space="preserve"> </w:t>
      </w:r>
      <w:r w:rsidR="009428C4">
        <w:rPr>
          <w:lang w:val="en-US"/>
        </w:rPr>
        <w:t>ready</w:t>
      </w:r>
      <w:r w:rsidR="009428C4" w:rsidRPr="009428C4">
        <w:rPr>
          <w:lang w:val="en-US"/>
        </w:rPr>
        <w:t xml:space="preserve"> </w:t>
      </w:r>
      <w:r w:rsidR="009428C4">
        <w:rPr>
          <w:lang w:val="en-US"/>
        </w:rPr>
        <w:t>to</w:t>
      </w:r>
      <w:r w:rsidR="009428C4" w:rsidRPr="009428C4">
        <w:rPr>
          <w:lang w:val="en-US"/>
        </w:rPr>
        <w:t xml:space="preserve"> </w:t>
      </w:r>
      <w:r w:rsidR="009428C4">
        <w:rPr>
          <w:lang w:val="en-US"/>
        </w:rPr>
        <w:t>prepare</w:t>
      </w:r>
      <w:r w:rsidR="009428C4" w:rsidRPr="009428C4">
        <w:rPr>
          <w:lang w:val="en-US"/>
        </w:rPr>
        <w:t xml:space="preserve"> </w:t>
      </w:r>
      <w:r w:rsidR="009428C4">
        <w:rPr>
          <w:lang w:val="en-US"/>
        </w:rPr>
        <w:t>for</w:t>
      </w:r>
      <w:r w:rsidR="009428C4" w:rsidRPr="009428C4">
        <w:rPr>
          <w:lang w:val="en-US"/>
        </w:rPr>
        <w:t xml:space="preserve"> </w:t>
      </w:r>
      <w:r w:rsidR="009428C4">
        <w:rPr>
          <w:lang w:val="en-US"/>
        </w:rPr>
        <w:t>the</w:t>
      </w:r>
      <w:r w:rsidR="009428C4" w:rsidRPr="009428C4">
        <w:rPr>
          <w:lang w:val="en-US"/>
        </w:rPr>
        <w:t xml:space="preserve"> </w:t>
      </w:r>
      <w:r w:rsidR="009428C4">
        <w:rPr>
          <w:lang w:val="en-US"/>
        </w:rPr>
        <w:t>next</w:t>
      </w:r>
      <w:r w:rsidR="009428C4" w:rsidRPr="009428C4">
        <w:rPr>
          <w:lang w:val="en-US"/>
        </w:rPr>
        <w:t xml:space="preserve"> </w:t>
      </w:r>
      <w:r w:rsidR="009428C4">
        <w:rPr>
          <w:lang w:val="en-US"/>
        </w:rPr>
        <w:t>session</w:t>
      </w:r>
      <w:r w:rsidR="009428C4" w:rsidRPr="009428C4">
        <w:rPr>
          <w:lang w:val="en-US"/>
        </w:rPr>
        <w:t xml:space="preserve"> </w:t>
      </w:r>
      <w:r w:rsidR="009428C4">
        <w:rPr>
          <w:lang w:val="en-US"/>
        </w:rPr>
        <w:t>the</w:t>
      </w:r>
      <w:r w:rsidR="009428C4" w:rsidRPr="009428C4">
        <w:rPr>
          <w:lang w:val="en-US"/>
        </w:rPr>
        <w:t xml:space="preserve"> </w:t>
      </w:r>
      <w:r w:rsidR="009428C4">
        <w:rPr>
          <w:lang w:val="en-US"/>
        </w:rPr>
        <w:t>proposal</w:t>
      </w:r>
      <w:r w:rsidR="009428C4" w:rsidRPr="009428C4">
        <w:rPr>
          <w:lang w:val="en-US"/>
        </w:rPr>
        <w:t xml:space="preserve"> </w:t>
      </w:r>
      <w:r w:rsidR="009428C4">
        <w:rPr>
          <w:lang w:val="en-US"/>
        </w:rPr>
        <w:t>on</w:t>
      </w:r>
      <w:r w:rsidR="009428C4" w:rsidRPr="009428C4">
        <w:rPr>
          <w:lang w:val="en-US"/>
        </w:rPr>
        <w:t xml:space="preserve"> </w:t>
      </w:r>
      <w:r w:rsidR="009428C4">
        <w:rPr>
          <w:lang w:val="en-US"/>
        </w:rPr>
        <w:t>the</w:t>
      </w:r>
      <w:r w:rsidR="009428C4" w:rsidRPr="009428C4">
        <w:rPr>
          <w:lang w:val="en-US"/>
        </w:rPr>
        <w:t xml:space="preserve"> </w:t>
      </w:r>
      <w:r w:rsidR="009428C4">
        <w:rPr>
          <w:lang w:val="en-US"/>
        </w:rPr>
        <w:t>including</w:t>
      </w:r>
      <w:r w:rsidR="009428C4" w:rsidRPr="009428C4">
        <w:rPr>
          <w:lang w:val="en-US"/>
        </w:rPr>
        <w:t xml:space="preserve"> </w:t>
      </w:r>
      <w:r w:rsidR="009428C4">
        <w:rPr>
          <w:lang w:val="en-US"/>
        </w:rPr>
        <w:t>the</w:t>
      </w:r>
      <w:r w:rsidR="009428C4" w:rsidRPr="009428C4">
        <w:rPr>
          <w:lang w:val="en-US"/>
        </w:rPr>
        <w:t xml:space="preserve"> </w:t>
      </w:r>
      <w:r w:rsidR="009428C4">
        <w:rPr>
          <w:lang w:val="en-US"/>
        </w:rPr>
        <w:t>amendments to</w:t>
      </w:r>
      <w:r w:rsidR="009428C4" w:rsidRPr="009428C4">
        <w:rPr>
          <w:lang w:val="en-US"/>
        </w:rPr>
        <w:t xml:space="preserve"> </w:t>
      </w:r>
      <w:r w:rsidR="009428C4">
        <w:rPr>
          <w:lang w:val="en-US"/>
        </w:rPr>
        <w:t>the</w:t>
      </w:r>
      <w:r w:rsidR="009428C4" w:rsidRPr="009428C4">
        <w:rPr>
          <w:lang w:val="en-US"/>
        </w:rPr>
        <w:t xml:space="preserve"> </w:t>
      </w:r>
      <w:r w:rsidR="009428C4">
        <w:rPr>
          <w:lang w:val="en-US"/>
        </w:rPr>
        <w:t>p</w:t>
      </w:r>
      <w:r w:rsidR="009428C4" w:rsidRPr="00CA35F4">
        <w:rPr>
          <w:lang w:val="en-US"/>
        </w:rPr>
        <w:t xml:space="preserve">. </w:t>
      </w:r>
      <w:r w:rsidR="009428C4" w:rsidRPr="00785049">
        <w:rPr>
          <w:lang w:val="en-US" w:eastAsia="ru-RU"/>
        </w:rPr>
        <w:t xml:space="preserve">6.2. </w:t>
      </w:r>
      <w:r w:rsidR="009428C4" w:rsidRPr="00CA35F4">
        <w:rPr>
          <w:lang w:val="en-US" w:eastAsia="ru-RU"/>
        </w:rPr>
        <w:t>o</w:t>
      </w:r>
      <w:r w:rsidR="009428C4">
        <w:rPr>
          <w:lang w:val="en-US" w:eastAsia="ru-RU"/>
        </w:rPr>
        <w:t xml:space="preserve">f the Appendix </w:t>
      </w:r>
      <w:r w:rsidR="009428C4" w:rsidRPr="00785049">
        <w:rPr>
          <w:lang w:val="en-US" w:eastAsia="ru-RU"/>
        </w:rPr>
        <w:t xml:space="preserve">2 </w:t>
      </w:r>
      <w:r w:rsidR="009428C4">
        <w:rPr>
          <w:lang w:val="en-US" w:eastAsia="ru-RU"/>
        </w:rPr>
        <w:t>to Annex 1</w:t>
      </w:r>
      <w:r w:rsidR="009428C4" w:rsidRPr="00785049">
        <w:rPr>
          <w:lang w:val="en-US" w:eastAsia="ru-RU"/>
        </w:rPr>
        <w:t xml:space="preserve"> </w:t>
      </w:r>
      <w:r w:rsidR="009428C4">
        <w:rPr>
          <w:lang w:val="en-US" w:eastAsia="ru-RU"/>
        </w:rPr>
        <w:t>of the ATP</w:t>
      </w:r>
      <w:r w:rsidR="009428C4" w:rsidRPr="009428C4">
        <w:rPr>
          <w:lang w:val="en-US"/>
        </w:rPr>
        <w:t xml:space="preserve"> </w:t>
      </w:r>
      <w:r w:rsidR="009428C4">
        <w:rPr>
          <w:lang w:val="en-US"/>
        </w:rPr>
        <w:t xml:space="preserve">in the form of adding the table with time values under condition of the ambient temperature from </w:t>
      </w:r>
      <w:r w:rsidR="009428C4" w:rsidRPr="00CA35F4">
        <w:rPr>
          <w:lang w:val="en-US"/>
        </w:rPr>
        <w:t>+</w:t>
      </w:r>
      <w:r w:rsidR="009428C4">
        <w:rPr>
          <w:lang w:val="en-US"/>
        </w:rPr>
        <w:t>30</w:t>
      </w:r>
      <w:r w:rsidR="009428C4" w:rsidRPr="00CA35F4">
        <w:rPr>
          <w:lang w:val="en-US"/>
        </w:rPr>
        <w:t>°</w:t>
      </w:r>
      <w:r w:rsidR="009428C4" w:rsidRPr="0022554B">
        <w:t>C</w:t>
      </w:r>
      <w:r w:rsidR="009428C4">
        <w:t xml:space="preserve"> to </w:t>
      </w:r>
      <w:r w:rsidR="009428C4" w:rsidRPr="00CA35F4">
        <w:rPr>
          <w:lang w:val="en-US"/>
        </w:rPr>
        <w:t>+</w:t>
      </w:r>
      <w:r w:rsidR="009428C4">
        <w:rPr>
          <w:lang w:val="en-US"/>
        </w:rPr>
        <w:t>45</w:t>
      </w:r>
      <w:r w:rsidR="009428C4" w:rsidRPr="00CA35F4">
        <w:rPr>
          <w:lang w:val="en-US"/>
        </w:rPr>
        <w:t>°</w:t>
      </w:r>
      <w:r w:rsidR="009428C4" w:rsidRPr="0022554B">
        <w:t>C</w:t>
      </w:r>
      <w:r w:rsidR="009428C4">
        <w:t>.</w:t>
      </w:r>
    </w:p>
    <w:p w14:paraId="182B53D6" w14:textId="77777777" w:rsidR="005A14A4" w:rsidRPr="005A14A4" w:rsidRDefault="005A14A4" w:rsidP="005A14A4">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5A14A4" w:rsidRPr="005A14A4" w:rsidSect="005A14A4">
      <w:headerReference w:type="default" r:id="rId7"/>
      <w:footerReference w:type="even" r:id="rId8"/>
      <w:footerReference w:type="default" r:id="rId9"/>
      <w:footerReference w:type="first" r:id="rId1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93AE" w14:textId="77777777" w:rsidR="00FC6E4E" w:rsidRDefault="00CD14B7">
      <w:pPr>
        <w:spacing w:after="0" w:line="240" w:lineRule="auto"/>
      </w:pPr>
      <w:r>
        <w:separator/>
      </w:r>
    </w:p>
  </w:endnote>
  <w:endnote w:type="continuationSeparator" w:id="0">
    <w:p w14:paraId="68957D28" w14:textId="77777777" w:rsidR="00FC6E4E" w:rsidRDefault="00CD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F49" w14:textId="77777777" w:rsidR="00B00760" w:rsidRPr="00B00760" w:rsidRDefault="009428C4"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E6E3" w14:textId="77777777" w:rsidR="00B00760" w:rsidRPr="005A14A4" w:rsidRDefault="009428C4" w:rsidP="005A14A4">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E036" w14:textId="77777777" w:rsidR="00B00760" w:rsidRPr="00B00760" w:rsidRDefault="009428C4"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D3537">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BE97" w14:textId="77777777" w:rsidR="00FC6E4E" w:rsidRDefault="00CD14B7">
      <w:pPr>
        <w:spacing w:after="0" w:line="240" w:lineRule="auto"/>
      </w:pPr>
      <w:r>
        <w:separator/>
      </w:r>
    </w:p>
  </w:footnote>
  <w:footnote w:type="continuationSeparator" w:id="0">
    <w:p w14:paraId="073D5185" w14:textId="77777777" w:rsidR="00FC6E4E" w:rsidRDefault="00CD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351F" w14:textId="77777777" w:rsidR="00B00760" w:rsidRPr="00B00760" w:rsidRDefault="009428C4"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w:t>
    </w:r>
    <w:r w:rsidR="005A14A4">
      <w:rPr>
        <w:rFonts w:ascii="Times New Roman" w:hAnsi="Times New Roman"/>
        <w:b/>
        <w:sz w:val="18"/>
        <w:szCs w:val="18"/>
        <w:lang w:val="fr-CH"/>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1D"/>
    <w:rsid w:val="00143283"/>
    <w:rsid w:val="00187D43"/>
    <w:rsid w:val="003D3537"/>
    <w:rsid w:val="00445FC6"/>
    <w:rsid w:val="005034BA"/>
    <w:rsid w:val="00504FFD"/>
    <w:rsid w:val="005A14A4"/>
    <w:rsid w:val="005C5E6C"/>
    <w:rsid w:val="00785049"/>
    <w:rsid w:val="009428C4"/>
    <w:rsid w:val="009F61D7"/>
    <w:rsid w:val="00A44923"/>
    <w:rsid w:val="00CA35F4"/>
    <w:rsid w:val="00CD14B7"/>
    <w:rsid w:val="00FC6E4E"/>
    <w:rsid w:val="00FE2F1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CE917"/>
  <w15:chartTrackingRefBased/>
  <w15:docId w15:val="{8D81D40D-6C4D-4FEE-9C43-CAE31D4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1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R">
    <w:name w:val="_ H _Ch_GR"/>
    <w:basedOn w:val="Normal"/>
    <w:next w:val="Normal"/>
    <w:rsid w:val="00FE2F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styleId="Header">
    <w:name w:val="header"/>
    <w:basedOn w:val="Normal"/>
    <w:link w:val="HeaderChar"/>
    <w:uiPriority w:val="99"/>
    <w:unhideWhenUsed/>
    <w:rsid w:val="00FE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F1D"/>
    <w:rPr>
      <w:lang w:val="en-GB"/>
    </w:rPr>
  </w:style>
  <w:style w:type="paragraph" w:styleId="Footer">
    <w:name w:val="footer"/>
    <w:basedOn w:val="Normal"/>
    <w:link w:val="FooterChar"/>
    <w:uiPriority w:val="99"/>
    <w:unhideWhenUsed/>
    <w:rsid w:val="00FE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1D"/>
    <w:rPr>
      <w:lang w:val="en-GB"/>
    </w:rPr>
  </w:style>
  <w:style w:type="paragraph" w:customStyle="1" w:styleId="SingleTxtG">
    <w:name w:val="_ Single Txt_G"/>
    <w:basedOn w:val="Normal"/>
    <w:link w:val="SingleTxtGChar"/>
    <w:rsid w:val="005A14A4"/>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5A14A4"/>
    <w:rPr>
      <w:rFonts w:ascii="Times New Roman" w:eastAsia="Times New Roman" w:hAnsi="Times New Roman" w:cs="Times New Roman"/>
      <w:sz w:val="20"/>
      <w:szCs w:val="20"/>
      <w:lang w:val="en-GB"/>
    </w:rPr>
  </w:style>
  <w:style w:type="paragraph" w:customStyle="1" w:styleId="HChG">
    <w:name w:val="_ H _Ch_G"/>
    <w:basedOn w:val="Normal"/>
    <w:next w:val="Normal"/>
    <w:rsid w:val="005034B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link w:val="H1GChar"/>
    <w:rsid w:val="005034B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5034BA"/>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The table in the chart view</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C, F</c:v>
                </c:pt>
              </c:strCache>
            </c:strRef>
          </c:tx>
          <c:spPr>
            <a:ln w="28575" cap="rnd">
              <a:solidFill>
                <a:schemeClr val="accent1"/>
              </a:solidFill>
              <a:round/>
            </a:ln>
            <a:effectLst/>
          </c:spPr>
          <c:marker>
            <c:symbol val="none"/>
          </c:marker>
          <c:cat>
            <c:numRef>
              <c:f>Лист1!$A$2:$A$17</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Лист1!$B$2:$B$17</c:f>
              <c:numCache>
                <c:formatCode>General</c:formatCode>
                <c:ptCount val="16"/>
                <c:pt idx="0">
                  <c:v>210</c:v>
                </c:pt>
                <c:pt idx="1">
                  <c:v>220</c:v>
                </c:pt>
                <c:pt idx="2">
                  <c:v>230</c:v>
                </c:pt>
                <c:pt idx="3">
                  <c:v>240</c:v>
                </c:pt>
                <c:pt idx="4">
                  <c:v>250</c:v>
                </c:pt>
                <c:pt idx="5">
                  <c:v>260</c:v>
                </c:pt>
                <c:pt idx="6">
                  <c:v>270</c:v>
                </c:pt>
                <c:pt idx="7">
                  <c:v>280</c:v>
                </c:pt>
                <c:pt idx="8">
                  <c:v>290</c:v>
                </c:pt>
                <c:pt idx="9">
                  <c:v>300</c:v>
                </c:pt>
                <c:pt idx="10">
                  <c:v>310</c:v>
                </c:pt>
                <c:pt idx="11">
                  <c:v>320</c:v>
                </c:pt>
                <c:pt idx="12">
                  <c:v>330</c:v>
                </c:pt>
                <c:pt idx="13">
                  <c:v>340</c:v>
                </c:pt>
                <c:pt idx="14">
                  <c:v>350</c:v>
                </c:pt>
                <c:pt idx="15">
                  <c:v>360</c:v>
                </c:pt>
              </c:numCache>
            </c:numRef>
          </c:val>
          <c:smooth val="0"/>
          <c:extLst>
            <c:ext xmlns:c16="http://schemas.microsoft.com/office/drawing/2014/chart" uri="{C3380CC4-5D6E-409C-BE32-E72D297353CC}">
              <c16:uniqueId val="{00000000-76ED-4246-9972-2CF52BE0186C}"/>
            </c:ext>
          </c:extLst>
        </c:ser>
        <c:ser>
          <c:idx val="1"/>
          <c:order val="1"/>
          <c:tx>
            <c:strRef>
              <c:f>Лист1!$C$1</c:f>
              <c:strCache>
                <c:ptCount val="1"/>
                <c:pt idx="0">
                  <c:v>B, E</c:v>
                </c:pt>
              </c:strCache>
            </c:strRef>
          </c:tx>
          <c:spPr>
            <a:ln w="28575" cap="rnd">
              <a:solidFill>
                <a:schemeClr val="accent2"/>
              </a:solidFill>
              <a:round/>
            </a:ln>
            <a:effectLst/>
          </c:spPr>
          <c:marker>
            <c:symbol val="none"/>
          </c:marker>
          <c:cat>
            <c:numRef>
              <c:f>Лист1!$A$2:$A$17</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Лист1!$C$2:$C$17</c:f>
              <c:numCache>
                <c:formatCode>General</c:formatCode>
                <c:ptCount val="16"/>
                <c:pt idx="0">
                  <c:v>143</c:v>
                </c:pt>
                <c:pt idx="1">
                  <c:v>151</c:v>
                </c:pt>
                <c:pt idx="2">
                  <c:v>160</c:v>
                </c:pt>
                <c:pt idx="3">
                  <c:v>168</c:v>
                </c:pt>
                <c:pt idx="4">
                  <c:v>177</c:v>
                </c:pt>
                <c:pt idx="5">
                  <c:v>185</c:v>
                </c:pt>
                <c:pt idx="6">
                  <c:v>194</c:v>
                </c:pt>
                <c:pt idx="7">
                  <c:v>202</c:v>
                </c:pt>
                <c:pt idx="8">
                  <c:v>211</c:v>
                </c:pt>
                <c:pt idx="9">
                  <c:v>219</c:v>
                </c:pt>
                <c:pt idx="10">
                  <c:v>228</c:v>
                </c:pt>
                <c:pt idx="11">
                  <c:v>236</c:v>
                </c:pt>
                <c:pt idx="12">
                  <c:v>245</c:v>
                </c:pt>
                <c:pt idx="13">
                  <c:v>253</c:v>
                </c:pt>
                <c:pt idx="14">
                  <c:v>262</c:v>
                </c:pt>
                <c:pt idx="15">
                  <c:v>270</c:v>
                </c:pt>
              </c:numCache>
            </c:numRef>
          </c:val>
          <c:smooth val="0"/>
          <c:extLst>
            <c:ext xmlns:c16="http://schemas.microsoft.com/office/drawing/2014/chart" uri="{C3380CC4-5D6E-409C-BE32-E72D297353CC}">
              <c16:uniqueId val="{00000001-76ED-4246-9972-2CF52BE0186C}"/>
            </c:ext>
          </c:extLst>
        </c:ser>
        <c:ser>
          <c:idx val="2"/>
          <c:order val="2"/>
          <c:tx>
            <c:strRef>
              <c:f>Лист1!$D$1</c:f>
              <c:strCache>
                <c:ptCount val="1"/>
                <c:pt idx="0">
                  <c:v>A, D</c:v>
                </c:pt>
              </c:strCache>
            </c:strRef>
          </c:tx>
          <c:spPr>
            <a:ln w="28575" cap="rnd">
              <a:solidFill>
                <a:schemeClr val="accent3"/>
              </a:solidFill>
              <a:round/>
            </a:ln>
            <a:effectLst/>
          </c:spPr>
          <c:marker>
            <c:symbol val="none"/>
          </c:marker>
          <c:cat>
            <c:numRef>
              <c:f>Лист1!$A$2:$A$17</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Лист1!$D$2:$D$17</c:f>
              <c:numCache>
                <c:formatCode>General</c:formatCode>
                <c:ptCount val="16"/>
                <c:pt idx="0">
                  <c:v>75</c:v>
                </c:pt>
                <c:pt idx="1">
                  <c:v>82</c:v>
                </c:pt>
                <c:pt idx="2">
                  <c:v>89</c:v>
                </c:pt>
                <c:pt idx="3">
                  <c:v>96</c:v>
                </c:pt>
                <c:pt idx="4">
                  <c:v>103</c:v>
                </c:pt>
                <c:pt idx="5">
                  <c:v>110</c:v>
                </c:pt>
                <c:pt idx="6">
                  <c:v>117</c:v>
                </c:pt>
                <c:pt idx="7">
                  <c:v>124</c:v>
                </c:pt>
                <c:pt idx="8">
                  <c:v>131</c:v>
                </c:pt>
                <c:pt idx="9">
                  <c:v>138</c:v>
                </c:pt>
                <c:pt idx="10">
                  <c:v>145</c:v>
                </c:pt>
                <c:pt idx="11">
                  <c:v>152</c:v>
                </c:pt>
                <c:pt idx="12">
                  <c:v>159</c:v>
                </c:pt>
                <c:pt idx="13">
                  <c:v>166</c:v>
                </c:pt>
                <c:pt idx="14">
                  <c:v>173</c:v>
                </c:pt>
                <c:pt idx="15">
                  <c:v>180</c:v>
                </c:pt>
              </c:numCache>
            </c:numRef>
          </c:val>
          <c:smooth val="0"/>
          <c:extLst>
            <c:ext xmlns:c16="http://schemas.microsoft.com/office/drawing/2014/chart" uri="{C3380CC4-5D6E-409C-BE32-E72D297353CC}">
              <c16:uniqueId val="{00000002-76ED-4246-9972-2CF52BE0186C}"/>
            </c:ext>
          </c:extLst>
        </c:ser>
        <c:dLbls>
          <c:showLegendKey val="0"/>
          <c:showVal val="0"/>
          <c:showCatName val="0"/>
          <c:showSerName val="0"/>
          <c:showPercent val="0"/>
          <c:showBubbleSize val="0"/>
        </c:dLbls>
        <c:smooth val="0"/>
        <c:axId val="191418736"/>
        <c:axId val="191452832"/>
      </c:lineChart>
      <c:catAx>
        <c:axId val="19141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52832"/>
        <c:crosses val="autoZero"/>
        <c:auto val="1"/>
        <c:lblAlgn val="ctr"/>
        <c:lblOffset val="100"/>
        <c:noMultiLvlLbl val="0"/>
      </c:catAx>
      <c:valAx>
        <c:axId val="19145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1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Юников Роман Александрович</dc:creator>
  <cp:keywords/>
  <dc:description/>
  <cp:lastModifiedBy>Secretariat</cp:lastModifiedBy>
  <cp:revision>6</cp:revision>
  <cp:lastPrinted>2020-09-29T07:28:00Z</cp:lastPrinted>
  <dcterms:created xsi:type="dcterms:W3CDTF">2020-09-25T13:27:00Z</dcterms:created>
  <dcterms:modified xsi:type="dcterms:W3CDTF">2020-09-29T07:31:00Z</dcterms:modified>
</cp:coreProperties>
</file>