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C7A6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C7A66" w:rsidP="00EC7A66">
            <w:pPr>
              <w:jc w:val="right"/>
            </w:pPr>
            <w:r w:rsidRPr="00EC7A66">
              <w:rPr>
                <w:sz w:val="40"/>
              </w:rPr>
              <w:t>ECE</w:t>
            </w:r>
            <w:r>
              <w:t>/TRANS/WP.11/2020/14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C7A66" w:rsidP="00C97039">
            <w:pPr>
              <w:spacing w:before="240"/>
            </w:pPr>
            <w:r>
              <w:t>Distr. générale</w:t>
            </w:r>
          </w:p>
          <w:p w:rsidR="00EC7A66" w:rsidRDefault="00EC7A66" w:rsidP="00EC7A66">
            <w:pPr>
              <w:spacing w:line="240" w:lineRule="exact"/>
            </w:pPr>
            <w:r>
              <w:t>27 juillet 2020</w:t>
            </w:r>
          </w:p>
          <w:p w:rsidR="00EC7A66" w:rsidRDefault="00EC7A66" w:rsidP="00EC7A66">
            <w:pPr>
              <w:spacing w:line="240" w:lineRule="exact"/>
            </w:pPr>
            <w:r>
              <w:t>Français</w:t>
            </w:r>
          </w:p>
          <w:p w:rsidR="00EC7A66" w:rsidRPr="00DB58B5" w:rsidRDefault="00EC7A66" w:rsidP="00EC7A6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C7A6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C7A66" w:rsidRPr="00685843" w:rsidRDefault="00EC7A66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EC7A66" w:rsidRPr="00A053BF" w:rsidRDefault="00EC7A66" w:rsidP="00EC7A66">
      <w:pPr>
        <w:spacing w:before="120"/>
        <w:rPr>
          <w:b/>
          <w:lang w:val="fr-FR"/>
        </w:rPr>
      </w:pPr>
      <w:r w:rsidRPr="00A053BF">
        <w:rPr>
          <w:b/>
          <w:lang w:val="fr-FR"/>
        </w:rPr>
        <w:t>Soixante-seizième session</w:t>
      </w:r>
    </w:p>
    <w:p w:rsidR="00EC7A66" w:rsidRPr="00A053BF" w:rsidRDefault="00EC7A66" w:rsidP="00EC7A66">
      <w:pPr>
        <w:rPr>
          <w:lang w:val="fr-FR"/>
        </w:rPr>
      </w:pPr>
      <w:r w:rsidRPr="00A053BF">
        <w:rPr>
          <w:lang w:val="fr-FR"/>
        </w:rPr>
        <w:t>Genève, 13-16 octobre 2020</w:t>
      </w:r>
    </w:p>
    <w:p w:rsidR="00EC7A66" w:rsidRPr="00A053BF" w:rsidRDefault="00EC7A66" w:rsidP="00EC7A66">
      <w:pPr>
        <w:rPr>
          <w:lang w:val="fr-FR"/>
        </w:rPr>
      </w:pPr>
      <w:r w:rsidRPr="00A053BF">
        <w:rPr>
          <w:lang w:val="fr-FR"/>
        </w:rPr>
        <w:t>Point 6 b) de l</w:t>
      </w:r>
      <w:r>
        <w:rPr>
          <w:lang w:val="fr-FR"/>
        </w:rPr>
        <w:t>’</w:t>
      </w:r>
      <w:r w:rsidRPr="00A053BF">
        <w:rPr>
          <w:lang w:val="fr-FR"/>
        </w:rPr>
        <w:t>ordre du jour provisoire</w:t>
      </w:r>
    </w:p>
    <w:p w:rsidR="00EC7A66" w:rsidRDefault="00EC7A66" w:rsidP="00CB49AF">
      <w:pPr>
        <w:spacing w:line="276" w:lineRule="auto"/>
      </w:pPr>
      <w:r w:rsidRPr="00A053BF">
        <w:rPr>
          <w:b/>
          <w:lang w:val="fr-FR"/>
        </w:rPr>
        <w:t>Propos</w:t>
      </w:r>
      <w:r>
        <w:rPr>
          <w:b/>
          <w:lang w:val="fr-FR"/>
        </w:rPr>
        <w:t>ition</w:t>
      </w:r>
      <w:r w:rsidRPr="00A053BF">
        <w:rPr>
          <w:b/>
          <w:lang w:val="fr-FR"/>
        </w:rPr>
        <w:t xml:space="preserve">s </w:t>
      </w:r>
      <w:r>
        <w:rPr>
          <w:b/>
          <w:lang w:val="fr-FR"/>
        </w:rPr>
        <w:t>d’</w:t>
      </w:r>
      <w:r w:rsidRPr="00A053BF">
        <w:rPr>
          <w:b/>
          <w:lang w:val="fr-FR"/>
        </w:rPr>
        <w:t>amend</w:t>
      </w:r>
      <w:r>
        <w:rPr>
          <w:b/>
          <w:lang w:val="fr-FR"/>
        </w:rPr>
        <w:t>e</w:t>
      </w:r>
      <w:r w:rsidRPr="00A053BF">
        <w:rPr>
          <w:b/>
          <w:lang w:val="fr-FR"/>
        </w:rPr>
        <w:t xml:space="preserve">ments </w:t>
      </w:r>
      <w:r>
        <w:rPr>
          <w:b/>
          <w:lang w:val="fr-FR"/>
        </w:rPr>
        <w:t>à l’</w:t>
      </w:r>
      <w:r w:rsidRPr="00A053BF">
        <w:rPr>
          <w:b/>
          <w:lang w:val="fr-FR"/>
        </w:rPr>
        <w:t>ATP</w:t>
      </w:r>
      <w:r w:rsidR="00CB49AF">
        <w:rPr>
          <w:b/>
          <w:lang w:val="fr-FR"/>
        </w:rPr>
        <w:t> </w:t>
      </w:r>
      <w:r w:rsidRPr="00A053BF">
        <w:rPr>
          <w:b/>
          <w:lang w:val="fr-FR"/>
        </w:rPr>
        <w:t>:</w:t>
      </w:r>
      <w:r w:rsidR="00CB49AF">
        <w:rPr>
          <w:b/>
          <w:lang w:val="fr-FR"/>
        </w:rPr>
        <w:t xml:space="preserve"> </w:t>
      </w:r>
      <w:r w:rsidR="00CB49AF">
        <w:rPr>
          <w:b/>
          <w:lang w:val="fr-FR"/>
        </w:rPr>
        <w:br/>
      </w:r>
      <w:r>
        <w:rPr>
          <w:b/>
          <w:lang w:val="fr-FR"/>
        </w:rPr>
        <w:t>Nouvelles proposition</w:t>
      </w:r>
      <w:r w:rsidRPr="00A053BF">
        <w:rPr>
          <w:b/>
          <w:lang w:val="fr-FR"/>
        </w:rPr>
        <w:t>s</w:t>
      </w:r>
    </w:p>
    <w:p w:rsidR="00EC7A66" w:rsidRDefault="00EC7A66" w:rsidP="00EC7A66">
      <w:pPr>
        <w:pStyle w:val="HChG"/>
        <w:rPr>
          <w:lang w:val="fr-FR"/>
        </w:rPr>
      </w:pPr>
      <w:r w:rsidRPr="00A053BF">
        <w:rPr>
          <w:lang w:val="fr-FR"/>
        </w:rPr>
        <w:tab/>
      </w:r>
      <w:r w:rsidRPr="00A053BF">
        <w:rPr>
          <w:lang w:val="fr-FR"/>
        </w:rPr>
        <w:tab/>
        <w:t>Propos</w:t>
      </w:r>
      <w:r>
        <w:rPr>
          <w:lang w:val="fr-FR"/>
        </w:rPr>
        <w:t>itions d’a</w:t>
      </w:r>
      <w:r w:rsidRPr="00A053BF">
        <w:rPr>
          <w:lang w:val="fr-FR"/>
        </w:rPr>
        <w:t>mend</w:t>
      </w:r>
      <w:r>
        <w:rPr>
          <w:lang w:val="fr-FR"/>
        </w:rPr>
        <w:t>e</w:t>
      </w:r>
      <w:r w:rsidRPr="00A053BF">
        <w:rPr>
          <w:lang w:val="fr-FR"/>
        </w:rPr>
        <w:t>ment</w:t>
      </w:r>
      <w:r>
        <w:rPr>
          <w:lang w:val="fr-FR"/>
        </w:rPr>
        <w:t>s</w:t>
      </w:r>
      <w:r w:rsidRPr="00A053BF">
        <w:rPr>
          <w:lang w:val="fr-FR"/>
        </w:rPr>
        <w:t xml:space="preserve"> </w:t>
      </w:r>
      <w:r>
        <w:rPr>
          <w:lang w:val="fr-FR"/>
        </w:rPr>
        <w:t>à l’</w:t>
      </w:r>
      <w:r w:rsidRPr="00A053BF">
        <w:rPr>
          <w:lang w:val="fr-FR"/>
        </w:rPr>
        <w:t xml:space="preserve">ATP </w:t>
      </w:r>
      <w:r>
        <w:rPr>
          <w:lang w:val="fr-FR"/>
        </w:rPr>
        <w:t xml:space="preserve">présentées </w:t>
      </w:r>
      <w:r w:rsidR="00CB49AF">
        <w:rPr>
          <w:lang w:val="fr-FR"/>
        </w:rPr>
        <w:br/>
      </w:r>
      <w:r>
        <w:rPr>
          <w:lang w:val="fr-FR"/>
        </w:rPr>
        <w:t xml:space="preserve">par le groupe de travail informel de l’amélioration </w:t>
      </w:r>
      <w:r w:rsidR="00CB49AF">
        <w:rPr>
          <w:lang w:val="fr-FR"/>
        </w:rPr>
        <w:br/>
      </w:r>
      <w:r>
        <w:rPr>
          <w:lang w:val="fr-FR"/>
        </w:rPr>
        <w:t>du système d’homologation des engins et dispositifs thermiques ATP</w:t>
      </w:r>
    </w:p>
    <w:p w:rsidR="00EC7A66" w:rsidRPr="00A053BF" w:rsidRDefault="00EC7A66" w:rsidP="00EC7A66">
      <w:pPr>
        <w:pStyle w:val="H1G"/>
        <w:rPr>
          <w:lang w:val="fr-FR"/>
        </w:rPr>
      </w:pPr>
      <w:r w:rsidRPr="00A053BF">
        <w:rPr>
          <w:lang w:val="fr-FR"/>
        </w:rPr>
        <w:tab/>
      </w:r>
      <w:r w:rsidRPr="00A053BF">
        <w:rPr>
          <w:lang w:val="fr-FR"/>
        </w:rPr>
        <w:tab/>
      </w:r>
      <w:r>
        <w:rPr>
          <w:lang w:val="fr-FR"/>
        </w:rPr>
        <w:t xml:space="preserve">Communication du Gouvernement des Pays-Bas au nom du groupe </w:t>
      </w:r>
      <w:r w:rsidR="006109AB">
        <w:rPr>
          <w:lang w:val="fr-FR"/>
        </w:rPr>
        <w:br/>
      </w:r>
      <w:r>
        <w:rPr>
          <w:lang w:val="fr-FR"/>
        </w:rPr>
        <w:t xml:space="preserve">de travail informel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C7A66">
        <w:trPr>
          <w:jc w:val="center"/>
        </w:trPr>
        <w:tc>
          <w:tcPr>
            <w:tcW w:w="9637" w:type="dxa"/>
            <w:shd w:val="clear" w:color="auto" w:fill="auto"/>
          </w:tcPr>
          <w:p w:rsidR="00EC7A66" w:rsidRDefault="00EC7A6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  <w:bookmarkStart w:id="0" w:name="_GoBack"/>
            <w:bookmarkEnd w:id="0"/>
          </w:p>
        </w:tc>
      </w:tr>
      <w:tr w:rsidR="00EC7A66">
        <w:trPr>
          <w:jc w:val="center"/>
        </w:trPr>
        <w:tc>
          <w:tcPr>
            <w:tcW w:w="9637" w:type="dxa"/>
            <w:shd w:val="clear" w:color="auto" w:fill="auto"/>
          </w:tcPr>
          <w:p w:rsidR="00EC7A66" w:rsidRDefault="00EC7A66" w:rsidP="00EC7A66">
            <w:pPr>
              <w:pStyle w:val="SingleTxtG"/>
              <w:ind w:left="2523" w:hanging="2268"/>
            </w:pPr>
            <w:r w:rsidRPr="00EC7A66">
              <w:rPr>
                <w:b/>
                <w:lang w:val="fr-FR"/>
              </w:rPr>
              <w:t>Résumé analytique</w:t>
            </w:r>
            <w:r>
              <w:rPr>
                <w:b/>
                <w:lang w:val="fr-FR"/>
              </w:rPr>
              <w:t> </w:t>
            </w:r>
            <w:r w:rsidRPr="00EC7A66">
              <w:rPr>
                <w:lang w:val="fr-FR"/>
              </w:rPr>
              <w:t>:</w:t>
            </w:r>
            <w:r w:rsidRPr="00EC7A66">
              <w:rPr>
                <w:lang w:val="fr-FR"/>
              </w:rPr>
              <w:tab/>
              <w:t>Le groupe de travail informel s</w:t>
            </w:r>
            <w:r>
              <w:rPr>
                <w:lang w:val="fr-FR"/>
              </w:rPr>
              <w:t>’</w:t>
            </w:r>
            <w:r w:rsidRPr="00EC7A66">
              <w:rPr>
                <w:lang w:val="fr-FR"/>
              </w:rPr>
              <w:t>est réuni plusieurs fois entre les sessions du Groupe de travail afin d</w:t>
            </w:r>
            <w:r>
              <w:rPr>
                <w:lang w:val="fr-FR"/>
              </w:rPr>
              <w:t>’</w:t>
            </w:r>
            <w:r w:rsidRPr="00EC7A66">
              <w:rPr>
                <w:lang w:val="fr-FR"/>
              </w:rPr>
              <w:t>examiner les problèmes susceptibles d</w:t>
            </w:r>
            <w:r>
              <w:rPr>
                <w:lang w:val="fr-FR"/>
              </w:rPr>
              <w:t>’</w:t>
            </w:r>
            <w:r w:rsidRPr="00EC7A66">
              <w:rPr>
                <w:lang w:val="fr-FR"/>
              </w:rPr>
              <w:t>entraver l</w:t>
            </w:r>
            <w:r>
              <w:rPr>
                <w:lang w:val="fr-FR"/>
              </w:rPr>
              <w:t>’</w:t>
            </w:r>
            <w:r w:rsidRPr="00EC7A66">
              <w:rPr>
                <w:lang w:val="fr-FR"/>
              </w:rPr>
              <w:t>homologation des engins. Dans le présent document, il propose des amendements pour approbation. Il soumettra aussi un document informel dans lequel il rendra compte des débats qu</w:t>
            </w:r>
            <w:r>
              <w:rPr>
                <w:lang w:val="fr-FR"/>
              </w:rPr>
              <w:t>’</w:t>
            </w:r>
            <w:r w:rsidRPr="00EC7A66">
              <w:rPr>
                <w:lang w:val="fr-FR"/>
              </w:rPr>
              <w:t>il a tenus et des raisons qui sous-tendent les propositions d</w:t>
            </w:r>
            <w:r>
              <w:rPr>
                <w:lang w:val="fr-FR"/>
              </w:rPr>
              <w:t>’</w:t>
            </w:r>
            <w:r w:rsidRPr="00EC7A66">
              <w:rPr>
                <w:lang w:val="fr-FR"/>
              </w:rPr>
              <w:t>amendements.</w:t>
            </w:r>
          </w:p>
        </w:tc>
      </w:tr>
      <w:tr w:rsidR="00EC7A66">
        <w:trPr>
          <w:jc w:val="center"/>
        </w:trPr>
        <w:tc>
          <w:tcPr>
            <w:tcW w:w="9637" w:type="dxa"/>
            <w:shd w:val="clear" w:color="auto" w:fill="auto"/>
          </w:tcPr>
          <w:p w:rsidR="00EC7A66" w:rsidRPr="00EC7A66" w:rsidRDefault="00EC7A66" w:rsidP="00EC7A66">
            <w:pPr>
              <w:pStyle w:val="SingleTxtG"/>
              <w:ind w:left="2523" w:hanging="2268"/>
              <w:rPr>
                <w:b/>
                <w:lang w:val="fr-FR"/>
              </w:rPr>
            </w:pPr>
            <w:r w:rsidRPr="00EC7A66">
              <w:rPr>
                <w:b/>
                <w:lang w:val="fr-FR"/>
              </w:rPr>
              <w:t>Mesure à prendre</w:t>
            </w:r>
            <w:r>
              <w:rPr>
                <w:b/>
                <w:lang w:val="fr-FR"/>
              </w:rPr>
              <w:t> </w:t>
            </w:r>
            <w:r w:rsidRPr="00EC7A66">
              <w:rPr>
                <w:bCs/>
                <w:lang w:val="fr-FR"/>
              </w:rPr>
              <w:t>:</w:t>
            </w:r>
            <w:r w:rsidRPr="00EC7A66">
              <w:rPr>
                <w:b/>
                <w:lang w:val="fr-FR"/>
              </w:rPr>
              <w:tab/>
            </w:r>
            <w:r w:rsidRPr="00EC7A66">
              <w:rPr>
                <w:bCs/>
                <w:lang w:val="fr-FR"/>
              </w:rPr>
              <w:t>Approbation des propositions</w:t>
            </w:r>
          </w:p>
        </w:tc>
      </w:tr>
      <w:tr w:rsidR="00EC7A66">
        <w:trPr>
          <w:jc w:val="center"/>
        </w:trPr>
        <w:tc>
          <w:tcPr>
            <w:tcW w:w="9637" w:type="dxa"/>
            <w:shd w:val="clear" w:color="auto" w:fill="auto"/>
          </w:tcPr>
          <w:p w:rsidR="00EC7A66" w:rsidRPr="00EC7A66" w:rsidRDefault="00EC7A66" w:rsidP="00EC7A66">
            <w:pPr>
              <w:pStyle w:val="SingleTxtG"/>
              <w:ind w:left="2523" w:hanging="2268"/>
              <w:rPr>
                <w:b/>
                <w:lang w:val="fr-FR"/>
              </w:rPr>
            </w:pPr>
            <w:r w:rsidRPr="00EC7A66">
              <w:rPr>
                <w:b/>
                <w:lang w:val="fr-FR"/>
              </w:rPr>
              <w:t>Documents connexes</w:t>
            </w:r>
            <w:r>
              <w:rPr>
                <w:b/>
                <w:lang w:val="fr-FR"/>
              </w:rPr>
              <w:t> </w:t>
            </w:r>
            <w:r w:rsidRPr="00EC7A66">
              <w:rPr>
                <w:bCs/>
                <w:lang w:val="fr-FR"/>
              </w:rPr>
              <w:t>:</w:t>
            </w:r>
            <w:r w:rsidRPr="00EC7A66">
              <w:rPr>
                <w:b/>
                <w:lang w:val="fr-FR"/>
              </w:rPr>
              <w:tab/>
            </w:r>
            <w:r w:rsidRPr="00EC7A66">
              <w:rPr>
                <w:bCs/>
                <w:lang w:val="fr-FR"/>
              </w:rPr>
              <w:t>ECE/TRANS/WP.11/2019/16</w:t>
            </w:r>
          </w:p>
        </w:tc>
      </w:tr>
      <w:tr w:rsidR="00EC7A66">
        <w:trPr>
          <w:jc w:val="center"/>
        </w:trPr>
        <w:tc>
          <w:tcPr>
            <w:tcW w:w="9637" w:type="dxa"/>
            <w:shd w:val="clear" w:color="auto" w:fill="auto"/>
          </w:tcPr>
          <w:p w:rsidR="00EC7A66" w:rsidRDefault="00EC7A66"/>
        </w:tc>
      </w:tr>
    </w:tbl>
    <w:p w:rsidR="00EC7A66" w:rsidRPr="00EC7A66" w:rsidRDefault="00EC7A66" w:rsidP="00F816FA">
      <w:pPr>
        <w:pStyle w:val="HChG"/>
        <w:rPr>
          <w:lang w:val="fr-FR"/>
        </w:rPr>
      </w:pPr>
      <w:r w:rsidRPr="00EC7A66">
        <w:rPr>
          <w:lang w:val="fr-FR"/>
        </w:rPr>
        <w:tab/>
      </w:r>
      <w:r w:rsidRPr="00EC7A66">
        <w:rPr>
          <w:lang w:val="fr-FR"/>
        </w:rPr>
        <w:tab/>
        <w:t>Introduction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1.</w:t>
      </w:r>
      <w:r w:rsidRPr="00EC7A66">
        <w:rPr>
          <w:lang w:val="fr-FR"/>
        </w:rPr>
        <w:tab/>
        <w:t>Le groupe de travail informel s</w:t>
      </w:r>
      <w:r>
        <w:rPr>
          <w:lang w:val="fr-FR"/>
        </w:rPr>
        <w:t>’</w:t>
      </w:r>
      <w:r w:rsidRPr="00EC7A66">
        <w:rPr>
          <w:lang w:val="fr-FR"/>
        </w:rPr>
        <w:t xml:space="preserve">est réuni par </w:t>
      </w:r>
      <w:proofErr w:type="spellStart"/>
      <w:r w:rsidRPr="00EC7A66">
        <w:rPr>
          <w:lang w:val="fr-FR"/>
        </w:rPr>
        <w:t>vidéoconférence</w:t>
      </w:r>
      <w:proofErr w:type="spellEnd"/>
      <w:r w:rsidRPr="00EC7A66">
        <w:rPr>
          <w:lang w:val="fr-FR"/>
        </w:rPr>
        <w:t xml:space="preserve"> à cinq reprises entre le début du mois de mai et le mois de juillet 2020 afin de discuter : des questions restées en suspens dans le rapport publié sous la cote ECE/TRANS/WP.11/2019/16 et examiné par le Groupe de travail à sa session d</w:t>
      </w:r>
      <w:r>
        <w:rPr>
          <w:lang w:val="fr-FR"/>
        </w:rPr>
        <w:t>’</w:t>
      </w:r>
      <w:r w:rsidRPr="00EC7A66">
        <w:rPr>
          <w:lang w:val="fr-FR"/>
        </w:rPr>
        <w:t>octobre 2019 ; des documents ECE/TRANS/WP.11/2019/2 et ECE/TRANS/WP.11/2019/3 ; et des questions relatives à l</w:t>
      </w:r>
      <w:r>
        <w:rPr>
          <w:lang w:val="fr-FR"/>
        </w:rPr>
        <w:t>’</w:t>
      </w:r>
      <w:r w:rsidRPr="00EC7A66">
        <w:rPr>
          <w:lang w:val="fr-FR"/>
        </w:rPr>
        <w:t xml:space="preserve">homologation des engins à températures et compartiments multiples. 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lastRenderedPageBreak/>
        <w:t>2.</w:t>
      </w:r>
      <w:r w:rsidRPr="00EC7A66">
        <w:rPr>
          <w:lang w:val="fr-FR"/>
        </w:rPr>
        <w:tab/>
        <w:t>Le rapport du groupe de travail informel, dans lequel celui-ci rendra compte des débats qu</w:t>
      </w:r>
      <w:r>
        <w:rPr>
          <w:lang w:val="fr-FR"/>
        </w:rPr>
        <w:t>’</w:t>
      </w:r>
      <w:r w:rsidRPr="00EC7A66">
        <w:rPr>
          <w:lang w:val="fr-FR"/>
        </w:rPr>
        <w:t>il a tenus et des raisons qui sous-tendent les propositions d</w:t>
      </w:r>
      <w:r>
        <w:rPr>
          <w:lang w:val="fr-FR"/>
        </w:rPr>
        <w:t>’</w:t>
      </w:r>
      <w:r w:rsidRPr="00EC7A66">
        <w:rPr>
          <w:lang w:val="fr-FR"/>
        </w:rPr>
        <w:t>amendements ci</w:t>
      </w:r>
      <w:r w:rsidR="0084543C">
        <w:rPr>
          <w:lang w:val="fr-FR"/>
        </w:rPr>
        <w:noBreakHyphen/>
      </w:r>
      <w:r w:rsidRPr="00EC7A66">
        <w:rPr>
          <w:lang w:val="fr-FR"/>
        </w:rPr>
        <w:t xml:space="preserve">après, sera publié sous forme de document informel. </w:t>
      </w:r>
    </w:p>
    <w:p w:rsidR="00EC7A66" w:rsidRPr="00EC7A66" w:rsidRDefault="00EC7A66" w:rsidP="00EC7A66">
      <w:pPr>
        <w:pStyle w:val="HChG"/>
        <w:rPr>
          <w:lang w:val="fr-FR"/>
        </w:rPr>
      </w:pPr>
      <w:r w:rsidRPr="00EC7A66">
        <w:rPr>
          <w:lang w:val="fr-FR"/>
        </w:rPr>
        <w:tab/>
      </w:r>
      <w:r w:rsidRPr="00EC7A66">
        <w:rPr>
          <w:lang w:val="fr-FR"/>
        </w:rPr>
        <w:tab/>
        <w:t>Propositions d</w:t>
      </w:r>
      <w:r>
        <w:rPr>
          <w:lang w:val="fr-FR"/>
        </w:rPr>
        <w:t>’</w:t>
      </w:r>
      <w:r w:rsidRPr="00EC7A66">
        <w:rPr>
          <w:lang w:val="fr-FR"/>
        </w:rPr>
        <w:t>amendements à l</w:t>
      </w:r>
      <w:r>
        <w:rPr>
          <w:lang w:val="fr-FR"/>
        </w:rPr>
        <w:t>’</w:t>
      </w:r>
      <w:r w:rsidRPr="00EC7A66">
        <w:rPr>
          <w:lang w:val="fr-FR"/>
        </w:rPr>
        <w:t xml:space="preserve">ATP présentées </w:t>
      </w:r>
      <w:r w:rsidR="00B01101">
        <w:rPr>
          <w:lang w:val="fr-FR"/>
        </w:rPr>
        <w:br/>
      </w:r>
      <w:r w:rsidRPr="00EC7A66">
        <w:rPr>
          <w:lang w:val="fr-FR"/>
        </w:rPr>
        <w:t>par le groupe de travail informel</w:t>
      </w:r>
    </w:p>
    <w:p w:rsidR="00EC7A66" w:rsidRPr="00EC7A66" w:rsidRDefault="00EC7A66" w:rsidP="00EC7A66">
      <w:pPr>
        <w:pStyle w:val="H1G"/>
        <w:rPr>
          <w:lang w:val="fr-FR"/>
        </w:rPr>
      </w:pPr>
      <w:r w:rsidRPr="00EC7A66">
        <w:rPr>
          <w:lang w:val="fr-FR"/>
        </w:rPr>
        <w:tab/>
      </w:r>
      <w:r w:rsidRPr="00EC7A66">
        <w:rPr>
          <w:lang w:val="fr-FR"/>
        </w:rPr>
        <w:tab/>
        <w:t>Proposition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 xml:space="preserve"> 1 </w:t>
      </w:r>
      <w:r w:rsidR="00B01101">
        <w:rPr>
          <w:lang w:val="fr-FR"/>
        </w:rPr>
        <w:t>−</w:t>
      </w:r>
      <w:r w:rsidRPr="00EC7A66">
        <w:rPr>
          <w:lang w:val="fr-FR"/>
        </w:rPr>
        <w:t xml:space="preserve"> Date de la construction/de la fabrication</w:t>
      </w:r>
    </w:p>
    <w:p w:rsidR="00EC7A66" w:rsidRPr="00EC7A66" w:rsidRDefault="00EC7A66" w:rsidP="00EC7A66">
      <w:pPr>
        <w:pStyle w:val="H23G"/>
        <w:rPr>
          <w:lang w:val="fr-FR"/>
        </w:rPr>
      </w:pPr>
      <w:r>
        <w:rPr>
          <w:lang w:val="fr-FR"/>
        </w:rPr>
        <w:tab/>
      </w:r>
      <w:r w:rsidRPr="00EC7A66">
        <w:rPr>
          <w:lang w:val="fr-FR"/>
        </w:rPr>
        <w:tab/>
        <w:t>Annexe 1, appendice 2, section 8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3.</w:t>
      </w:r>
      <w:r w:rsidRPr="00EC7A66">
        <w:rPr>
          <w:lang w:val="fr-FR"/>
        </w:rPr>
        <w:tab/>
        <w:t>Pour les modèles de procès-verbaux d</w:t>
      </w:r>
      <w:r>
        <w:rPr>
          <w:lang w:val="fr-FR"/>
        </w:rPr>
        <w:t>’</w:t>
      </w:r>
      <w:r w:rsidRPr="00EC7A66">
        <w:rPr>
          <w:lang w:val="fr-FR"/>
        </w:rPr>
        <w:t>essai n</w:t>
      </w:r>
      <w:r w:rsidR="00B01101" w:rsidRPr="00B01101">
        <w:rPr>
          <w:vertAlign w:val="superscript"/>
          <w:lang w:val="fr-FR"/>
        </w:rPr>
        <w:t>os</w:t>
      </w:r>
      <w:r w:rsidRPr="00EC7A66">
        <w:rPr>
          <w:lang w:val="fr-FR"/>
        </w:rPr>
        <w:t> 1A et 1B, remplacer « Date de la construction » par « Date de la construction (mois/année)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4.</w:t>
      </w:r>
      <w:r w:rsidRPr="00EC7A66">
        <w:rPr>
          <w:lang w:val="fr-FR"/>
        </w:rPr>
        <w:tab/>
        <w:t>Pour les modèles de procès-verbaux d</w:t>
      </w:r>
      <w:r>
        <w:rPr>
          <w:lang w:val="fr-FR"/>
        </w:rPr>
        <w:t>’</w:t>
      </w:r>
      <w:r w:rsidRPr="00EC7A66">
        <w:rPr>
          <w:lang w:val="fr-FR"/>
        </w:rPr>
        <w:t>essai n</w:t>
      </w:r>
      <w:r w:rsidRPr="00EC7A66">
        <w:rPr>
          <w:vertAlign w:val="superscript"/>
          <w:lang w:val="fr-FR"/>
        </w:rPr>
        <w:t>os</w:t>
      </w:r>
      <w:r w:rsidRPr="00EC7A66">
        <w:rPr>
          <w:lang w:val="fr-FR"/>
        </w:rPr>
        <w:t> 4A à 4C, 5, 6, 7, 8, 9, 10 et 11, remplacer « Année de fabrication » par « Date de fabrication (mois/année)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5.</w:t>
      </w:r>
      <w:r w:rsidRPr="00EC7A66">
        <w:rPr>
          <w:lang w:val="fr-FR"/>
        </w:rPr>
        <w:tab/>
        <w:t>Pour le modèle de procès-verbal d</w:t>
      </w:r>
      <w:r>
        <w:rPr>
          <w:lang w:val="fr-FR"/>
        </w:rPr>
        <w:t>’</w:t>
      </w:r>
      <w:r w:rsidRPr="00EC7A66">
        <w:rPr>
          <w:lang w:val="fr-FR"/>
        </w:rPr>
        <w:t>essai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 xml:space="preserve"> 12, remplacer « Date de construction » par « Date de fabrication (mois/année) ». </w:t>
      </w:r>
    </w:p>
    <w:p w:rsidR="00EC7A66" w:rsidRPr="00EC7A66" w:rsidRDefault="00EC7A66" w:rsidP="00EC7A66">
      <w:pPr>
        <w:pStyle w:val="H1G"/>
        <w:rPr>
          <w:lang w:val="fr-FR"/>
        </w:rPr>
      </w:pPr>
      <w:r w:rsidRPr="00EC7A66">
        <w:rPr>
          <w:lang w:val="fr-FR"/>
        </w:rPr>
        <w:tab/>
      </w:r>
      <w:r w:rsidRPr="00EC7A66">
        <w:rPr>
          <w:lang w:val="fr-FR"/>
        </w:rPr>
        <w:tab/>
        <w:t>Proposition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 xml:space="preserve"> 2 </w:t>
      </w:r>
      <w:r w:rsidR="006F0E09">
        <w:rPr>
          <w:lang w:val="fr-FR"/>
        </w:rPr>
        <w:t>−</w:t>
      </w:r>
      <w:r w:rsidRPr="00EC7A66">
        <w:rPr>
          <w:lang w:val="fr-FR"/>
        </w:rPr>
        <w:t xml:space="preserve"> Cohérence des termes utilisés </w:t>
      </w:r>
      <w:r w:rsidR="006F0E09">
        <w:rPr>
          <w:lang w:val="fr-FR"/>
        </w:rPr>
        <w:t>−</w:t>
      </w:r>
      <w:r w:rsidRPr="00EC7A66">
        <w:rPr>
          <w:lang w:val="fr-FR"/>
        </w:rPr>
        <w:t xml:space="preserve"> version anglaise seulement</w:t>
      </w:r>
    </w:p>
    <w:p w:rsidR="00EC7A66" w:rsidRPr="00EC7A66" w:rsidRDefault="00EC7A66" w:rsidP="00EC7A66">
      <w:pPr>
        <w:pStyle w:val="H23G"/>
        <w:rPr>
          <w:lang w:val="fr-FR"/>
        </w:rPr>
      </w:pPr>
      <w:r>
        <w:rPr>
          <w:lang w:val="fr-FR"/>
        </w:rPr>
        <w:tab/>
      </w:r>
      <w:r w:rsidRPr="00EC7A66">
        <w:rPr>
          <w:lang w:val="fr-FR"/>
        </w:rPr>
        <w:tab/>
        <w:t xml:space="preserve">Annexe 1, appendice 2, section 8, modèle </w:t>
      </w:r>
      <w:r w:rsidR="006F0E09" w:rsidRPr="006F0E09">
        <w:rPr>
          <w:rFonts w:eastAsia="MS Mincho"/>
          <w:lang w:val="fr-FR"/>
        </w:rPr>
        <w:t>n</w:t>
      </w:r>
      <w:r w:rsidR="006F0E09" w:rsidRPr="006F0E09">
        <w:rPr>
          <w:rFonts w:eastAsia="MS Mincho"/>
          <w:vertAlign w:val="superscript"/>
          <w:lang w:val="fr-FR"/>
        </w:rPr>
        <w:t>o</w:t>
      </w:r>
      <w:r w:rsidRPr="00EC7A66">
        <w:rPr>
          <w:lang w:val="fr-FR"/>
        </w:rPr>
        <w:t> 12</w:t>
      </w:r>
    </w:p>
    <w:p w:rsidR="00EC7A66" w:rsidRPr="00EC7A66" w:rsidRDefault="00EC7A66" w:rsidP="00EC7A66">
      <w:pPr>
        <w:pStyle w:val="SingleTxtG"/>
        <w:rPr>
          <w:lang w:val="en-US"/>
        </w:rPr>
      </w:pPr>
      <w:r w:rsidRPr="00EC7A66">
        <w:rPr>
          <w:lang w:val="en-US"/>
        </w:rPr>
        <w:t>6.</w:t>
      </w:r>
      <w:r w:rsidRPr="00EC7A66">
        <w:rPr>
          <w:lang w:val="en-US"/>
        </w:rPr>
        <w:tab/>
      </w:r>
      <w:proofErr w:type="spellStart"/>
      <w:r w:rsidRPr="00EC7A66">
        <w:rPr>
          <w:spacing w:val="-2"/>
          <w:lang w:val="en-US"/>
        </w:rPr>
        <w:t>Remplacer</w:t>
      </w:r>
      <w:proofErr w:type="spellEnd"/>
      <w:r w:rsidRPr="00EC7A66">
        <w:rPr>
          <w:spacing w:val="-2"/>
          <w:lang w:val="en-US"/>
        </w:rPr>
        <w:t xml:space="preserve"> « Self-contained/not self-contained » par « Drive independent/dependent ».</w:t>
      </w:r>
    </w:p>
    <w:p w:rsidR="00EC7A66" w:rsidRPr="00EC7A66" w:rsidRDefault="00EC7A66" w:rsidP="00EC7A66">
      <w:pPr>
        <w:pStyle w:val="H1G"/>
        <w:rPr>
          <w:lang w:val="fr-FR"/>
        </w:rPr>
      </w:pPr>
      <w:r w:rsidRPr="00EC7A66">
        <w:rPr>
          <w:lang w:val="en-US"/>
        </w:rPr>
        <w:tab/>
      </w:r>
      <w:r w:rsidRPr="00EC7A66">
        <w:rPr>
          <w:lang w:val="en-US"/>
        </w:rPr>
        <w:tab/>
      </w:r>
      <w:r w:rsidRPr="00EC7A66">
        <w:rPr>
          <w:lang w:val="fr-FR"/>
        </w:rPr>
        <w:t>Proposition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 xml:space="preserve"> 3 </w:t>
      </w:r>
      <w:r w:rsidR="006F0E09">
        <w:rPr>
          <w:lang w:val="fr-FR"/>
        </w:rPr>
        <w:t>−</w:t>
      </w:r>
      <w:r w:rsidRPr="00EC7A66">
        <w:rPr>
          <w:lang w:val="fr-FR"/>
        </w:rPr>
        <w:t xml:space="preserve"> Définitions</w:t>
      </w:r>
    </w:p>
    <w:p w:rsidR="00EC7A66" w:rsidRPr="00EC7A66" w:rsidRDefault="00EC7A66" w:rsidP="00EC7A66">
      <w:pPr>
        <w:pStyle w:val="H23G"/>
        <w:rPr>
          <w:lang w:val="fr-FR"/>
        </w:rPr>
      </w:pPr>
      <w:r>
        <w:rPr>
          <w:lang w:val="fr-FR"/>
        </w:rPr>
        <w:tab/>
      </w:r>
      <w:r w:rsidRPr="00EC7A66">
        <w:rPr>
          <w:lang w:val="fr-FR"/>
        </w:rPr>
        <w:tab/>
        <w:t>Annexe 1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7.</w:t>
      </w:r>
      <w:r w:rsidRPr="00EC7A66">
        <w:rPr>
          <w:lang w:val="fr-FR"/>
        </w:rPr>
        <w:tab/>
        <w:t>Créer une nouvelle section 7 intitulée « Définitions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8.</w:t>
      </w:r>
      <w:r w:rsidRPr="00EC7A66">
        <w:rPr>
          <w:lang w:val="fr-FR"/>
        </w:rPr>
        <w:tab/>
        <w:t xml:space="preserve">Ajouter les nouvelles définitions ci-après, classées par ordre alphabétique (ordre différent selon les langues) : </w:t>
      </w:r>
    </w:p>
    <w:p w:rsidR="00EC7A66" w:rsidRPr="00EC7A66" w:rsidRDefault="00EC7A66" w:rsidP="00EC7A66">
      <w:pPr>
        <w:pStyle w:val="SingleTxtG"/>
        <w:ind w:left="1701"/>
        <w:rPr>
          <w:lang w:val="fr-FR"/>
        </w:rPr>
      </w:pPr>
      <w:r w:rsidRPr="00EC7A66">
        <w:rPr>
          <w:i/>
          <w:iCs/>
          <w:lang w:val="fr-FR"/>
        </w:rPr>
        <w:t xml:space="preserve">Engin : </w:t>
      </w:r>
      <w:r w:rsidRPr="00EC7A66">
        <w:rPr>
          <w:lang w:val="fr-FR"/>
        </w:rPr>
        <w:t xml:space="preserve">ensemble de pièces formant une caisse isotherme et structure de support nécessaire à son transport sur route ou sur rail. Les dispositifs thermiques peuvent faire partie de cet ensemble. </w:t>
      </w:r>
    </w:p>
    <w:p w:rsidR="00EC7A66" w:rsidRPr="00EC7A66" w:rsidRDefault="00EC7A66" w:rsidP="00EC7A66">
      <w:pPr>
        <w:pStyle w:val="SingleTxtG"/>
        <w:ind w:left="1701"/>
        <w:rPr>
          <w:lang w:val="fr-FR"/>
        </w:rPr>
      </w:pPr>
      <w:r w:rsidRPr="00EC7A66">
        <w:rPr>
          <w:i/>
          <w:iCs/>
          <w:lang w:val="fr-FR"/>
        </w:rPr>
        <w:t xml:space="preserve">Dispositif de chauffage : </w:t>
      </w:r>
      <w:r w:rsidRPr="00EC7A66">
        <w:rPr>
          <w:lang w:val="fr-FR"/>
        </w:rPr>
        <w:t>dispositif thermique</w:t>
      </w:r>
      <w:r w:rsidRPr="00EC7A66">
        <w:rPr>
          <w:i/>
          <w:iCs/>
          <w:lang w:val="fr-FR"/>
        </w:rPr>
        <w:t xml:space="preserve"> </w:t>
      </w:r>
      <w:r w:rsidRPr="00EC7A66">
        <w:rPr>
          <w:lang w:val="fr-FR"/>
        </w:rPr>
        <w:t>qui génère une énergie thermique destinée à augmenter la température à l</w:t>
      </w:r>
      <w:r>
        <w:rPr>
          <w:lang w:val="fr-FR"/>
        </w:rPr>
        <w:t>’</w:t>
      </w:r>
      <w:r w:rsidRPr="00EC7A66">
        <w:rPr>
          <w:lang w:val="fr-FR"/>
        </w:rPr>
        <w:t>intérieur de l</w:t>
      </w:r>
      <w:r>
        <w:rPr>
          <w:lang w:val="fr-FR"/>
        </w:rPr>
        <w:t>’</w:t>
      </w:r>
      <w:r w:rsidRPr="00EC7A66">
        <w:rPr>
          <w:lang w:val="fr-FR"/>
        </w:rPr>
        <w:t xml:space="preserve">engin (à le chauffer). </w:t>
      </w:r>
    </w:p>
    <w:p w:rsidR="00EC7A66" w:rsidRPr="00EC7A66" w:rsidRDefault="00EC7A66" w:rsidP="00EC7A66">
      <w:pPr>
        <w:pStyle w:val="SingleTxtG"/>
        <w:ind w:left="1701"/>
        <w:rPr>
          <w:i/>
          <w:iCs/>
          <w:lang w:val="fr-FR"/>
        </w:rPr>
      </w:pPr>
      <w:r w:rsidRPr="00EC7A66">
        <w:rPr>
          <w:i/>
          <w:iCs/>
          <w:lang w:val="fr-FR"/>
        </w:rPr>
        <w:t xml:space="preserve">Dispositif frigorifique et calorifique : </w:t>
      </w:r>
      <w:r w:rsidRPr="00EC7A66">
        <w:rPr>
          <w:lang w:val="fr-FR"/>
        </w:rPr>
        <w:t>dispositif capable de baisser (refroidir) ou d</w:t>
      </w:r>
      <w:r>
        <w:rPr>
          <w:lang w:val="fr-FR"/>
        </w:rPr>
        <w:t>’</w:t>
      </w:r>
      <w:r w:rsidRPr="00EC7A66">
        <w:rPr>
          <w:lang w:val="fr-FR"/>
        </w:rPr>
        <w:t>augmenter (chauffer) la température à l</w:t>
      </w:r>
      <w:r>
        <w:rPr>
          <w:lang w:val="fr-FR"/>
        </w:rPr>
        <w:t>’</w:t>
      </w:r>
      <w:r w:rsidRPr="00EC7A66">
        <w:rPr>
          <w:lang w:val="fr-FR"/>
        </w:rPr>
        <w:t>intérieur de l</w:t>
      </w:r>
      <w:r>
        <w:rPr>
          <w:lang w:val="fr-FR"/>
        </w:rPr>
        <w:t>’</w:t>
      </w:r>
      <w:r w:rsidRPr="00EC7A66">
        <w:rPr>
          <w:lang w:val="fr-FR"/>
        </w:rPr>
        <w:t>engin et qui est mis à l</w:t>
      </w:r>
      <w:r>
        <w:rPr>
          <w:lang w:val="fr-FR"/>
        </w:rPr>
        <w:t>’</w:t>
      </w:r>
      <w:r w:rsidRPr="00EC7A66">
        <w:rPr>
          <w:lang w:val="fr-FR"/>
        </w:rPr>
        <w:t xml:space="preserve">essai pour attester à la fois sa capacité frigorifique et sa capacité calorifique. </w:t>
      </w:r>
    </w:p>
    <w:p w:rsidR="00EC7A66" w:rsidRPr="00EC7A66" w:rsidRDefault="00EC7A66" w:rsidP="00EC7A66">
      <w:pPr>
        <w:pStyle w:val="SingleTxtG"/>
        <w:ind w:left="1701"/>
        <w:rPr>
          <w:lang w:val="fr-FR"/>
        </w:rPr>
      </w:pPr>
      <w:r w:rsidRPr="00EC7A66">
        <w:rPr>
          <w:i/>
          <w:iCs/>
          <w:lang w:val="fr-FR"/>
        </w:rPr>
        <w:t xml:space="preserve">Dispositif frigorifique : </w:t>
      </w:r>
      <w:r w:rsidRPr="00EC7A66">
        <w:rPr>
          <w:lang w:val="fr-FR"/>
        </w:rPr>
        <w:t>dispositif thermique qui génère, grâce à un système d</w:t>
      </w:r>
      <w:r>
        <w:rPr>
          <w:lang w:val="fr-FR"/>
        </w:rPr>
        <w:t>’</w:t>
      </w:r>
      <w:r w:rsidRPr="00EC7A66">
        <w:rPr>
          <w:lang w:val="fr-FR"/>
        </w:rPr>
        <w:t>entraînement mécanique, une énergie thermique destinée à baisser la température à l</w:t>
      </w:r>
      <w:r>
        <w:rPr>
          <w:lang w:val="fr-FR"/>
        </w:rPr>
        <w:t>’</w:t>
      </w:r>
      <w:r w:rsidRPr="00EC7A66">
        <w:rPr>
          <w:lang w:val="fr-FR"/>
        </w:rPr>
        <w:t>intérieur de l</w:t>
      </w:r>
      <w:r>
        <w:rPr>
          <w:lang w:val="fr-FR"/>
        </w:rPr>
        <w:t>’</w:t>
      </w:r>
      <w:r w:rsidRPr="00EC7A66">
        <w:rPr>
          <w:lang w:val="fr-FR"/>
        </w:rPr>
        <w:t xml:space="preserve">engin (à le refroidir).  </w:t>
      </w:r>
    </w:p>
    <w:p w:rsidR="00EC7A66" w:rsidRPr="00EC7A66" w:rsidRDefault="00EC7A66" w:rsidP="00EC7A66">
      <w:pPr>
        <w:pStyle w:val="SingleTxtG"/>
        <w:ind w:left="1701"/>
        <w:rPr>
          <w:i/>
          <w:iCs/>
          <w:lang w:val="fr-FR"/>
        </w:rPr>
      </w:pPr>
      <w:r w:rsidRPr="00EC7A66">
        <w:rPr>
          <w:i/>
          <w:iCs/>
          <w:lang w:val="fr-FR"/>
        </w:rPr>
        <w:t xml:space="preserve">Dispositif réfrigérant : </w:t>
      </w:r>
      <w:r w:rsidRPr="00EC7A66">
        <w:rPr>
          <w:lang w:val="fr-FR"/>
        </w:rPr>
        <w:t>dispositif thermique qui génère, grâce à la fonte, à l</w:t>
      </w:r>
      <w:r>
        <w:rPr>
          <w:lang w:val="fr-FR"/>
        </w:rPr>
        <w:t>’</w:t>
      </w:r>
      <w:r w:rsidRPr="00EC7A66">
        <w:rPr>
          <w:lang w:val="fr-FR"/>
        </w:rPr>
        <w:t>évaporation ou à la sublimation de glace naturelle, d</w:t>
      </w:r>
      <w:r>
        <w:rPr>
          <w:lang w:val="fr-FR"/>
        </w:rPr>
        <w:t>’</w:t>
      </w:r>
      <w:r w:rsidRPr="00EC7A66">
        <w:rPr>
          <w:lang w:val="fr-FR"/>
        </w:rPr>
        <w:t>une solution saline (plaques eutectiques), de gaz liquéfié ou de glace carbonique, une énergie thermique destinée à baisser la température à l</w:t>
      </w:r>
      <w:r>
        <w:rPr>
          <w:lang w:val="fr-FR"/>
        </w:rPr>
        <w:t>’</w:t>
      </w:r>
      <w:r w:rsidRPr="00EC7A66">
        <w:rPr>
          <w:lang w:val="fr-FR"/>
        </w:rPr>
        <w:t>intérieur de l</w:t>
      </w:r>
      <w:r>
        <w:rPr>
          <w:lang w:val="fr-FR"/>
        </w:rPr>
        <w:t>’</w:t>
      </w:r>
      <w:r w:rsidRPr="00EC7A66">
        <w:rPr>
          <w:lang w:val="fr-FR"/>
        </w:rPr>
        <w:t>engin (à le refroidir).</w:t>
      </w:r>
    </w:p>
    <w:p w:rsidR="00EC7A66" w:rsidRPr="00EC7A66" w:rsidRDefault="00EC7A66" w:rsidP="00EC7A66">
      <w:pPr>
        <w:pStyle w:val="SingleTxtG"/>
        <w:ind w:left="1701"/>
        <w:rPr>
          <w:lang w:val="fr-FR"/>
        </w:rPr>
      </w:pPr>
      <w:r w:rsidRPr="00EC7A66">
        <w:rPr>
          <w:i/>
          <w:iCs/>
          <w:lang w:val="fr-FR"/>
        </w:rPr>
        <w:t>Dispositif thermique </w:t>
      </w:r>
      <w:r w:rsidRPr="00EC7A66">
        <w:rPr>
          <w:lang w:val="fr-FR"/>
        </w:rPr>
        <w:t>: dispositif qui génère une énergie thermique destinée à baisser (refroidir) ou à augmenter (chauffer) la température à l</w:t>
      </w:r>
      <w:r>
        <w:rPr>
          <w:lang w:val="fr-FR"/>
        </w:rPr>
        <w:t>’</w:t>
      </w:r>
      <w:r w:rsidRPr="00EC7A66">
        <w:rPr>
          <w:lang w:val="fr-FR"/>
        </w:rPr>
        <w:t>intérieur de l</w:t>
      </w:r>
      <w:r>
        <w:rPr>
          <w:lang w:val="fr-FR"/>
        </w:rPr>
        <w:t>’</w:t>
      </w:r>
      <w:r w:rsidRPr="00EC7A66">
        <w:rPr>
          <w:lang w:val="fr-FR"/>
        </w:rPr>
        <w:t>engin.</w:t>
      </w:r>
    </w:p>
    <w:p w:rsidR="00EC7A66" w:rsidRPr="00EC7A66" w:rsidRDefault="00EC7A66" w:rsidP="00EC7A66">
      <w:pPr>
        <w:pStyle w:val="H1G"/>
        <w:rPr>
          <w:lang w:val="fr-FR"/>
        </w:rPr>
      </w:pPr>
      <w:r w:rsidRPr="00EC7A66">
        <w:rPr>
          <w:lang w:val="fr-FR"/>
        </w:rPr>
        <w:lastRenderedPageBreak/>
        <w:tab/>
      </w:r>
      <w:r w:rsidRPr="00EC7A66">
        <w:rPr>
          <w:lang w:val="fr-FR"/>
        </w:rPr>
        <w:tab/>
        <w:t>Proposition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 xml:space="preserve"> 4 </w:t>
      </w:r>
      <w:r w:rsidR="006F0E09">
        <w:rPr>
          <w:lang w:val="fr-FR"/>
        </w:rPr>
        <w:t>−</w:t>
      </w:r>
      <w:r w:rsidRPr="00EC7A66">
        <w:rPr>
          <w:lang w:val="fr-FR"/>
        </w:rPr>
        <w:t xml:space="preserve"> Engin à températures et compartiments multiples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9.</w:t>
      </w:r>
      <w:r w:rsidRPr="00EC7A66">
        <w:rPr>
          <w:lang w:val="fr-FR"/>
        </w:rPr>
        <w:tab/>
      </w:r>
      <w:bookmarkStart w:id="1" w:name="_Hlk48723135"/>
      <w:r w:rsidRPr="00EC7A66">
        <w:rPr>
          <w:lang w:val="fr-FR"/>
        </w:rPr>
        <w:t>Ajouter une nouvelle phrase à la fin de l</w:t>
      </w:r>
      <w:r>
        <w:rPr>
          <w:lang w:val="fr-FR"/>
        </w:rPr>
        <w:t>’</w:t>
      </w:r>
      <w:r w:rsidRPr="00EC7A66">
        <w:rPr>
          <w:lang w:val="fr-FR"/>
        </w:rPr>
        <w:t>alinéa b) du paragraphe 3 de l</w:t>
      </w:r>
      <w:r>
        <w:rPr>
          <w:lang w:val="fr-FR"/>
        </w:rPr>
        <w:t>’</w:t>
      </w:r>
      <w:r w:rsidRPr="00EC7A66">
        <w:rPr>
          <w:lang w:val="fr-FR"/>
        </w:rPr>
        <w:t>appendice 1 de l</w:t>
      </w:r>
      <w:r>
        <w:rPr>
          <w:lang w:val="fr-FR"/>
        </w:rPr>
        <w:t>’</w:t>
      </w:r>
      <w:r w:rsidRPr="00EC7A66">
        <w:rPr>
          <w:lang w:val="fr-FR"/>
        </w:rPr>
        <w:t>annexe 1, libellée comme suit </w:t>
      </w:r>
      <w:bookmarkEnd w:id="1"/>
      <w:r w:rsidRPr="00EC7A66">
        <w:rPr>
          <w:lang w:val="fr-FR"/>
        </w:rPr>
        <w:t xml:space="preserve">: </w:t>
      </w:r>
    </w:p>
    <w:p w:rsidR="00EC7A66" w:rsidRPr="00EC7A66" w:rsidRDefault="00CB49AF" w:rsidP="00CB49AF">
      <w:pPr>
        <w:pStyle w:val="SingleTxtG"/>
        <w:ind w:left="1701"/>
        <w:rPr>
          <w:iCs/>
          <w:lang w:val="fr-FR"/>
        </w:rPr>
      </w:pPr>
      <w:r>
        <w:rPr>
          <w:iCs/>
          <w:lang w:val="fr-FR"/>
        </w:rPr>
        <w:tab/>
      </w:r>
      <w:r w:rsidR="00EC7A66" w:rsidRPr="00EC7A66">
        <w:rPr>
          <w:iCs/>
          <w:lang w:val="fr-FR"/>
        </w:rPr>
        <w:t>« Pour les engins à températures et compartiments multiples, il faudra également présenter la déclaration de conformité (voir par. 7.3.6).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10.</w:t>
      </w:r>
      <w:r w:rsidRPr="00EC7A66">
        <w:rPr>
          <w:lang w:val="fr-FR"/>
        </w:rPr>
        <w:tab/>
        <w:t>Ajouter une nouvelle phrase à la fin de l</w:t>
      </w:r>
      <w:r>
        <w:rPr>
          <w:lang w:val="fr-FR"/>
        </w:rPr>
        <w:t>’</w:t>
      </w:r>
      <w:r w:rsidRPr="00EC7A66">
        <w:rPr>
          <w:lang w:val="fr-FR"/>
        </w:rPr>
        <w:t>alinéa c) du paragraphe 3 de l</w:t>
      </w:r>
      <w:r>
        <w:rPr>
          <w:lang w:val="fr-FR"/>
        </w:rPr>
        <w:t>’</w:t>
      </w:r>
      <w:r w:rsidRPr="00EC7A66">
        <w:rPr>
          <w:lang w:val="fr-FR"/>
        </w:rPr>
        <w:t>appendice 1 de l</w:t>
      </w:r>
      <w:r>
        <w:rPr>
          <w:lang w:val="fr-FR"/>
        </w:rPr>
        <w:t>’</w:t>
      </w:r>
      <w:r w:rsidRPr="00EC7A66">
        <w:rPr>
          <w:lang w:val="fr-FR"/>
        </w:rPr>
        <w:t>annexe 1, libellée comme suit :</w:t>
      </w:r>
    </w:p>
    <w:p w:rsidR="00EC7A66" w:rsidRPr="00EC7A66" w:rsidRDefault="00CB49AF" w:rsidP="00EC7A66">
      <w:pPr>
        <w:pStyle w:val="SingleTxtG"/>
        <w:ind w:left="1701"/>
        <w:rPr>
          <w:lang w:val="fr-FR"/>
        </w:rPr>
      </w:pPr>
      <w:r>
        <w:rPr>
          <w:lang w:val="fr-FR"/>
        </w:rPr>
        <w:tab/>
      </w:r>
      <w:r w:rsidR="00EC7A66" w:rsidRPr="00EC7A66">
        <w:rPr>
          <w:lang w:val="fr-FR"/>
        </w:rPr>
        <w:t>« Pour les engins à températures et compartiments multiples, il faudra également présenter une feuille de calcul (voir par. 7.3.6) fondée sur la méthode itérative.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11.</w:t>
      </w:r>
      <w:r w:rsidRPr="00EC7A66">
        <w:rPr>
          <w:lang w:val="fr-FR"/>
        </w:rPr>
        <w:tab/>
        <w:t>Supprimer le dernier segment de la deuxième phrase du paragraphe 7.3.6, comme suit :</w:t>
      </w:r>
    </w:p>
    <w:p w:rsidR="00EC7A66" w:rsidRPr="00EC7A66" w:rsidRDefault="00CB49AF" w:rsidP="00EC7A66">
      <w:pPr>
        <w:pStyle w:val="SingleTxtG"/>
        <w:ind w:left="1701"/>
        <w:rPr>
          <w:lang w:val="fr-FR"/>
        </w:rPr>
      </w:pPr>
      <w:r>
        <w:rPr>
          <w:lang w:val="fr-FR"/>
        </w:rPr>
        <w:tab/>
      </w:r>
      <w:r w:rsidR="00EC7A66" w:rsidRPr="00EC7A66">
        <w:rPr>
          <w:lang w:val="fr-FR"/>
        </w:rPr>
        <w:t>« Il est admis que toutes les positions des cloisons ont été dimensionnées lorsqu</w:t>
      </w:r>
      <w:r w:rsidR="00EC7A66">
        <w:rPr>
          <w:lang w:val="fr-FR"/>
        </w:rPr>
        <w:t>’</w:t>
      </w:r>
      <w:r w:rsidR="00EC7A66" w:rsidRPr="00EC7A66">
        <w:rPr>
          <w:lang w:val="fr-FR"/>
        </w:rPr>
        <w:t>on a procédé aux vérifications successives des positions depuis la plus petite taille de compartiment jusqu</w:t>
      </w:r>
      <w:r w:rsidR="00EC7A66">
        <w:rPr>
          <w:lang w:val="fr-FR"/>
        </w:rPr>
        <w:t>’</w:t>
      </w:r>
      <w:r w:rsidR="00EC7A66" w:rsidRPr="00EC7A66">
        <w:rPr>
          <w:lang w:val="fr-FR"/>
        </w:rPr>
        <w:t>à la plus grande</w:t>
      </w:r>
      <w:r w:rsidR="00EC7A66" w:rsidRPr="00EC7A66">
        <w:rPr>
          <w:strike/>
          <w:lang w:val="fr-FR"/>
        </w:rPr>
        <w:t>, en veillant à ne pas dépasser à chaque fois 20 % de la surface</w:t>
      </w:r>
      <w:r w:rsidR="00EC7A66" w:rsidRPr="00EC7A66">
        <w:rPr>
          <w:lang w:val="fr-FR"/>
        </w:rPr>
        <w:t>.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12.</w:t>
      </w:r>
      <w:r w:rsidRPr="00EC7A66">
        <w:rPr>
          <w:lang w:val="fr-FR"/>
        </w:rPr>
        <w:tab/>
        <w:t xml:space="preserve">Ajouter une nouvelle phrase à la fin de la troisième phrase du paragraphe 7.3.6, libellée comme suit : </w:t>
      </w:r>
    </w:p>
    <w:p w:rsidR="00EC7A66" w:rsidRPr="00EC7A66" w:rsidRDefault="00CB49AF" w:rsidP="00EC7A66">
      <w:pPr>
        <w:pStyle w:val="SingleTxtG"/>
        <w:ind w:left="1701"/>
        <w:rPr>
          <w:lang w:val="fr-FR"/>
        </w:rPr>
      </w:pPr>
      <w:r>
        <w:rPr>
          <w:lang w:val="fr-FR"/>
        </w:rPr>
        <w:tab/>
      </w:r>
      <w:r w:rsidR="00EC7A66" w:rsidRPr="00EC7A66">
        <w:rPr>
          <w:lang w:val="fr-FR"/>
        </w:rPr>
        <w:t>« La déclaration doit être conforme au modèle n</w:t>
      </w:r>
      <w:r w:rsidR="00EC7A66" w:rsidRPr="00EC7A66">
        <w:rPr>
          <w:vertAlign w:val="superscript"/>
          <w:lang w:val="fr-FR"/>
        </w:rPr>
        <w:t>o</w:t>
      </w:r>
      <w:r w:rsidR="00EC7A66" w:rsidRPr="00EC7A66">
        <w:rPr>
          <w:lang w:val="fr-FR"/>
        </w:rPr>
        <w:t> 14 figurant au présent appendice. ».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13.</w:t>
      </w:r>
      <w:r w:rsidRPr="00EC7A66">
        <w:rPr>
          <w:lang w:val="fr-FR"/>
        </w:rPr>
        <w:tab/>
        <w:t>À la section 8 de l</w:t>
      </w:r>
      <w:r>
        <w:rPr>
          <w:lang w:val="fr-FR"/>
        </w:rPr>
        <w:t>’</w:t>
      </w:r>
      <w:r w:rsidRPr="00EC7A66">
        <w:rPr>
          <w:lang w:val="fr-FR"/>
        </w:rPr>
        <w:t>appendice 2 de l</w:t>
      </w:r>
      <w:r>
        <w:rPr>
          <w:lang w:val="fr-FR"/>
        </w:rPr>
        <w:t>’</w:t>
      </w:r>
      <w:r w:rsidRPr="00EC7A66">
        <w:rPr>
          <w:lang w:val="fr-FR"/>
        </w:rPr>
        <w:t>annexe 1, ajouter le nouveau modèle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 xml:space="preserve"> 14, tel que reproduit en annexe au présent document. </w:t>
      </w:r>
    </w:p>
    <w:p w:rsidR="00EC7A66" w:rsidRPr="00EC7A66" w:rsidRDefault="00EC7A66" w:rsidP="00EC7A66">
      <w:pPr>
        <w:pStyle w:val="HChG"/>
        <w:rPr>
          <w:lang w:val="fr-FR"/>
        </w:rPr>
      </w:pPr>
      <w:r>
        <w:rPr>
          <w:lang w:val="fr-FR"/>
        </w:rPr>
        <w:br w:type="page"/>
      </w:r>
      <w:r w:rsidRPr="00EC7A66">
        <w:rPr>
          <w:lang w:val="fr-FR"/>
        </w:rPr>
        <w:lastRenderedPageBreak/>
        <w:t>Annexe 1</w:t>
      </w:r>
    </w:p>
    <w:p w:rsidR="00EC7A66" w:rsidRPr="00EC7A66" w:rsidRDefault="00EC7A66" w:rsidP="00EC7A66">
      <w:pPr>
        <w:pStyle w:val="HChG"/>
        <w:rPr>
          <w:lang w:val="fr-FR"/>
        </w:rPr>
      </w:pPr>
      <w:r w:rsidRPr="00EC7A66">
        <w:rPr>
          <w:lang w:val="fr-FR"/>
        </w:rPr>
        <w:tab/>
      </w:r>
      <w:r w:rsidRPr="00EC7A66">
        <w:rPr>
          <w:lang w:val="fr-FR"/>
        </w:rPr>
        <w:tab/>
        <w:t>Modèle n</w:t>
      </w:r>
      <w:r w:rsidRPr="00EC7A66">
        <w:rPr>
          <w:vertAlign w:val="superscript"/>
          <w:lang w:val="fr-FR"/>
        </w:rPr>
        <w:t>o</w:t>
      </w:r>
      <w:r w:rsidRPr="00EC7A66">
        <w:rPr>
          <w:lang w:val="fr-FR"/>
        </w:rPr>
        <w:t> 14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Déclaration de conformité pour les engins à températures et compartiments multiples</w:t>
      </w:r>
    </w:p>
    <w:p w:rsid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Document supplémentaire à l</w:t>
      </w:r>
      <w:r>
        <w:rPr>
          <w:lang w:val="fr-FR"/>
        </w:rPr>
        <w:t>’</w:t>
      </w:r>
      <w:r w:rsidRPr="00EC7A66">
        <w:rPr>
          <w:lang w:val="fr-FR"/>
        </w:rPr>
        <w:t>attestation de conformité, conformément au paragraphe 7.3.6 de l</w:t>
      </w:r>
      <w:r>
        <w:rPr>
          <w:lang w:val="fr-FR"/>
        </w:rPr>
        <w:t>’</w:t>
      </w:r>
      <w:r w:rsidRPr="00EC7A66">
        <w:rPr>
          <w:lang w:val="fr-FR"/>
        </w:rPr>
        <w:t>appendice 2 de l</w:t>
      </w:r>
      <w:r>
        <w:rPr>
          <w:lang w:val="fr-FR"/>
        </w:rPr>
        <w:t>’</w:t>
      </w:r>
      <w:r w:rsidRPr="00EC7A66">
        <w:rPr>
          <w:lang w:val="fr-FR"/>
        </w:rPr>
        <w:t>annexe 1</w:t>
      </w:r>
    </w:p>
    <w:p w:rsidR="00EC7A66" w:rsidRDefault="00EC7A66" w:rsidP="00EC7A66">
      <w:pPr>
        <w:pBdr>
          <w:bottom w:val="single" w:sz="12" w:space="1" w:color="auto"/>
        </w:pBdr>
        <w:kinsoku/>
        <w:overflowPunct/>
        <w:autoSpaceDE/>
        <w:autoSpaceDN/>
        <w:adjustRightInd/>
        <w:snapToGrid/>
        <w:rPr>
          <w:lang w:val="fr-FR"/>
        </w:rPr>
      </w:pP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Croquis en vue de dessus de la configuration de l</w:t>
      </w:r>
      <w:r>
        <w:rPr>
          <w:lang w:val="fr-FR"/>
        </w:rPr>
        <w:t>’</w:t>
      </w:r>
      <w:r w:rsidRPr="00EC7A66">
        <w:rPr>
          <w:lang w:val="fr-FR"/>
        </w:rPr>
        <w:t>engin, avec les indications suivantes</w:t>
      </w:r>
      <w:r w:rsidR="006F0E09">
        <w:rPr>
          <w:lang w:val="fr-FR"/>
        </w:rPr>
        <w:t> </w:t>
      </w:r>
      <w:r w:rsidRPr="00EC7A66">
        <w:rPr>
          <w:lang w:val="fr-FR"/>
        </w:rPr>
        <w:t>:</w:t>
      </w:r>
    </w:p>
    <w:p w:rsidR="00EC7A66" w:rsidRPr="00EC7A66" w:rsidRDefault="006A0778" w:rsidP="006A0778">
      <w:pPr>
        <w:pStyle w:val="SingleTxtG"/>
        <w:ind w:left="1701" w:hanging="567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="006F0E09" w:rsidRPr="00EC7A66">
        <w:rPr>
          <w:lang w:val="fr-FR"/>
        </w:rPr>
        <w:t>A</w:t>
      </w:r>
      <w:r w:rsidR="00EC7A66" w:rsidRPr="00EC7A66">
        <w:rPr>
          <w:lang w:val="fr-FR"/>
        </w:rPr>
        <w:t>vant et arrière de l</w:t>
      </w:r>
      <w:r w:rsidR="00EC7A66">
        <w:rPr>
          <w:lang w:val="fr-FR"/>
        </w:rPr>
        <w:t>’</w:t>
      </w:r>
      <w:r w:rsidR="00EC7A66" w:rsidRPr="00EC7A66">
        <w:rPr>
          <w:lang w:val="fr-FR"/>
        </w:rPr>
        <w:t>engin, numérotation des compartiments</w:t>
      </w:r>
    </w:p>
    <w:p w:rsidR="00EC7A66" w:rsidRPr="00EC7A66" w:rsidRDefault="00EC7A66" w:rsidP="006A0778">
      <w:pPr>
        <w:pStyle w:val="SingleTxtG"/>
        <w:ind w:left="1701" w:hanging="567"/>
        <w:rPr>
          <w:lang w:val="fr-FR"/>
        </w:rPr>
      </w:pPr>
      <w:r w:rsidRPr="00EC7A66">
        <w:rPr>
          <w:lang w:val="fr-FR"/>
        </w:rPr>
        <w:t>-</w:t>
      </w:r>
      <w:r w:rsidR="006A0778">
        <w:rPr>
          <w:lang w:val="fr-FR"/>
        </w:rPr>
        <w:tab/>
      </w:r>
      <w:r w:rsidR="006F0E09" w:rsidRPr="00EC7A66">
        <w:rPr>
          <w:lang w:val="fr-FR"/>
        </w:rPr>
        <w:t>C</w:t>
      </w:r>
      <w:r w:rsidRPr="00EC7A66">
        <w:rPr>
          <w:lang w:val="fr-FR"/>
        </w:rPr>
        <w:t>onfiguration des compartiments (cloisons internes fixes ou mobiles), et mesures suivantes en centimètres : dimensions intérieures de la caisse, épaisseur et longueur des cloisons</w:t>
      </w:r>
    </w:p>
    <w:p w:rsidR="00EC7A66" w:rsidRPr="00EC7A66" w:rsidRDefault="00EC7A66" w:rsidP="006A0778">
      <w:pPr>
        <w:pStyle w:val="SingleTxtG"/>
        <w:ind w:left="1701" w:hanging="567"/>
        <w:rPr>
          <w:lang w:val="fr-FR"/>
        </w:rPr>
      </w:pPr>
      <w:r w:rsidRPr="00EC7A66">
        <w:rPr>
          <w:lang w:val="fr-FR"/>
        </w:rPr>
        <w:t>-</w:t>
      </w:r>
      <w:r w:rsidR="006A0778">
        <w:rPr>
          <w:lang w:val="fr-FR"/>
        </w:rPr>
        <w:tab/>
      </w:r>
      <w:r w:rsidR="006F0E09" w:rsidRPr="00EC7A66">
        <w:rPr>
          <w:lang w:val="fr-FR"/>
        </w:rPr>
        <w:t>P</w:t>
      </w:r>
      <w:r w:rsidRPr="00EC7A66">
        <w:rPr>
          <w:lang w:val="fr-FR"/>
        </w:rPr>
        <w:t>osition la plus extrême des cloisons mobiles</w:t>
      </w:r>
    </w:p>
    <w:p w:rsidR="00EC7A66" w:rsidRPr="00EC7A66" w:rsidRDefault="00EC7A66" w:rsidP="006A0778">
      <w:pPr>
        <w:pStyle w:val="SingleTxtG"/>
        <w:ind w:left="1701" w:hanging="567"/>
        <w:rPr>
          <w:lang w:val="fr-FR"/>
        </w:rPr>
      </w:pPr>
      <w:r w:rsidRPr="00EC7A66">
        <w:rPr>
          <w:lang w:val="fr-FR"/>
        </w:rPr>
        <w:t>-</w:t>
      </w:r>
      <w:r w:rsidR="006A0778">
        <w:rPr>
          <w:lang w:val="fr-FR"/>
        </w:rPr>
        <w:tab/>
      </w:r>
      <w:r w:rsidR="006F0E09" w:rsidRPr="00EC7A66">
        <w:rPr>
          <w:lang w:val="fr-FR"/>
        </w:rPr>
        <w:t>P</w:t>
      </w:r>
      <w:r w:rsidRPr="00EC7A66">
        <w:rPr>
          <w:lang w:val="fr-FR"/>
        </w:rPr>
        <w:t>osition de l</w:t>
      </w:r>
      <w:r>
        <w:rPr>
          <w:lang w:val="fr-FR"/>
        </w:rPr>
        <w:t>’</w:t>
      </w:r>
      <w:r w:rsidRPr="00EC7A66">
        <w:rPr>
          <w:lang w:val="fr-FR"/>
        </w:rPr>
        <w:t>unité ou des unités de condensation et des évaporateurs</w:t>
      </w:r>
    </w:p>
    <w:p w:rsidR="00EC7A66" w:rsidRPr="00EC7A66" w:rsidRDefault="00EC7A66" w:rsidP="006A0778">
      <w:pPr>
        <w:pStyle w:val="SingleTxtG"/>
        <w:ind w:left="1701" w:hanging="567"/>
        <w:rPr>
          <w:lang w:val="fr-FR"/>
        </w:rPr>
      </w:pPr>
      <w:r w:rsidRPr="00EC7A66">
        <w:rPr>
          <w:lang w:val="fr-FR"/>
        </w:rPr>
        <w:t>-</w:t>
      </w:r>
      <w:r w:rsidR="006A0778">
        <w:rPr>
          <w:lang w:val="fr-FR"/>
        </w:rPr>
        <w:tab/>
      </w:r>
      <w:r w:rsidR="006F0E09" w:rsidRPr="00EC7A66">
        <w:rPr>
          <w:lang w:val="fr-FR"/>
        </w:rPr>
        <w:t>M</w:t>
      </w:r>
      <w:r w:rsidRPr="00EC7A66">
        <w:rPr>
          <w:lang w:val="fr-FR"/>
        </w:rPr>
        <w:t>atériau utilisé pour le plancher.</w:t>
      </w:r>
    </w:p>
    <w:p w:rsidR="00EC7A66" w:rsidRPr="00EC7A66" w:rsidRDefault="00EC7A66" w:rsidP="00EC7A66">
      <w:pPr>
        <w:pStyle w:val="SingleTxtG"/>
        <w:rPr>
          <w:lang w:val="fr-FR"/>
        </w:rPr>
      </w:pPr>
      <w:r w:rsidRPr="00EC7A66">
        <w:rPr>
          <w:lang w:val="fr-FR"/>
        </w:rPr>
        <w:t>(Exemple de croquis en vue de dessus)</w:t>
      </w:r>
    </w:p>
    <w:p w:rsidR="00EC7A66" w:rsidRDefault="00EC7A66" w:rsidP="00EC7A66">
      <w:pPr>
        <w:pStyle w:val="SingleTxtG"/>
        <w:rPr>
          <w:lang w:val="fr-FR"/>
        </w:rPr>
      </w:pPr>
      <w:r w:rsidRPr="00EC7A66">
        <w:rPr>
          <w:noProof/>
          <w:lang w:val="fr-FR"/>
        </w:rPr>
        <w:drawing>
          <wp:inline distT="0" distB="0" distL="0" distR="0" wp14:anchorId="4716BC8D" wp14:editId="4E4C5406">
            <wp:extent cx="4746812" cy="2073541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29" cy="21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66" w:rsidRDefault="00EC7A66" w:rsidP="00EC7A66">
      <w:pPr>
        <w:pBdr>
          <w:bottom w:val="single" w:sz="12" w:space="1" w:color="auto"/>
        </w:pBdr>
        <w:kinsoku/>
        <w:overflowPunct/>
        <w:autoSpaceDE/>
        <w:autoSpaceDN/>
        <w:adjustRightInd/>
        <w:snapToGrid/>
        <w:rPr>
          <w:lang w:val="fr-FR"/>
        </w:rPr>
      </w:pPr>
    </w:p>
    <w:p w:rsidR="00EC7A66" w:rsidRDefault="00EC7A66" w:rsidP="006A0778">
      <w:pPr>
        <w:pStyle w:val="SingleTxtG"/>
        <w:spacing w:after="240"/>
        <w:jc w:val="left"/>
        <w:rPr>
          <w:lang w:val="fr-FR"/>
        </w:rPr>
      </w:pPr>
      <w:r w:rsidRPr="00EC7A66">
        <w:rPr>
          <w:lang w:val="fr-FR"/>
        </w:rPr>
        <w:t>Caisse isotherme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Numéro de procès-verbal d</w:t>
      </w:r>
      <w:r>
        <w:rPr>
          <w:lang w:val="fr-FR"/>
        </w:rPr>
        <w:t>’</w:t>
      </w:r>
      <w:r w:rsidRPr="00EC7A66">
        <w:rPr>
          <w:lang w:val="fr-FR"/>
        </w:rPr>
        <w:t>essai ATP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Marque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Numéro de série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</w:p>
    <w:p w:rsidR="00EC7A66" w:rsidRPr="00EC7A66" w:rsidRDefault="00EC7A66" w:rsidP="006A0778">
      <w:pPr>
        <w:pStyle w:val="SingleTxtG"/>
        <w:spacing w:after="240"/>
        <w:jc w:val="left"/>
        <w:rPr>
          <w:lang w:val="fr-FR"/>
        </w:rPr>
      </w:pPr>
      <w:r w:rsidRPr="00EC7A66">
        <w:rPr>
          <w:lang w:val="fr-FR"/>
        </w:rPr>
        <w:t>Unité de condensation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Numéro de procès-verbal d</w:t>
      </w:r>
      <w:r>
        <w:rPr>
          <w:lang w:val="fr-FR"/>
        </w:rPr>
        <w:t>’</w:t>
      </w:r>
      <w:r w:rsidRPr="00EC7A66">
        <w:rPr>
          <w:lang w:val="fr-FR"/>
        </w:rPr>
        <w:t>essai ATP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Marque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Numéro de série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</w:p>
    <w:p w:rsidR="00EC7A66" w:rsidRDefault="00EC7A66" w:rsidP="006A0778">
      <w:pPr>
        <w:pStyle w:val="SingleTxtG"/>
        <w:spacing w:after="240"/>
        <w:jc w:val="left"/>
        <w:rPr>
          <w:lang w:val="fr-FR"/>
        </w:rPr>
      </w:pPr>
      <w:r w:rsidRPr="00EC7A66">
        <w:rPr>
          <w:lang w:val="fr-FR"/>
        </w:rPr>
        <w:t>Évaporateurs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Numéro de procès-verbal d</w:t>
      </w:r>
      <w:r>
        <w:rPr>
          <w:lang w:val="fr-FR"/>
        </w:rPr>
        <w:t>’</w:t>
      </w:r>
      <w:r w:rsidRPr="00EC7A66">
        <w:rPr>
          <w:lang w:val="fr-FR"/>
        </w:rPr>
        <w:t>essai ATP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Marque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Type</w:t>
      </w:r>
      <w:r w:rsidR="00CB49AF">
        <w:rPr>
          <w:lang w:val="fr-FR"/>
        </w:rPr>
        <w:t> </w:t>
      </w:r>
      <w:r w:rsidRPr="00EC7A66">
        <w:rPr>
          <w:lang w:val="fr-FR"/>
        </w:rPr>
        <w:t xml:space="preserve">: </w:t>
      </w:r>
    </w:p>
    <w:p w:rsidR="00EC7A66" w:rsidRPr="00EC7A66" w:rsidRDefault="00EC7A66" w:rsidP="006A0778">
      <w:pPr>
        <w:pStyle w:val="SingleTxtG"/>
        <w:keepNext/>
        <w:jc w:val="left"/>
        <w:rPr>
          <w:lang w:val="fr-FR"/>
        </w:rPr>
      </w:pPr>
      <w:r w:rsidRPr="00EC7A66">
        <w:rPr>
          <w:lang w:val="fr-FR"/>
        </w:rPr>
        <w:t>Remarques</w:t>
      </w:r>
      <w:r w:rsidR="00CB49AF">
        <w:rPr>
          <w:lang w:val="fr-FR"/>
        </w:rPr>
        <w:t> </w:t>
      </w:r>
      <w:r w:rsidRPr="00EC7A66">
        <w:rPr>
          <w:lang w:val="fr-FR"/>
        </w:rPr>
        <w:t xml:space="preserve">: </w:t>
      </w:r>
    </w:p>
    <w:p w:rsidR="00EC7A66" w:rsidRDefault="00EC7A66" w:rsidP="00EC7A66">
      <w:pPr>
        <w:pStyle w:val="SingleTxtG"/>
        <w:jc w:val="left"/>
        <w:rPr>
          <w:lang w:val="fr-FR"/>
        </w:rPr>
      </w:pPr>
      <w:r w:rsidRPr="00EC7A66">
        <w:rPr>
          <w:lang w:val="fr-FR"/>
        </w:rPr>
        <w:t>(par exemple, restrictions liées aux dimensions des compartiments ou à la température dans les compartiments, utilisation d</w:t>
      </w:r>
      <w:r>
        <w:rPr>
          <w:lang w:val="fr-FR"/>
        </w:rPr>
        <w:t>’</w:t>
      </w:r>
      <w:r w:rsidRPr="00EC7A66">
        <w:rPr>
          <w:lang w:val="fr-FR"/>
        </w:rPr>
        <w:t>accessoires particuliers tels que des rideaux, etc.)</w:t>
      </w:r>
    </w:p>
    <w:p w:rsidR="00EC7A66" w:rsidRPr="00EC7A66" w:rsidRDefault="00EC7A66" w:rsidP="00EC7A66">
      <w:pPr>
        <w:pStyle w:val="SingleTxtG"/>
        <w:keepNext/>
        <w:jc w:val="left"/>
        <w:rPr>
          <w:lang w:val="fr-FR"/>
        </w:rPr>
      </w:pPr>
      <w:r w:rsidRPr="00EC7A66">
        <w:rPr>
          <w:lang w:val="fr-FR"/>
        </w:rPr>
        <w:lastRenderedPageBreak/>
        <w:t xml:space="preserve">Certification </w:t>
      </w:r>
    </w:p>
    <w:p w:rsidR="00EC7A66" w:rsidRPr="00EC7A66" w:rsidRDefault="00EC7A66" w:rsidP="006A0778">
      <w:pPr>
        <w:pStyle w:val="SingleTxtG"/>
        <w:spacing w:after="240"/>
        <w:jc w:val="left"/>
        <w:rPr>
          <w:lang w:val="fr-FR"/>
        </w:rPr>
      </w:pPr>
      <w:r w:rsidRPr="00EC7A66">
        <w:rPr>
          <w:lang w:val="fr-FR"/>
        </w:rPr>
        <w:t>Nom de l</w:t>
      </w:r>
      <w:r>
        <w:rPr>
          <w:lang w:val="fr-FR"/>
        </w:rPr>
        <w:t>’</w:t>
      </w:r>
      <w:r w:rsidRPr="00EC7A66">
        <w:rPr>
          <w:lang w:val="fr-FR"/>
        </w:rPr>
        <w:t>autorité compétente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Adresse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Numéro de téléphone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  <w:r w:rsidRPr="00EC7A66">
        <w:rPr>
          <w:lang w:val="fr-FR"/>
        </w:rPr>
        <w:br/>
        <w:t>Courriel</w:t>
      </w:r>
      <w:r w:rsidR="00CB49AF">
        <w:rPr>
          <w:lang w:val="fr-FR"/>
        </w:rPr>
        <w:t> </w:t>
      </w:r>
      <w:r w:rsidRPr="00EC7A66">
        <w:rPr>
          <w:lang w:val="fr-FR"/>
        </w:rPr>
        <w:t>:</w:t>
      </w:r>
    </w:p>
    <w:p w:rsidR="00EC7A66" w:rsidRPr="00EC7A66" w:rsidRDefault="00EC7A66" w:rsidP="00EC7A66">
      <w:pPr>
        <w:pStyle w:val="SingleTxtG"/>
        <w:jc w:val="left"/>
        <w:rPr>
          <w:lang w:val="fr-FR"/>
        </w:rPr>
      </w:pPr>
      <w:r w:rsidRPr="00EC7A66">
        <w:rPr>
          <w:lang w:val="fr-FR"/>
        </w:rPr>
        <w:t>Faite à : (lieu)</w:t>
      </w:r>
    </w:p>
    <w:p w:rsidR="00EC7A66" w:rsidRPr="00EC7A66" w:rsidRDefault="00EC7A66" w:rsidP="006A0778">
      <w:pPr>
        <w:pStyle w:val="SingleTxtG"/>
        <w:kinsoku/>
        <w:overflowPunct/>
        <w:autoSpaceDE/>
        <w:autoSpaceDN/>
        <w:adjustRightInd/>
        <w:snapToGrid/>
        <w:ind w:left="4536" w:hanging="3402"/>
        <w:jc w:val="left"/>
        <w:rPr>
          <w:lang w:val="fr-FR"/>
        </w:rPr>
      </w:pPr>
      <w:r w:rsidRPr="00EC7A66">
        <w:rPr>
          <w:lang w:val="fr-FR"/>
        </w:rPr>
        <w:t>Le : (date)</w:t>
      </w:r>
      <w:r w:rsidRPr="00EC7A66">
        <w:rPr>
          <w:lang w:val="fr-FR"/>
        </w:rPr>
        <w:tab/>
        <w:t>Cachet et nom du signataire</w:t>
      </w:r>
    </w:p>
    <w:p w:rsidR="00F9573C" w:rsidRPr="00EC7A66" w:rsidRDefault="00EC7A66" w:rsidP="00EC7A6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EC7A66" w:rsidSect="00EC7A6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24" w:rsidRDefault="002F3224" w:rsidP="00F95C08">
      <w:pPr>
        <w:spacing w:line="240" w:lineRule="auto"/>
      </w:pPr>
    </w:p>
  </w:endnote>
  <w:endnote w:type="continuationSeparator" w:id="0">
    <w:p w:rsidR="002F3224" w:rsidRPr="00AC3823" w:rsidRDefault="002F3224" w:rsidP="00AC3823">
      <w:pPr>
        <w:pStyle w:val="Pieddepage"/>
      </w:pPr>
    </w:p>
  </w:endnote>
  <w:endnote w:type="continuationNotice" w:id="1">
    <w:p w:rsidR="002F3224" w:rsidRDefault="002F32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66" w:rsidRPr="00EC7A66" w:rsidRDefault="00EC7A66" w:rsidP="00EC7A66">
    <w:pPr>
      <w:pStyle w:val="Pieddepage"/>
      <w:tabs>
        <w:tab w:val="right" w:pos="9638"/>
      </w:tabs>
    </w:pPr>
    <w:r w:rsidRPr="00EC7A66">
      <w:rPr>
        <w:b/>
        <w:sz w:val="18"/>
      </w:rPr>
      <w:fldChar w:fldCharType="begin"/>
    </w:r>
    <w:r w:rsidRPr="00EC7A66">
      <w:rPr>
        <w:b/>
        <w:sz w:val="18"/>
      </w:rPr>
      <w:instrText xml:space="preserve"> PAGE  \* MERGEFORMAT </w:instrText>
    </w:r>
    <w:r w:rsidRPr="00EC7A66">
      <w:rPr>
        <w:b/>
        <w:sz w:val="18"/>
      </w:rPr>
      <w:fldChar w:fldCharType="separate"/>
    </w:r>
    <w:r w:rsidRPr="00EC7A66">
      <w:rPr>
        <w:b/>
        <w:noProof/>
        <w:sz w:val="18"/>
      </w:rPr>
      <w:t>2</w:t>
    </w:r>
    <w:r w:rsidRPr="00EC7A66">
      <w:rPr>
        <w:b/>
        <w:sz w:val="18"/>
      </w:rPr>
      <w:fldChar w:fldCharType="end"/>
    </w:r>
    <w:r>
      <w:rPr>
        <w:b/>
        <w:sz w:val="18"/>
      </w:rPr>
      <w:tab/>
    </w:r>
    <w:r>
      <w:t>GE.20-10053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66" w:rsidRPr="00EC7A66" w:rsidRDefault="00EC7A66" w:rsidP="00EC7A66">
    <w:pPr>
      <w:pStyle w:val="Pieddepage"/>
      <w:tabs>
        <w:tab w:val="right" w:pos="9638"/>
      </w:tabs>
      <w:rPr>
        <w:b/>
        <w:sz w:val="18"/>
      </w:rPr>
    </w:pPr>
    <w:r>
      <w:t>GE.20-10053</w:t>
    </w:r>
    <w:r>
      <w:tab/>
    </w:r>
    <w:r w:rsidRPr="00EC7A66">
      <w:rPr>
        <w:b/>
        <w:sz w:val="18"/>
      </w:rPr>
      <w:fldChar w:fldCharType="begin"/>
    </w:r>
    <w:r w:rsidRPr="00EC7A66">
      <w:rPr>
        <w:b/>
        <w:sz w:val="18"/>
      </w:rPr>
      <w:instrText xml:space="preserve"> PAGE  \* MERGEFORMAT </w:instrText>
    </w:r>
    <w:r w:rsidRPr="00EC7A66">
      <w:rPr>
        <w:b/>
        <w:sz w:val="18"/>
      </w:rPr>
      <w:fldChar w:fldCharType="separate"/>
    </w:r>
    <w:r w:rsidRPr="00EC7A66">
      <w:rPr>
        <w:b/>
        <w:noProof/>
        <w:sz w:val="18"/>
      </w:rPr>
      <w:t>3</w:t>
    </w:r>
    <w:r w:rsidRPr="00EC7A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C7A66" w:rsidRDefault="00EC7A66" w:rsidP="00EC7A6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20-10053  (F)    240820    250820</w:t>
    </w:r>
    <w:r>
      <w:rPr>
        <w:sz w:val="20"/>
      </w:rPr>
      <w:br/>
    </w:r>
    <w:r w:rsidRPr="00EC7A66">
      <w:rPr>
        <w:rFonts w:ascii="C39T30Lfz" w:hAnsi="C39T30Lfz"/>
        <w:sz w:val="56"/>
      </w:rPr>
      <w:t></w:t>
    </w:r>
    <w:r w:rsidRPr="00EC7A66">
      <w:rPr>
        <w:rFonts w:ascii="C39T30Lfz" w:hAnsi="C39T30Lfz"/>
        <w:sz w:val="56"/>
      </w:rPr>
      <w:t></w:t>
    </w:r>
    <w:r w:rsidRPr="00EC7A66">
      <w:rPr>
        <w:rFonts w:ascii="C39T30Lfz" w:hAnsi="C39T30Lfz"/>
        <w:sz w:val="56"/>
      </w:rPr>
      <w:t></w:t>
    </w:r>
    <w:r w:rsidRPr="00EC7A66">
      <w:rPr>
        <w:rFonts w:ascii="C39T30Lfz" w:hAnsi="C39T30Lfz"/>
        <w:sz w:val="56"/>
      </w:rPr>
      <w:t></w:t>
    </w:r>
    <w:r w:rsidRPr="00EC7A66">
      <w:rPr>
        <w:rFonts w:ascii="C39T30Lfz" w:hAnsi="C39T30Lfz"/>
        <w:sz w:val="56"/>
      </w:rPr>
      <w:t></w:t>
    </w:r>
    <w:r w:rsidRPr="00EC7A66">
      <w:rPr>
        <w:rFonts w:ascii="C39T30Lfz" w:hAnsi="C39T30Lfz"/>
        <w:sz w:val="56"/>
      </w:rPr>
      <w:t></w:t>
    </w:r>
    <w:r w:rsidRPr="00EC7A66">
      <w:rPr>
        <w:rFonts w:ascii="C39T30Lfz" w:hAnsi="C39T30Lfz"/>
        <w:sz w:val="56"/>
      </w:rPr>
      <w:t></w:t>
    </w:r>
    <w:r w:rsidRPr="00EC7A66">
      <w:rPr>
        <w:rFonts w:ascii="C39T30Lfz" w:hAnsi="C39T30Lfz"/>
        <w:sz w:val="56"/>
      </w:rPr>
      <w:t></w:t>
    </w:r>
    <w:r w:rsidRPr="00EC7A6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24" w:rsidRPr="00AC3823" w:rsidRDefault="002F32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224" w:rsidRPr="00AC3823" w:rsidRDefault="002F32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3224" w:rsidRPr="00AC3823" w:rsidRDefault="002F322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66" w:rsidRPr="00EC7A66" w:rsidRDefault="001005A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C7A66">
      <w:t>ECE/TRANS/WP.11/2020/14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66" w:rsidRPr="00EC7A66" w:rsidRDefault="001005AE" w:rsidP="00EC7A6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C7A66">
      <w:t>ECE/TRANS/WP.11/2020/14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3224"/>
    <w:rsid w:val="00017F94"/>
    <w:rsid w:val="00023842"/>
    <w:rsid w:val="000334F9"/>
    <w:rsid w:val="00045FEB"/>
    <w:rsid w:val="0007796D"/>
    <w:rsid w:val="000B7790"/>
    <w:rsid w:val="000C2A24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3224"/>
    <w:rsid w:val="00305801"/>
    <w:rsid w:val="00373E99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09AB"/>
    <w:rsid w:val="006A0778"/>
    <w:rsid w:val="006F0E09"/>
    <w:rsid w:val="0071601D"/>
    <w:rsid w:val="007A62E6"/>
    <w:rsid w:val="007F20FA"/>
    <w:rsid w:val="0080684C"/>
    <w:rsid w:val="0084543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1101"/>
    <w:rsid w:val="00B45F2E"/>
    <w:rsid w:val="00B765F7"/>
    <w:rsid w:val="00BA0CA9"/>
    <w:rsid w:val="00C02897"/>
    <w:rsid w:val="00C97039"/>
    <w:rsid w:val="00CB49AF"/>
    <w:rsid w:val="00D3439C"/>
    <w:rsid w:val="00DB1831"/>
    <w:rsid w:val="00DD3BFD"/>
    <w:rsid w:val="00DF6678"/>
    <w:rsid w:val="00E0299A"/>
    <w:rsid w:val="00E85C74"/>
    <w:rsid w:val="00EA6547"/>
    <w:rsid w:val="00EC7A66"/>
    <w:rsid w:val="00EF2E22"/>
    <w:rsid w:val="00F35BAF"/>
    <w:rsid w:val="00F660DF"/>
    <w:rsid w:val="00F816FA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5A147D-EA83-4A53-9DF9-CE9B9EB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C7A6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1077</Words>
  <Characters>5854</Characters>
  <Application>Microsoft Office Word</Application>
  <DocSecurity>0</DocSecurity>
  <Lines>146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ECE/TRANS/WP.11/2020/14</vt:lpstr>
    </vt:vector>
  </TitlesOfParts>
  <Company>DCM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ECE/TRANS/WP.11/2020/14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2020-08-25T06:18:00Z</dcterms:created>
  <dcterms:modified xsi:type="dcterms:W3CDTF">2020-08-25T06:18:00Z</dcterms:modified>
</cp:coreProperties>
</file>