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5BC2672" w14:textId="77777777" w:rsidTr="00C97039">
        <w:trPr>
          <w:trHeight w:hRule="exact" w:val="851"/>
        </w:trPr>
        <w:tc>
          <w:tcPr>
            <w:tcW w:w="1276" w:type="dxa"/>
            <w:tcBorders>
              <w:bottom w:val="single" w:sz="4" w:space="0" w:color="auto"/>
            </w:tcBorders>
          </w:tcPr>
          <w:p w14:paraId="2E484899" w14:textId="77777777" w:rsidR="00F35BAF" w:rsidRPr="00DB58B5" w:rsidRDefault="00F35BAF" w:rsidP="00023B98"/>
        </w:tc>
        <w:tc>
          <w:tcPr>
            <w:tcW w:w="2268" w:type="dxa"/>
            <w:tcBorders>
              <w:bottom w:val="single" w:sz="4" w:space="0" w:color="auto"/>
            </w:tcBorders>
            <w:vAlign w:val="bottom"/>
          </w:tcPr>
          <w:p w14:paraId="2615E5F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24A434" w14:textId="77777777" w:rsidR="00F35BAF" w:rsidRPr="00DB58B5" w:rsidRDefault="00023B98" w:rsidP="00023B98">
            <w:pPr>
              <w:jc w:val="right"/>
            </w:pPr>
            <w:r w:rsidRPr="00023B98">
              <w:rPr>
                <w:sz w:val="40"/>
              </w:rPr>
              <w:t>ECE</w:t>
            </w:r>
            <w:r>
              <w:t>/TRANS/WP.11/2020/12</w:t>
            </w:r>
          </w:p>
        </w:tc>
      </w:tr>
      <w:tr w:rsidR="00F35BAF" w:rsidRPr="00DB58B5" w14:paraId="14128FE1" w14:textId="77777777" w:rsidTr="00C97039">
        <w:trPr>
          <w:trHeight w:hRule="exact" w:val="2835"/>
        </w:trPr>
        <w:tc>
          <w:tcPr>
            <w:tcW w:w="1276" w:type="dxa"/>
            <w:tcBorders>
              <w:top w:val="single" w:sz="4" w:space="0" w:color="auto"/>
              <w:bottom w:val="single" w:sz="12" w:space="0" w:color="auto"/>
            </w:tcBorders>
          </w:tcPr>
          <w:p w14:paraId="7E1BCF28" w14:textId="77777777" w:rsidR="00F35BAF" w:rsidRPr="00DB58B5" w:rsidRDefault="00F35BAF" w:rsidP="00C97039">
            <w:pPr>
              <w:spacing w:before="120"/>
              <w:jc w:val="center"/>
            </w:pPr>
            <w:r>
              <w:rPr>
                <w:noProof/>
                <w:lang w:eastAsia="fr-CH"/>
              </w:rPr>
              <w:drawing>
                <wp:inline distT="0" distB="0" distL="0" distR="0" wp14:anchorId="75F9CCA6" wp14:editId="0B2CFE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E7396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090FDDA" w14:textId="77777777" w:rsidR="00F35BAF" w:rsidRDefault="00023B98" w:rsidP="00C97039">
            <w:pPr>
              <w:spacing w:before="240"/>
            </w:pPr>
            <w:r>
              <w:t>Distr. générale</w:t>
            </w:r>
          </w:p>
          <w:p w14:paraId="15677634" w14:textId="77777777" w:rsidR="00023B98" w:rsidRDefault="00023B98" w:rsidP="00023B98">
            <w:pPr>
              <w:spacing w:line="240" w:lineRule="exact"/>
            </w:pPr>
            <w:r>
              <w:t>27 juillet 2020</w:t>
            </w:r>
          </w:p>
          <w:p w14:paraId="3D2E72D8" w14:textId="77777777" w:rsidR="00023B98" w:rsidRDefault="00023B98" w:rsidP="00023B98">
            <w:pPr>
              <w:spacing w:line="240" w:lineRule="exact"/>
            </w:pPr>
            <w:r>
              <w:t>Français</w:t>
            </w:r>
          </w:p>
          <w:p w14:paraId="39F8AD06" w14:textId="77777777" w:rsidR="00023B98" w:rsidRPr="00DB58B5" w:rsidRDefault="00023B98" w:rsidP="00023B98">
            <w:pPr>
              <w:spacing w:line="240" w:lineRule="exact"/>
            </w:pPr>
            <w:r>
              <w:t>Original : anglais</w:t>
            </w:r>
          </w:p>
        </w:tc>
      </w:tr>
    </w:tbl>
    <w:p w14:paraId="27267645" w14:textId="77777777" w:rsidR="007F20FA" w:rsidRPr="000312C0" w:rsidRDefault="007F20FA" w:rsidP="007F20FA">
      <w:pPr>
        <w:spacing w:before="120"/>
        <w:rPr>
          <w:b/>
          <w:sz w:val="28"/>
          <w:szCs w:val="28"/>
        </w:rPr>
      </w:pPr>
      <w:r w:rsidRPr="000312C0">
        <w:rPr>
          <w:b/>
          <w:sz w:val="28"/>
          <w:szCs w:val="28"/>
        </w:rPr>
        <w:t>Commission économique pour l’Europe</w:t>
      </w:r>
    </w:p>
    <w:p w14:paraId="0993EC24" w14:textId="77777777" w:rsidR="007F20FA" w:rsidRDefault="007F20FA" w:rsidP="007F20FA">
      <w:pPr>
        <w:spacing w:before="120"/>
        <w:rPr>
          <w:sz w:val="28"/>
          <w:szCs w:val="28"/>
        </w:rPr>
      </w:pPr>
      <w:r w:rsidRPr="00685843">
        <w:rPr>
          <w:sz w:val="28"/>
          <w:szCs w:val="28"/>
        </w:rPr>
        <w:t>Comité des transports intérieurs</w:t>
      </w:r>
    </w:p>
    <w:p w14:paraId="0AD6E7F7" w14:textId="77777777" w:rsidR="00023B98" w:rsidRPr="001815EA" w:rsidRDefault="00023B98" w:rsidP="0009271E">
      <w:pPr>
        <w:spacing w:before="120"/>
        <w:rPr>
          <w:b/>
          <w:sz w:val="24"/>
          <w:szCs w:val="24"/>
          <w:lang w:val="fr-FR"/>
        </w:rPr>
      </w:pPr>
      <w:r w:rsidRPr="001815EA">
        <w:rPr>
          <w:b/>
          <w:sz w:val="24"/>
          <w:szCs w:val="24"/>
          <w:lang w:val="fr-FR"/>
        </w:rPr>
        <w:t>Groupe de travail du transport des denrées périssables</w:t>
      </w:r>
    </w:p>
    <w:p w14:paraId="718D9BC2" w14:textId="77777777" w:rsidR="00023B98" w:rsidRPr="0009271E" w:rsidRDefault="00023B98" w:rsidP="0038686A">
      <w:pPr>
        <w:spacing w:before="120"/>
        <w:rPr>
          <w:b/>
          <w:lang w:val="fr-FR"/>
        </w:rPr>
      </w:pPr>
      <w:r w:rsidRPr="0009271E">
        <w:rPr>
          <w:b/>
          <w:lang w:val="fr-FR"/>
        </w:rPr>
        <w:t>Soixante-seizième session</w:t>
      </w:r>
    </w:p>
    <w:p w14:paraId="609D680C" w14:textId="77777777" w:rsidR="00023B98" w:rsidRPr="0009271E" w:rsidRDefault="00023B98" w:rsidP="00023B98">
      <w:pPr>
        <w:rPr>
          <w:lang w:val="fr-FR"/>
        </w:rPr>
      </w:pPr>
      <w:r w:rsidRPr="0009271E">
        <w:rPr>
          <w:lang w:val="fr-FR"/>
        </w:rPr>
        <w:t>Genève, 13-16 octobre 2020</w:t>
      </w:r>
    </w:p>
    <w:p w14:paraId="11AD76E5" w14:textId="77777777" w:rsidR="00023B98" w:rsidRPr="0009271E" w:rsidRDefault="00023B98" w:rsidP="00023B98">
      <w:pPr>
        <w:rPr>
          <w:lang w:val="fr-FR"/>
        </w:rPr>
      </w:pPr>
      <w:r w:rsidRPr="0009271E">
        <w:rPr>
          <w:lang w:val="fr-FR"/>
        </w:rPr>
        <w:t>Point 6 a) de l’ordre du jour provisoire</w:t>
      </w:r>
    </w:p>
    <w:p w14:paraId="46B6DD33" w14:textId="77777777" w:rsidR="00023B98" w:rsidRPr="0009271E" w:rsidRDefault="00023B98" w:rsidP="00023B98">
      <w:pPr>
        <w:rPr>
          <w:bCs/>
          <w:lang w:val="fr-FR"/>
        </w:rPr>
      </w:pPr>
      <w:r w:rsidRPr="0009271E">
        <w:rPr>
          <w:b/>
          <w:lang w:val="fr-FR"/>
        </w:rPr>
        <w:t xml:space="preserve">Propositions d’amendements à l’ATP : </w:t>
      </w:r>
      <w:r w:rsidRPr="0009271E">
        <w:rPr>
          <w:b/>
          <w:lang w:val="fr-FR"/>
        </w:rPr>
        <w:br/>
        <w:t>propositions en suspens</w:t>
      </w:r>
      <w:r w:rsidRPr="0009271E">
        <w:rPr>
          <w:bCs/>
          <w:highlight w:val="yellow"/>
          <w:lang w:val="fr-FR"/>
        </w:rPr>
        <w:t xml:space="preserve"> </w:t>
      </w:r>
    </w:p>
    <w:p w14:paraId="7050B53B" w14:textId="77777777" w:rsidR="00023B98" w:rsidRPr="001815EA" w:rsidRDefault="00023B98" w:rsidP="0009271E">
      <w:pPr>
        <w:pStyle w:val="HChG"/>
        <w:rPr>
          <w:lang w:val="fr-FR"/>
        </w:rPr>
      </w:pPr>
      <w:r w:rsidRPr="001815EA">
        <w:rPr>
          <w:lang w:val="fr-FR"/>
        </w:rPr>
        <w:tab/>
      </w:r>
      <w:r w:rsidRPr="001815EA">
        <w:rPr>
          <w:lang w:val="fr-FR"/>
        </w:rPr>
        <w:tab/>
        <w:t>Le rôle de l</w:t>
      </w:r>
      <w:r>
        <w:rPr>
          <w:lang w:val="fr-FR"/>
        </w:rPr>
        <w:t>’</w:t>
      </w:r>
      <w:r w:rsidRPr="001815EA">
        <w:rPr>
          <w:lang w:val="fr-FR"/>
        </w:rPr>
        <w:t>incertitude de mesure dans les décisions d</w:t>
      </w:r>
      <w:r>
        <w:rPr>
          <w:lang w:val="fr-FR"/>
        </w:rPr>
        <w:t>’</w:t>
      </w:r>
      <w:r w:rsidRPr="001815EA">
        <w:rPr>
          <w:lang w:val="fr-FR"/>
        </w:rPr>
        <w:t>évaluation de la conformité selon l</w:t>
      </w:r>
      <w:r>
        <w:rPr>
          <w:lang w:val="fr-FR"/>
        </w:rPr>
        <w:t>’</w:t>
      </w:r>
      <w:r w:rsidRPr="001815EA">
        <w:rPr>
          <w:lang w:val="fr-FR"/>
        </w:rPr>
        <w:t>ATP</w:t>
      </w:r>
    </w:p>
    <w:p w14:paraId="6345921E" w14:textId="77777777" w:rsidR="00023B98" w:rsidRPr="001815EA" w:rsidRDefault="00023B98" w:rsidP="0009271E">
      <w:pPr>
        <w:pStyle w:val="H1G"/>
        <w:rPr>
          <w:lang w:val="fr-FR"/>
        </w:rPr>
      </w:pPr>
      <w:r w:rsidRPr="001815EA">
        <w:rPr>
          <w:lang w:val="fr-FR"/>
        </w:rPr>
        <w:tab/>
      </w:r>
      <w:r w:rsidRPr="001815EA">
        <w:rPr>
          <w:lang w:val="fr-FR"/>
        </w:rPr>
        <w:tab/>
        <w:t>Communication du Gouvernement slovène</w:t>
      </w:r>
    </w:p>
    <w:p w14:paraId="7F036222" w14:textId="77777777" w:rsidR="00023B98" w:rsidRPr="001815EA" w:rsidRDefault="00023B98" w:rsidP="0009271E">
      <w:pPr>
        <w:pStyle w:val="HChG"/>
        <w:rPr>
          <w:lang w:val="fr-FR"/>
        </w:rPr>
      </w:pPr>
      <w:r w:rsidRPr="001815EA">
        <w:rPr>
          <w:lang w:val="fr-FR"/>
        </w:rPr>
        <w:tab/>
      </w:r>
      <w:r w:rsidRPr="001815EA">
        <w:rPr>
          <w:lang w:val="fr-FR"/>
        </w:rPr>
        <w:tab/>
        <w:t>Contexte</w:t>
      </w:r>
    </w:p>
    <w:p w14:paraId="3FD8BF5E" w14:textId="77777777" w:rsidR="00023B98" w:rsidRDefault="00023B98" w:rsidP="0009271E">
      <w:pPr>
        <w:pStyle w:val="SingleTxtG"/>
        <w:rPr>
          <w:lang w:val="fr-FR"/>
        </w:rPr>
      </w:pPr>
      <w:r w:rsidRPr="001815EA">
        <w:rPr>
          <w:lang w:val="fr-FR"/>
        </w:rPr>
        <w:t>1.</w:t>
      </w:r>
      <w:r w:rsidRPr="001815EA">
        <w:rPr>
          <w:lang w:val="fr-FR"/>
        </w:rPr>
        <w:tab/>
        <w:t>Étant donné que les stations d</w:t>
      </w:r>
      <w:r>
        <w:rPr>
          <w:lang w:val="fr-FR"/>
        </w:rPr>
        <w:t>’</w:t>
      </w:r>
      <w:r w:rsidRPr="001815EA">
        <w:rPr>
          <w:lang w:val="fr-FR"/>
        </w:rPr>
        <w:t>essai officiellement désignées par l</w:t>
      </w:r>
      <w:r>
        <w:rPr>
          <w:lang w:val="fr-FR"/>
        </w:rPr>
        <w:t>’</w:t>
      </w:r>
      <w:r w:rsidRPr="001815EA">
        <w:rPr>
          <w:lang w:val="fr-FR"/>
        </w:rPr>
        <w:t>autorité compétente des pays parties à l</w:t>
      </w:r>
      <w:r>
        <w:rPr>
          <w:lang w:val="fr-FR"/>
        </w:rPr>
        <w:t>’</w:t>
      </w:r>
      <w:r w:rsidRPr="001815EA">
        <w:rPr>
          <w:lang w:val="fr-FR"/>
        </w:rPr>
        <w:t>Accord relatif aux transports internationaux de denrées périssables et aux engins spéciaux à utiliser pour ces transports (ATP) doivent estimer l</w:t>
      </w:r>
      <w:r>
        <w:rPr>
          <w:lang w:val="fr-FR"/>
        </w:rPr>
        <w:t>’</w:t>
      </w:r>
      <w:r w:rsidRPr="001815EA">
        <w:rPr>
          <w:lang w:val="fr-FR"/>
        </w:rPr>
        <w:t>incertitude de leurs mesures, il conviendrait d</w:t>
      </w:r>
      <w:r>
        <w:rPr>
          <w:lang w:val="fr-FR"/>
        </w:rPr>
        <w:t>’</w:t>
      </w:r>
      <w:r w:rsidRPr="001815EA">
        <w:rPr>
          <w:lang w:val="fr-FR"/>
        </w:rPr>
        <w:t>introduire dans l</w:t>
      </w:r>
      <w:r>
        <w:rPr>
          <w:lang w:val="fr-FR"/>
        </w:rPr>
        <w:t>’</w:t>
      </w:r>
      <w:r w:rsidRPr="001815EA">
        <w:rPr>
          <w:lang w:val="fr-FR"/>
        </w:rPr>
        <w:t>ATP les règles concernant les décisions d</w:t>
      </w:r>
      <w:r>
        <w:rPr>
          <w:lang w:val="fr-FR"/>
        </w:rPr>
        <w:t>’</w:t>
      </w:r>
      <w:r w:rsidRPr="001815EA">
        <w:rPr>
          <w:lang w:val="fr-FR"/>
        </w:rPr>
        <w:t>évaluation de la conformité et le rôle de l</w:t>
      </w:r>
      <w:r>
        <w:rPr>
          <w:lang w:val="fr-FR"/>
        </w:rPr>
        <w:t>’</w:t>
      </w:r>
      <w:r w:rsidRPr="001815EA">
        <w:rPr>
          <w:lang w:val="fr-FR"/>
        </w:rPr>
        <w:t>incertitude de mesure dans cette évaluation conformément aux normes métrologiques.</w:t>
      </w:r>
    </w:p>
    <w:p w14:paraId="79324D4A" w14:textId="77777777" w:rsidR="0009271E" w:rsidRDefault="00023B98" w:rsidP="0009271E">
      <w:pPr>
        <w:pStyle w:val="Heading1"/>
        <w:rPr>
          <w:lang w:val="fr-FR"/>
        </w:rPr>
      </w:pPr>
      <w:r w:rsidRPr="001815EA">
        <w:rPr>
          <w:lang w:val="fr-FR"/>
        </w:rPr>
        <w:t xml:space="preserve">Figure 1 </w:t>
      </w:r>
    </w:p>
    <w:p w14:paraId="19CC0F6A" w14:textId="77777777" w:rsidR="00023B98" w:rsidRDefault="00023B98" w:rsidP="0009271E">
      <w:pPr>
        <w:pStyle w:val="Heading1"/>
        <w:spacing w:after="120"/>
        <w:rPr>
          <w:b/>
          <w:bCs/>
          <w:iCs/>
          <w:lang w:val="fr-FR"/>
        </w:rPr>
      </w:pPr>
      <w:r w:rsidRPr="001815EA">
        <w:rPr>
          <w:b/>
          <w:bCs/>
          <w:iCs/>
          <w:lang w:val="fr-FR"/>
        </w:rPr>
        <w:t xml:space="preserve">Aperçu des quatre types de résultats de mesure qui doivent être évalués </w:t>
      </w:r>
      <w:r w:rsidR="0009271E">
        <w:rPr>
          <w:b/>
          <w:bCs/>
          <w:iCs/>
          <w:lang w:val="fr-FR"/>
        </w:rPr>
        <w:br/>
      </w:r>
      <w:r w:rsidRPr="001815EA">
        <w:rPr>
          <w:b/>
          <w:bCs/>
          <w:iCs/>
          <w:lang w:val="fr-FR"/>
        </w:rPr>
        <w:t>dans le</w:t>
      </w:r>
      <w:r w:rsidR="0009271E">
        <w:rPr>
          <w:b/>
          <w:bCs/>
          <w:iCs/>
          <w:lang w:val="fr-FR"/>
        </w:rPr>
        <w:t xml:space="preserve"> </w:t>
      </w:r>
      <w:r w:rsidRPr="001815EA">
        <w:rPr>
          <w:b/>
          <w:bCs/>
          <w:iCs/>
          <w:lang w:val="fr-FR"/>
        </w:rPr>
        <w:t>cadre d</w:t>
      </w:r>
      <w:r>
        <w:rPr>
          <w:b/>
          <w:bCs/>
          <w:iCs/>
          <w:lang w:val="fr-FR"/>
        </w:rPr>
        <w:t>’</w:t>
      </w:r>
      <w:r w:rsidRPr="001815EA">
        <w:rPr>
          <w:b/>
          <w:bCs/>
          <w:iCs/>
          <w:lang w:val="fr-FR"/>
        </w:rPr>
        <w:t>une décision d</w:t>
      </w:r>
      <w:r>
        <w:rPr>
          <w:b/>
          <w:bCs/>
          <w:iCs/>
          <w:lang w:val="fr-FR"/>
        </w:rPr>
        <w:t>’</w:t>
      </w:r>
      <w:r w:rsidRPr="001815EA">
        <w:rPr>
          <w:b/>
          <w:bCs/>
          <w:iCs/>
          <w:lang w:val="fr-FR"/>
        </w:rPr>
        <w:t xml:space="preserve">évaluation de la conformité. </w:t>
      </w:r>
      <w:r w:rsidR="0009271E">
        <w:rPr>
          <w:b/>
          <w:bCs/>
          <w:iCs/>
          <w:lang w:val="fr-FR"/>
        </w:rPr>
        <w:br/>
      </w:r>
      <w:r w:rsidRPr="001815EA">
        <w:rPr>
          <w:b/>
          <w:bCs/>
          <w:iCs/>
          <w:lang w:val="fr-FR"/>
        </w:rPr>
        <w:t>Les types de résultats concernant des cas limites sont encadrés en rouge</w:t>
      </w:r>
    </w:p>
    <w:p w14:paraId="44780EFA" w14:textId="77777777" w:rsidR="0038686A" w:rsidRDefault="0038686A" w:rsidP="0038686A">
      <w:pPr>
        <w:ind w:left="1134"/>
        <w:rPr>
          <w:highlight w:val="yellow"/>
          <w:lang w:val="fr-FR"/>
        </w:rPr>
      </w:pPr>
      <w:r>
        <w:rPr>
          <w:noProof/>
          <w:highlight w:val="yellow"/>
          <w:lang w:val="fr-FR"/>
        </w:rPr>
        <w:drawing>
          <wp:inline distT="0" distB="0" distL="0" distR="0" wp14:anchorId="582D758E" wp14:editId="6303B3BB">
            <wp:extent cx="4159728" cy="18176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3312" cy="1819241"/>
                    </a:xfrm>
                    <a:prstGeom prst="rect">
                      <a:avLst/>
                    </a:prstGeom>
                    <a:noFill/>
                  </pic:spPr>
                </pic:pic>
              </a:graphicData>
            </a:graphic>
          </wp:inline>
        </w:drawing>
      </w:r>
    </w:p>
    <w:p w14:paraId="4CE372DF" w14:textId="77777777" w:rsidR="00023B98" w:rsidRDefault="00023B98" w:rsidP="0038686A">
      <w:pPr>
        <w:pStyle w:val="SingleTxtG"/>
        <w:keepNext/>
        <w:keepLines/>
      </w:pPr>
      <w:r w:rsidRPr="001815EA">
        <w:rPr>
          <w:lang w:val="fr-FR"/>
        </w:rPr>
        <w:lastRenderedPageBreak/>
        <w:t>2.</w:t>
      </w:r>
      <w:r w:rsidRPr="001815EA">
        <w:rPr>
          <w:lang w:val="fr-FR"/>
        </w:rPr>
        <w:tab/>
      </w:r>
      <w:r w:rsidRPr="0009271E">
        <w:t>L’évaluation de la conformité doit suivre la méthode décrite dans la pratique métrologique internationale telle qu’énoncée dans les documents du Comité commun pour les guides en métrologie (JCGM) 106:2012, de l’International Laboratory Accreditation Cooperation (ILAC)</w:t>
      </w:r>
      <w:r w:rsidR="0009271E">
        <w:t> </w:t>
      </w:r>
      <w:r w:rsidRPr="0009271E">
        <w:t>G8:09/2019, de l’Organisation internationale de métrologie légale (OIML)</w:t>
      </w:r>
      <w:r w:rsidR="0009271E">
        <w:t> </w:t>
      </w:r>
      <w:r w:rsidRPr="0009271E">
        <w:t>G</w:t>
      </w:r>
      <w:r w:rsidR="0009271E">
        <w:t> </w:t>
      </w:r>
      <w:r w:rsidRPr="0009271E">
        <w:t>19/2017, et WELMEC 4.2-1/2006.</w:t>
      </w:r>
    </w:p>
    <w:p w14:paraId="4CBABDFC" w14:textId="77777777" w:rsidR="00023B98" w:rsidRPr="001815EA" w:rsidRDefault="00023B98" w:rsidP="0009271E">
      <w:pPr>
        <w:pStyle w:val="HChG"/>
        <w:rPr>
          <w:lang w:val="fr-FR"/>
        </w:rPr>
      </w:pPr>
      <w:r w:rsidRPr="001815EA">
        <w:rPr>
          <w:lang w:val="fr-FR"/>
        </w:rPr>
        <w:tab/>
      </w:r>
      <w:r w:rsidRPr="001815EA">
        <w:rPr>
          <w:lang w:val="fr-FR"/>
        </w:rPr>
        <w:tab/>
        <w:t>État de l</w:t>
      </w:r>
      <w:r>
        <w:rPr>
          <w:lang w:val="fr-FR"/>
        </w:rPr>
        <w:t>’</w:t>
      </w:r>
      <w:r w:rsidRPr="001815EA">
        <w:rPr>
          <w:lang w:val="fr-FR"/>
        </w:rPr>
        <w:t>art</w:t>
      </w:r>
    </w:p>
    <w:p w14:paraId="331758BF" w14:textId="77777777" w:rsidR="00023B98" w:rsidRPr="001815EA" w:rsidRDefault="00023B98" w:rsidP="0038686A">
      <w:pPr>
        <w:pStyle w:val="SingleTxtG"/>
        <w:rPr>
          <w:lang w:val="fr-FR"/>
        </w:rPr>
      </w:pPr>
      <w:r w:rsidRPr="001815EA">
        <w:rPr>
          <w:lang w:val="fr-FR"/>
        </w:rPr>
        <w:t>3.</w:t>
      </w:r>
      <w:r w:rsidRPr="001815EA">
        <w:rPr>
          <w:lang w:val="fr-FR"/>
        </w:rPr>
        <w:tab/>
        <w:t>Lors de l</w:t>
      </w:r>
      <w:r>
        <w:rPr>
          <w:lang w:val="fr-FR"/>
        </w:rPr>
        <w:t>’</w:t>
      </w:r>
      <w:r w:rsidRPr="001815EA">
        <w:rPr>
          <w:lang w:val="fr-FR"/>
        </w:rPr>
        <w:t>évaluation de la conformité, la décision est fondée sur des données observables (quantités mesurées). L</w:t>
      </w:r>
      <w:r>
        <w:rPr>
          <w:lang w:val="fr-FR"/>
        </w:rPr>
        <w:t>’</w:t>
      </w:r>
      <w:r w:rsidRPr="001815EA">
        <w:rPr>
          <w:lang w:val="fr-FR"/>
        </w:rPr>
        <w:t xml:space="preserve">incertitude de mesure crée </w:t>
      </w:r>
      <w:r>
        <w:rPr>
          <w:lang w:val="fr-FR"/>
        </w:rPr>
        <w:t xml:space="preserve">toutefois </w:t>
      </w:r>
      <w:r w:rsidRPr="001815EA">
        <w:rPr>
          <w:lang w:val="fr-FR"/>
        </w:rPr>
        <w:t>un risque systématique de décision erronée. Les décisions erronées sont de deux types : un article accepté comme conforme peut en fait être non conforme (ce cas est appelé acceptation erronée ou risque pour le consommateur), et un article rejeté comme non conforme peut en fait être conforme (ce cas est appelé rejet erroné ou risque pour le producteur).</w:t>
      </w:r>
    </w:p>
    <w:p w14:paraId="21B455F4" w14:textId="77777777" w:rsidR="00023B98" w:rsidRPr="001815EA" w:rsidRDefault="00023B98" w:rsidP="0038686A">
      <w:pPr>
        <w:pStyle w:val="SingleTxtG"/>
        <w:rPr>
          <w:lang w:val="fr-FR"/>
        </w:rPr>
      </w:pPr>
      <w:r w:rsidRPr="001815EA">
        <w:rPr>
          <w:lang w:val="fr-FR"/>
        </w:rPr>
        <w:t>4.</w:t>
      </w:r>
      <w:r w:rsidRPr="001815EA">
        <w:rPr>
          <w:lang w:val="fr-FR"/>
        </w:rPr>
        <w:tab/>
        <w:t>Dans toutes les méthodes des procédures d</w:t>
      </w:r>
      <w:r>
        <w:rPr>
          <w:lang w:val="fr-FR"/>
        </w:rPr>
        <w:t>’</w:t>
      </w:r>
      <w:r w:rsidRPr="001815EA">
        <w:rPr>
          <w:lang w:val="fr-FR"/>
        </w:rPr>
        <w:t>essai de l</w:t>
      </w:r>
      <w:r>
        <w:rPr>
          <w:lang w:val="fr-FR"/>
        </w:rPr>
        <w:t>’</w:t>
      </w:r>
      <w:r w:rsidRPr="001815EA">
        <w:rPr>
          <w:lang w:val="fr-FR"/>
        </w:rPr>
        <w:t>ATP</w:t>
      </w:r>
      <w:r>
        <w:rPr>
          <w:lang w:val="fr-FR"/>
        </w:rPr>
        <w:t xml:space="preserve"> appliquées </w:t>
      </w:r>
      <w:r w:rsidRPr="001815EA">
        <w:rPr>
          <w:lang w:val="fr-FR"/>
        </w:rPr>
        <w:t>en utilisant des mesures, il existe une définition de l</w:t>
      </w:r>
      <w:r>
        <w:rPr>
          <w:lang w:val="fr-FR"/>
        </w:rPr>
        <w:t>’</w:t>
      </w:r>
      <w:r w:rsidRPr="001815EA">
        <w:rPr>
          <w:lang w:val="fr-FR"/>
        </w:rPr>
        <w:t>incertitude de mesure maximale acceptable (découlant de la définition du matériel et des instruments de référence et des exigences de précision concernant les procédures d</w:t>
      </w:r>
      <w:r>
        <w:rPr>
          <w:lang w:val="fr-FR"/>
        </w:rPr>
        <w:t>’</w:t>
      </w:r>
      <w:r w:rsidRPr="001815EA">
        <w:rPr>
          <w:lang w:val="fr-FR"/>
        </w:rPr>
        <w:t xml:space="preserve">essai). </w:t>
      </w:r>
    </w:p>
    <w:p w14:paraId="1E523ED2" w14:textId="77777777" w:rsidR="00023B98" w:rsidRPr="001815EA" w:rsidRDefault="00023B98" w:rsidP="0038686A">
      <w:pPr>
        <w:pStyle w:val="SingleTxtG"/>
        <w:keepNext/>
        <w:rPr>
          <w:lang w:val="fr-FR"/>
        </w:rPr>
      </w:pPr>
      <w:r w:rsidRPr="001815EA">
        <w:rPr>
          <w:lang w:val="fr-FR"/>
        </w:rPr>
        <w:t>5.</w:t>
      </w:r>
      <w:r w:rsidRPr="001815EA">
        <w:rPr>
          <w:lang w:val="fr-FR"/>
        </w:rPr>
        <w:tab/>
        <w:t>L</w:t>
      </w:r>
      <w:r>
        <w:rPr>
          <w:lang w:val="fr-FR"/>
        </w:rPr>
        <w:t>’</w:t>
      </w:r>
      <w:r w:rsidRPr="001815EA">
        <w:rPr>
          <w:lang w:val="fr-FR"/>
        </w:rPr>
        <w:t>utilisation de la règle d</w:t>
      </w:r>
      <w:r>
        <w:rPr>
          <w:lang w:val="fr-FR"/>
        </w:rPr>
        <w:t>’</w:t>
      </w:r>
      <w:r w:rsidRPr="001815EA">
        <w:rPr>
          <w:lang w:val="fr-FR"/>
        </w:rPr>
        <w:t>acceptation simple, ou règle du risque partagé, est recommandée par l</w:t>
      </w:r>
      <w:r>
        <w:rPr>
          <w:lang w:val="fr-FR"/>
        </w:rPr>
        <w:t>’</w:t>
      </w:r>
      <w:r w:rsidRPr="001815EA">
        <w:rPr>
          <w:lang w:val="fr-FR"/>
        </w:rPr>
        <w:t>ILAC dans la section</w:t>
      </w:r>
      <w:r w:rsidR="0038686A">
        <w:rPr>
          <w:lang w:val="fr-FR"/>
        </w:rPr>
        <w:t> </w:t>
      </w:r>
      <w:r w:rsidRPr="001815EA">
        <w:rPr>
          <w:lang w:val="fr-FR"/>
        </w:rPr>
        <w:t>4.2 de ses Directives sur la déclaration de conformité à la spécification G8:09/2019</w:t>
      </w:r>
      <w:r w:rsidR="0038686A">
        <w:rPr>
          <w:lang w:val="fr-FR"/>
        </w:rPr>
        <w:t> </w:t>
      </w:r>
      <w:r w:rsidRPr="001815EA">
        <w:rPr>
          <w:lang w:val="fr-FR"/>
        </w:rPr>
        <w:t>:</w:t>
      </w:r>
    </w:p>
    <w:p w14:paraId="5440B536" w14:textId="77777777" w:rsidR="00023B98" w:rsidRPr="004A5636" w:rsidRDefault="00023B98" w:rsidP="0038686A">
      <w:pPr>
        <w:pStyle w:val="SingleTxtG"/>
        <w:ind w:left="1701"/>
        <w:rPr>
          <w:lang w:val="fr-FR"/>
        </w:rPr>
      </w:pPr>
      <w:r w:rsidRPr="004A5636">
        <w:rPr>
          <w:lang w:val="fr-FR"/>
        </w:rPr>
        <w:t>Une</w:t>
      </w:r>
      <w:r w:rsidRPr="001815EA">
        <w:rPr>
          <w:lang w:val="fr-FR"/>
        </w:rPr>
        <w:t xml:space="preserve"> règle de décision </w:t>
      </w:r>
      <w:r w:rsidRPr="004A5636">
        <w:rPr>
          <w:lang w:val="fr-FR"/>
        </w:rPr>
        <w:t xml:space="preserve">est </w:t>
      </w:r>
      <w:r w:rsidRPr="001815EA">
        <w:rPr>
          <w:lang w:val="fr-FR"/>
        </w:rPr>
        <w:t xml:space="preserve">binaire lorsque le résultat est limité à deux </w:t>
      </w:r>
      <w:r w:rsidRPr="004A5636">
        <w:rPr>
          <w:lang w:val="fr-FR"/>
        </w:rPr>
        <w:t xml:space="preserve">options </w:t>
      </w:r>
      <w:r w:rsidRPr="001815EA">
        <w:rPr>
          <w:lang w:val="fr-FR"/>
        </w:rPr>
        <w:t>(</w:t>
      </w:r>
      <w:r w:rsidRPr="004A5636">
        <w:rPr>
          <w:lang w:val="fr-FR"/>
        </w:rPr>
        <w:t>acceptation</w:t>
      </w:r>
      <w:r w:rsidRPr="001815EA">
        <w:rPr>
          <w:lang w:val="fr-FR"/>
        </w:rPr>
        <w:t xml:space="preserve"> ou </w:t>
      </w:r>
      <w:r w:rsidRPr="004A5636">
        <w:rPr>
          <w:lang w:val="fr-FR"/>
        </w:rPr>
        <w:t>rejet</w:t>
      </w:r>
      <w:r w:rsidRPr="001815EA">
        <w:rPr>
          <w:lang w:val="fr-FR"/>
        </w:rPr>
        <w:t>).</w:t>
      </w:r>
    </w:p>
    <w:p w14:paraId="5174B7ED" w14:textId="77777777" w:rsidR="00023B98" w:rsidRPr="004A5636" w:rsidRDefault="00023B98" w:rsidP="0038686A">
      <w:pPr>
        <w:pStyle w:val="SingleTxtG"/>
        <w:keepNext/>
        <w:rPr>
          <w:lang w:val="fr-FR"/>
        </w:rPr>
      </w:pPr>
      <w:r w:rsidRPr="004A5636">
        <w:rPr>
          <w:lang w:val="fr-FR"/>
        </w:rPr>
        <w:t>6.</w:t>
      </w:r>
      <w:r w:rsidRPr="004A5636">
        <w:rPr>
          <w:lang w:val="fr-FR"/>
        </w:rPr>
        <w:tab/>
        <w:t>La déclaration binaire avec la règle d</w:t>
      </w:r>
      <w:r>
        <w:rPr>
          <w:lang w:val="fr-FR"/>
        </w:rPr>
        <w:t>’</w:t>
      </w:r>
      <w:r w:rsidRPr="004A5636">
        <w:rPr>
          <w:lang w:val="fr-FR"/>
        </w:rPr>
        <w:t>acceptation simple est définie comme suit :</w:t>
      </w:r>
    </w:p>
    <w:p w14:paraId="05C0DABD" w14:textId="77777777" w:rsidR="00023B98" w:rsidRPr="004A5636" w:rsidRDefault="00023B98" w:rsidP="0038686A">
      <w:pPr>
        <w:pStyle w:val="SingleTxtG"/>
        <w:ind w:left="1701"/>
        <w:rPr>
          <w:lang w:val="fr-FR"/>
        </w:rPr>
      </w:pPr>
      <w:r w:rsidRPr="004A5636">
        <w:rPr>
          <w:lang w:val="fr-FR"/>
        </w:rPr>
        <w:t>4.2.1</w:t>
      </w:r>
      <w:r w:rsidR="0038686A">
        <w:rPr>
          <w:lang w:val="fr-FR"/>
        </w:rPr>
        <w:tab/>
      </w:r>
      <w:r w:rsidRPr="004A5636">
        <w:rPr>
          <w:lang w:val="fr-FR"/>
        </w:rPr>
        <w:t>Déclaration binaire avec la règle d</w:t>
      </w:r>
      <w:r>
        <w:rPr>
          <w:lang w:val="fr-FR"/>
        </w:rPr>
        <w:t>’</w:t>
      </w:r>
      <w:r w:rsidRPr="004A5636">
        <w:rPr>
          <w:lang w:val="fr-FR"/>
        </w:rPr>
        <w:t>acceptation simple</w:t>
      </w:r>
    </w:p>
    <w:p w14:paraId="52943DC1" w14:textId="77777777" w:rsidR="00023B98" w:rsidRPr="004A5636" w:rsidRDefault="00023B98" w:rsidP="0038686A">
      <w:pPr>
        <w:pStyle w:val="SingleTxtG"/>
        <w:keepNext/>
        <w:ind w:left="1701"/>
        <w:rPr>
          <w:lang w:val="fr-FR"/>
        </w:rPr>
      </w:pPr>
      <w:r w:rsidRPr="004A5636">
        <w:rPr>
          <w:lang w:val="fr-FR"/>
        </w:rPr>
        <w:t>Les déclarations de conformité sont énoncées comme suit</w:t>
      </w:r>
      <w:r w:rsidR="0038686A">
        <w:rPr>
          <w:lang w:val="fr-FR"/>
        </w:rPr>
        <w:t> </w:t>
      </w:r>
      <w:r w:rsidRPr="004A5636">
        <w:rPr>
          <w:lang w:val="fr-FR"/>
        </w:rPr>
        <w:t>:</w:t>
      </w:r>
    </w:p>
    <w:p w14:paraId="1C11FEB1" w14:textId="77777777" w:rsidR="00023B98" w:rsidRPr="004A5636" w:rsidRDefault="00023B98" w:rsidP="0038686A">
      <w:pPr>
        <w:pStyle w:val="Bullet1G"/>
        <w:rPr>
          <w:lang w:val="fr-FR"/>
        </w:rPr>
      </w:pPr>
      <w:r w:rsidRPr="004A5636">
        <w:rPr>
          <w:lang w:val="fr-FR"/>
        </w:rPr>
        <w:t xml:space="preserve">Acceptation </w:t>
      </w:r>
      <w:r w:rsidR="0038686A">
        <w:rPr>
          <w:lang w:val="fr-FR"/>
        </w:rPr>
        <w:t>−</w:t>
      </w:r>
      <w:r w:rsidRPr="004A5636">
        <w:rPr>
          <w:lang w:val="fr-FR"/>
        </w:rPr>
        <w:t xml:space="preserve"> la valeur mesurée est inférieure au seuil d</w:t>
      </w:r>
      <w:r>
        <w:rPr>
          <w:lang w:val="fr-FR"/>
        </w:rPr>
        <w:t>’</w:t>
      </w:r>
      <w:r w:rsidRPr="004A5636">
        <w:rPr>
          <w:lang w:val="fr-FR"/>
        </w:rPr>
        <w:t>acceptation</w:t>
      </w:r>
      <w:r w:rsidR="0032251B">
        <w:rPr>
          <w:lang w:val="fr-FR"/>
        </w:rPr>
        <w:t> ;</w:t>
      </w:r>
    </w:p>
    <w:p w14:paraId="79647D27" w14:textId="77777777" w:rsidR="00023B98" w:rsidRPr="004A5636" w:rsidRDefault="00023B98" w:rsidP="0032251B">
      <w:pPr>
        <w:pStyle w:val="Bullet1G"/>
        <w:spacing w:after="240"/>
        <w:rPr>
          <w:lang w:val="fr-FR"/>
        </w:rPr>
      </w:pPr>
      <w:r w:rsidRPr="004A5636">
        <w:rPr>
          <w:lang w:val="fr-FR"/>
        </w:rPr>
        <w:t xml:space="preserve">Rejet </w:t>
      </w:r>
      <w:r w:rsidR="0038686A">
        <w:rPr>
          <w:lang w:val="fr-FR"/>
        </w:rPr>
        <w:t>−</w:t>
      </w:r>
      <w:r w:rsidRPr="004A5636">
        <w:rPr>
          <w:lang w:val="fr-FR"/>
        </w:rPr>
        <w:t xml:space="preserve"> la valeur mesurée est supérieure au seuil d</w:t>
      </w:r>
      <w:r>
        <w:rPr>
          <w:lang w:val="fr-FR"/>
        </w:rPr>
        <w:t>’</w:t>
      </w:r>
      <w:r w:rsidRPr="004A5636">
        <w:rPr>
          <w:lang w:val="fr-FR"/>
        </w:rPr>
        <w:t>acceptation</w:t>
      </w:r>
      <w:r w:rsidR="0032251B">
        <w:rPr>
          <w:lang w:val="fr-FR"/>
        </w:rPr>
        <w:t>.</w:t>
      </w:r>
    </w:p>
    <w:p w14:paraId="1F222B7E" w14:textId="77777777" w:rsidR="00023B98" w:rsidRPr="004A5636" w:rsidRDefault="00023B98" w:rsidP="0038686A">
      <w:pPr>
        <w:pStyle w:val="Heading1"/>
        <w:rPr>
          <w:lang w:val="fr-FR"/>
        </w:rPr>
      </w:pPr>
      <w:r w:rsidRPr="004A5636">
        <w:rPr>
          <w:lang w:val="fr-FR"/>
        </w:rPr>
        <w:t>Figure 2</w:t>
      </w:r>
    </w:p>
    <w:p w14:paraId="7CEB5105" w14:textId="77777777" w:rsidR="00023B98" w:rsidRPr="001815EA" w:rsidRDefault="00023B98" w:rsidP="0038686A">
      <w:pPr>
        <w:pStyle w:val="Heading1"/>
        <w:spacing w:after="120"/>
        <w:rPr>
          <w:b/>
          <w:bCs/>
          <w:lang w:val="fr-FR"/>
        </w:rPr>
      </w:pPr>
      <w:r w:rsidRPr="001815EA">
        <w:rPr>
          <w:b/>
          <w:bCs/>
          <w:lang w:val="fr-FR"/>
        </w:rPr>
        <w:t>ILAC-G8:09/2019</w:t>
      </w:r>
      <w:r w:rsidR="0038686A">
        <w:rPr>
          <w:b/>
          <w:bCs/>
          <w:lang w:val="fr-FR"/>
        </w:rPr>
        <w:t> </w:t>
      </w:r>
      <w:r w:rsidRPr="001815EA">
        <w:rPr>
          <w:b/>
          <w:bCs/>
          <w:lang w:val="fr-FR"/>
        </w:rPr>
        <w:t>: Représentation graphique d</w:t>
      </w:r>
      <w:r>
        <w:rPr>
          <w:b/>
          <w:bCs/>
          <w:lang w:val="fr-FR"/>
        </w:rPr>
        <w:t>’</w:t>
      </w:r>
      <w:r w:rsidRPr="001815EA">
        <w:rPr>
          <w:b/>
          <w:bCs/>
          <w:lang w:val="fr-FR"/>
        </w:rPr>
        <w:t xml:space="preserve">une déclaration binaire </w:t>
      </w:r>
      <w:r w:rsidR="0038686A">
        <w:rPr>
          <w:b/>
          <w:bCs/>
          <w:lang w:val="fr-FR"/>
        </w:rPr>
        <w:br/>
        <w:t>− </w:t>
      </w:r>
      <w:r w:rsidRPr="001815EA">
        <w:rPr>
          <w:b/>
          <w:bCs/>
          <w:lang w:val="fr-FR"/>
        </w:rPr>
        <w:t>Acceptation simple</w:t>
      </w:r>
    </w:p>
    <w:p w14:paraId="6A901B42" w14:textId="77777777" w:rsidR="00023B98" w:rsidRDefault="0038686A" w:rsidP="0038686A">
      <w:pPr>
        <w:spacing w:after="240"/>
        <w:ind w:left="1134"/>
        <w:rPr>
          <w:noProof/>
          <w:lang w:val="fr-FR"/>
        </w:rPr>
      </w:pPr>
      <w:r>
        <w:rPr>
          <w:noProof/>
          <w:lang w:val="fr-FR"/>
        </w:rPr>
        <w:drawing>
          <wp:inline distT="0" distB="0" distL="0" distR="0" wp14:anchorId="20130366" wp14:editId="14761A34">
            <wp:extent cx="4980940" cy="1981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0940" cy="1981200"/>
                    </a:xfrm>
                    <a:prstGeom prst="rect">
                      <a:avLst/>
                    </a:prstGeom>
                    <a:noFill/>
                  </pic:spPr>
                </pic:pic>
              </a:graphicData>
            </a:graphic>
          </wp:inline>
        </w:drawing>
      </w:r>
    </w:p>
    <w:p w14:paraId="3572A94A" w14:textId="77777777" w:rsidR="00023B98" w:rsidRPr="001815EA" w:rsidRDefault="00023B98" w:rsidP="0038686A">
      <w:pPr>
        <w:pStyle w:val="SingleTxtG"/>
        <w:rPr>
          <w:lang w:val="fr-FR"/>
        </w:rPr>
      </w:pPr>
      <w:r w:rsidRPr="001815EA">
        <w:rPr>
          <w:lang w:val="fr-FR"/>
        </w:rPr>
        <w:t>7.</w:t>
      </w:r>
      <w:r w:rsidRPr="001815EA">
        <w:rPr>
          <w:lang w:val="fr-FR"/>
        </w:rPr>
        <w:tab/>
        <w:t>Par conséquent, la règle du risque partagé peut être utilisée lors de l</w:t>
      </w:r>
      <w:r>
        <w:rPr>
          <w:lang w:val="fr-FR"/>
        </w:rPr>
        <w:t>’</w:t>
      </w:r>
      <w:r w:rsidRPr="001815EA">
        <w:rPr>
          <w:lang w:val="fr-FR"/>
        </w:rPr>
        <w:t>évaluation de la conformité de chaque résultat de mesure : coefficient K, puissance frigorifique utile, température, temps, surface, énergie électrique, vitesse de rotation, pression, etc.</w:t>
      </w:r>
    </w:p>
    <w:p w14:paraId="0AD54E75" w14:textId="77777777" w:rsidR="00023B98" w:rsidRPr="001815EA" w:rsidRDefault="00023B98" w:rsidP="0038686A">
      <w:pPr>
        <w:pStyle w:val="Heading1"/>
        <w:rPr>
          <w:lang w:val="fr-FR"/>
        </w:rPr>
      </w:pPr>
      <w:bookmarkStart w:id="0" w:name="_GoBack"/>
      <w:bookmarkEnd w:id="0"/>
      <w:r w:rsidRPr="001815EA">
        <w:rPr>
          <w:lang w:val="fr-FR"/>
        </w:rPr>
        <w:lastRenderedPageBreak/>
        <w:t>Figure 3</w:t>
      </w:r>
    </w:p>
    <w:p w14:paraId="342F986D" w14:textId="77777777" w:rsidR="00023B98" w:rsidRDefault="00023B98" w:rsidP="0038686A">
      <w:pPr>
        <w:pStyle w:val="Heading1"/>
        <w:spacing w:after="120"/>
        <w:rPr>
          <w:b/>
          <w:bCs/>
          <w:iCs/>
          <w:lang w:val="fr-FR"/>
        </w:rPr>
      </w:pPr>
      <w:r w:rsidRPr="004A5636">
        <w:rPr>
          <w:b/>
          <w:bCs/>
          <w:iCs/>
          <w:lang w:val="fr-FR"/>
        </w:rPr>
        <w:t>Introduction à l</w:t>
      </w:r>
      <w:r>
        <w:rPr>
          <w:b/>
          <w:bCs/>
          <w:iCs/>
          <w:lang w:val="fr-FR"/>
        </w:rPr>
        <w:t>’</w:t>
      </w:r>
      <w:r w:rsidRPr="004A5636">
        <w:rPr>
          <w:b/>
          <w:bCs/>
          <w:iCs/>
          <w:lang w:val="fr-FR"/>
        </w:rPr>
        <w:t>acceptation et au rejet</w:t>
      </w:r>
      <w:r w:rsidRPr="001815EA">
        <w:rPr>
          <w:b/>
          <w:bCs/>
          <w:i/>
          <w:lang w:val="fr-FR"/>
        </w:rPr>
        <w:t xml:space="preserve"> </w:t>
      </w:r>
      <w:r w:rsidRPr="004A5636">
        <w:rPr>
          <w:b/>
          <w:bCs/>
          <w:iCs/>
          <w:lang w:val="fr-FR"/>
        </w:rPr>
        <w:t>(JCGM 106:2012, fig. 8)</w:t>
      </w:r>
    </w:p>
    <w:p w14:paraId="20F750BC" w14:textId="77777777" w:rsidR="0038686A" w:rsidRPr="0038686A" w:rsidRDefault="0038686A" w:rsidP="0038686A">
      <w:pPr>
        <w:spacing w:after="120"/>
        <w:ind w:left="1134"/>
        <w:rPr>
          <w:i/>
          <w:lang w:val="en-GB"/>
        </w:rPr>
      </w:pPr>
      <w:r w:rsidRPr="0038686A">
        <w:rPr>
          <w:i/>
          <w:noProof/>
          <w:lang w:val="en-GB"/>
        </w:rPr>
        <w:drawing>
          <wp:inline distT="0" distB="0" distL="0" distR="0" wp14:anchorId="4A8E64F1" wp14:editId="53C347CB">
            <wp:extent cx="4467225" cy="2400935"/>
            <wp:effectExtent l="0" t="0" r="952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2400935"/>
                    </a:xfrm>
                    <a:prstGeom prst="rect">
                      <a:avLst/>
                    </a:prstGeom>
                    <a:noFill/>
                    <a:ln>
                      <a:noFill/>
                    </a:ln>
                  </pic:spPr>
                </pic:pic>
              </a:graphicData>
            </a:graphic>
          </wp:inline>
        </w:drawing>
      </w:r>
    </w:p>
    <w:p w14:paraId="4AE10C8B" w14:textId="77777777" w:rsidR="00023B98" w:rsidRPr="001815EA" w:rsidRDefault="00023B98" w:rsidP="0038686A">
      <w:pPr>
        <w:pStyle w:val="SingleTxtG"/>
        <w:rPr>
          <w:lang w:val="fr-FR"/>
        </w:rPr>
      </w:pPr>
      <w:r w:rsidRPr="001815EA">
        <w:rPr>
          <w:lang w:val="fr-FR"/>
        </w:rPr>
        <w:t>8.</w:t>
      </w:r>
      <w:r w:rsidRPr="001815EA">
        <w:rPr>
          <w:lang w:val="fr-FR"/>
        </w:rPr>
        <w:tab/>
        <w:t>Selon le document JCGM 106:2012, l</w:t>
      </w:r>
      <w:r>
        <w:rPr>
          <w:lang w:val="fr-FR"/>
        </w:rPr>
        <w:t>’</w:t>
      </w:r>
      <w:r w:rsidRPr="001815EA">
        <w:rPr>
          <w:lang w:val="fr-FR"/>
        </w:rPr>
        <w:t>ATP devrait énoncer une règle de décision sur les essais effectués par des mesures suivant la règle du risque partagé.</w:t>
      </w:r>
    </w:p>
    <w:p w14:paraId="36AB1EF1" w14:textId="77777777" w:rsidR="00023B98" w:rsidRPr="001815EA" w:rsidRDefault="00023B98" w:rsidP="0038686A">
      <w:pPr>
        <w:pStyle w:val="SingleTxtG"/>
        <w:rPr>
          <w:lang w:val="fr-FR"/>
        </w:rPr>
      </w:pPr>
      <w:bookmarkStart w:id="1" w:name="_Hlk5121006"/>
      <w:r w:rsidRPr="001815EA">
        <w:rPr>
          <w:lang w:val="fr-FR"/>
        </w:rPr>
        <w:t xml:space="preserve">Dans la section 8.2 du document </w:t>
      </w:r>
      <w:r w:rsidRPr="004A5636">
        <w:rPr>
          <w:lang w:val="fr-FR"/>
        </w:rPr>
        <w:t>JCGM 106:2012</w:t>
      </w:r>
      <w:bookmarkEnd w:id="1"/>
      <w:r>
        <w:rPr>
          <w:lang w:val="fr-FR"/>
        </w:rPr>
        <w:t>,</w:t>
      </w:r>
      <w:r w:rsidRPr="004A5636">
        <w:rPr>
          <w:lang w:val="fr-FR"/>
        </w:rPr>
        <w:t xml:space="preserve"> </w:t>
      </w:r>
      <w:r w:rsidRPr="001815EA">
        <w:rPr>
          <w:lang w:val="fr-FR"/>
        </w:rPr>
        <w:t>« </w:t>
      </w:r>
      <w:r w:rsidRPr="004A5636">
        <w:rPr>
          <w:lang w:val="fr-FR"/>
        </w:rPr>
        <w:t>Évaluation des données de mesure − Rôle de l</w:t>
      </w:r>
      <w:r>
        <w:rPr>
          <w:lang w:val="fr-FR"/>
        </w:rPr>
        <w:t>’</w:t>
      </w:r>
      <w:r w:rsidRPr="004A5636">
        <w:rPr>
          <w:lang w:val="fr-FR"/>
        </w:rPr>
        <w:t>incertitude de mesure dans l</w:t>
      </w:r>
      <w:r>
        <w:rPr>
          <w:lang w:val="fr-FR"/>
        </w:rPr>
        <w:t>’</w:t>
      </w:r>
      <w:r w:rsidRPr="004A5636">
        <w:rPr>
          <w:lang w:val="fr-FR"/>
        </w:rPr>
        <w:t>évaluation de la conformité </w:t>
      </w:r>
      <w:r w:rsidRPr="00AB00FC">
        <w:rPr>
          <w:rStyle w:val="FootnoteReference"/>
        </w:rPr>
        <w:footnoteReference w:id="2"/>
      </w:r>
      <w:r>
        <w:rPr>
          <w:lang w:val="fr-FR"/>
        </w:rPr>
        <w:t> »,</w:t>
      </w:r>
      <w:r w:rsidRPr="001815EA">
        <w:rPr>
          <w:lang w:val="fr-FR"/>
        </w:rPr>
        <w:t xml:space="preserve"> est introduite la </w:t>
      </w:r>
      <w:r w:rsidRPr="004A5636">
        <w:rPr>
          <w:lang w:val="fr-FR"/>
        </w:rPr>
        <w:t>règle du risque partagé</w:t>
      </w:r>
      <w:r w:rsidRPr="001815EA">
        <w:rPr>
          <w:lang w:val="fr-FR"/>
        </w:rPr>
        <w:t> :</w:t>
      </w:r>
    </w:p>
    <w:p w14:paraId="5DCED359" w14:textId="77777777" w:rsidR="00023B98" w:rsidRPr="0038686A" w:rsidRDefault="00023B98" w:rsidP="0038686A">
      <w:pPr>
        <w:pStyle w:val="SingleTxtG"/>
        <w:ind w:firstLine="567"/>
        <w:rPr>
          <w:b/>
          <w:bCs/>
          <w:i/>
          <w:iCs/>
          <w:lang w:val="fr-FR"/>
        </w:rPr>
      </w:pPr>
      <w:r w:rsidRPr="0038686A">
        <w:rPr>
          <w:b/>
          <w:bCs/>
          <w:i/>
          <w:iCs/>
          <w:lang w:val="fr-FR"/>
        </w:rPr>
        <w:t>8.2</w:t>
      </w:r>
      <w:r w:rsidRPr="0038686A">
        <w:rPr>
          <w:b/>
          <w:bCs/>
          <w:i/>
          <w:iCs/>
          <w:lang w:val="fr-FR"/>
        </w:rPr>
        <w:tab/>
        <w:t>Règle de décision basée sur une simple acceptation</w:t>
      </w:r>
    </w:p>
    <w:p w14:paraId="628EE854" w14:textId="77777777" w:rsidR="00023B98" w:rsidRPr="001815EA" w:rsidRDefault="00023B98" w:rsidP="0038686A">
      <w:pPr>
        <w:pStyle w:val="SingleTxtG"/>
        <w:ind w:left="1701"/>
        <w:rPr>
          <w:lang w:val="fr-FR"/>
        </w:rPr>
      </w:pPr>
      <w:r w:rsidRPr="001815EA">
        <w:rPr>
          <w:i/>
          <w:iCs/>
          <w:lang w:val="fr-FR"/>
        </w:rPr>
        <w:t>8.2.1</w:t>
      </w:r>
      <w:r w:rsidRPr="001815EA">
        <w:rPr>
          <w:i/>
          <w:iCs/>
          <w:lang w:val="fr-FR"/>
        </w:rPr>
        <w:tab/>
        <w:t>Une règle de décision importante et largement utilisée est connue sous le nom d</w:t>
      </w:r>
      <w:r>
        <w:rPr>
          <w:i/>
          <w:iCs/>
          <w:lang w:val="fr-FR"/>
        </w:rPr>
        <w:t>’</w:t>
      </w:r>
      <w:r w:rsidRPr="001815EA">
        <w:rPr>
          <w:i/>
          <w:iCs/>
          <w:lang w:val="fr-FR"/>
        </w:rPr>
        <w:t xml:space="preserve">acceptation simple ou </w:t>
      </w:r>
      <w:r w:rsidRPr="004A5636">
        <w:rPr>
          <w:i/>
          <w:iCs/>
          <w:lang w:val="fr-FR"/>
        </w:rPr>
        <w:t>risque partagé</w:t>
      </w:r>
      <w:r w:rsidRPr="001815EA">
        <w:rPr>
          <w:i/>
          <w:iCs/>
          <w:lang w:val="fr-FR"/>
        </w:rPr>
        <w:t>. En vertu d</w:t>
      </w:r>
      <w:r>
        <w:rPr>
          <w:i/>
          <w:iCs/>
          <w:lang w:val="fr-FR"/>
        </w:rPr>
        <w:t>’</w:t>
      </w:r>
      <w:r w:rsidRPr="001815EA">
        <w:rPr>
          <w:i/>
          <w:iCs/>
          <w:lang w:val="fr-FR"/>
        </w:rPr>
        <w:t>une telle règle, le producteur et l</w:t>
      </w:r>
      <w:r>
        <w:rPr>
          <w:i/>
          <w:iCs/>
          <w:lang w:val="fr-FR"/>
        </w:rPr>
        <w:t>’</w:t>
      </w:r>
      <w:r w:rsidRPr="001815EA">
        <w:rPr>
          <w:i/>
          <w:iCs/>
          <w:lang w:val="fr-FR"/>
        </w:rPr>
        <w:t>utilisateur (consommateur) du résultat de la mesure conviennent, implicitement ou explicitement, d</w:t>
      </w:r>
      <w:r>
        <w:rPr>
          <w:i/>
          <w:iCs/>
          <w:lang w:val="fr-FR"/>
        </w:rPr>
        <w:t>’</w:t>
      </w:r>
      <w:r w:rsidRPr="001815EA">
        <w:rPr>
          <w:i/>
          <w:iCs/>
          <w:lang w:val="fr-FR"/>
        </w:rPr>
        <w:t>accepter comme conforme (et sinon de rejeter) tout article dont la propriété a une valeur mesurée se situant dans l</w:t>
      </w:r>
      <w:r>
        <w:rPr>
          <w:i/>
          <w:iCs/>
          <w:lang w:val="fr-FR"/>
        </w:rPr>
        <w:t>’</w:t>
      </w:r>
      <w:r w:rsidRPr="001815EA">
        <w:rPr>
          <w:i/>
          <w:iCs/>
          <w:lang w:val="fr-FR"/>
        </w:rPr>
        <w:t>intervalle de tolérance. Comme l</w:t>
      </w:r>
      <w:r>
        <w:rPr>
          <w:i/>
          <w:iCs/>
          <w:lang w:val="fr-FR"/>
        </w:rPr>
        <w:t>’</w:t>
      </w:r>
      <w:r w:rsidRPr="001815EA">
        <w:rPr>
          <w:i/>
          <w:iCs/>
          <w:lang w:val="fr-FR"/>
        </w:rPr>
        <w:t>implique la deuxième dénomination de « risque partagé », cette règle de décision d</w:t>
      </w:r>
      <w:r>
        <w:rPr>
          <w:i/>
          <w:iCs/>
          <w:lang w:val="fr-FR"/>
        </w:rPr>
        <w:t>’</w:t>
      </w:r>
      <w:r w:rsidRPr="001815EA">
        <w:rPr>
          <w:i/>
          <w:iCs/>
          <w:lang w:val="fr-FR"/>
        </w:rPr>
        <w:t>acceptation simple fait partager au producteur et à l</w:t>
      </w:r>
      <w:r>
        <w:rPr>
          <w:i/>
          <w:iCs/>
          <w:lang w:val="fr-FR"/>
        </w:rPr>
        <w:t>’</w:t>
      </w:r>
      <w:r w:rsidRPr="001815EA">
        <w:rPr>
          <w:i/>
          <w:iCs/>
          <w:lang w:val="fr-FR"/>
        </w:rPr>
        <w:t>utilisateur les conséquences des décisions incorrectes</w:t>
      </w:r>
      <w:r w:rsidRPr="001815EA">
        <w:rPr>
          <w:lang w:val="fr-FR"/>
        </w:rPr>
        <w:t>.</w:t>
      </w:r>
    </w:p>
    <w:p w14:paraId="1F73C70B" w14:textId="77777777" w:rsidR="00023B98" w:rsidRPr="001815EA" w:rsidRDefault="00023B98" w:rsidP="0038686A">
      <w:pPr>
        <w:pStyle w:val="SingleTxtG"/>
        <w:ind w:left="1701"/>
        <w:rPr>
          <w:i/>
          <w:iCs/>
          <w:lang w:val="fr-FR"/>
        </w:rPr>
      </w:pPr>
      <w:r w:rsidRPr="001815EA">
        <w:rPr>
          <w:i/>
          <w:iCs/>
          <w:lang w:val="fr-FR"/>
        </w:rPr>
        <w:t>8.2.2</w:t>
      </w:r>
      <w:r w:rsidRPr="001815EA">
        <w:rPr>
          <w:i/>
          <w:iCs/>
          <w:lang w:val="fr-FR"/>
        </w:rPr>
        <w:tab/>
        <w:t>Dans la pratique, afin de maintenir les risques de décisions erronées à des niveaux acceptables à la fois pour le producteur et l</w:t>
      </w:r>
      <w:r>
        <w:rPr>
          <w:i/>
          <w:iCs/>
          <w:lang w:val="fr-FR"/>
        </w:rPr>
        <w:t>’</w:t>
      </w:r>
      <w:r w:rsidRPr="001815EA">
        <w:rPr>
          <w:i/>
          <w:iCs/>
          <w:lang w:val="fr-FR"/>
        </w:rPr>
        <w:t xml:space="preserve">utilisateur, il </w:t>
      </w:r>
      <w:r w:rsidRPr="004A5636">
        <w:rPr>
          <w:i/>
          <w:iCs/>
          <w:lang w:val="fr-FR"/>
        </w:rPr>
        <w:t>est généralement requis que l</w:t>
      </w:r>
      <w:r>
        <w:rPr>
          <w:i/>
          <w:iCs/>
          <w:lang w:val="fr-FR"/>
        </w:rPr>
        <w:t>’</w:t>
      </w:r>
      <w:r w:rsidRPr="004A5636">
        <w:rPr>
          <w:i/>
          <w:iCs/>
          <w:lang w:val="fr-FR"/>
        </w:rPr>
        <w:t>incertitude de mesure ait fait l</w:t>
      </w:r>
      <w:r>
        <w:rPr>
          <w:i/>
          <w:iCs/>
          <w:lang w:val="fr-FR"/>
        </w:rPr>
        <w:t>’</w:t>
      </w:r>
      <w:r w:rsidRPr="004A5636">
        <w:rPr>
          <w:i/>
          <w:iCs/>
          <w:lang w:val="fr-FR"/>
        </w:rPr>
        <w:t>objet d</w:t>
      </w:r>
      <w:r>
        <w:rPr>
          <w:i/>
          <w:iCs/>
          <w:lang w:val="fr-FR"/>
        </w:rPr>
        <w:t>’</w:t>
      </w:r>
      <w:r w:rsidRPr="004A5636">
        <w:rPr>
          <w:i/>
          <w:iCs/>
          <w:lang w:val="fr-FR"/>
        </w:rPr>
        <w:t>un examen et ait été jugée acceptable pour l</w:t>
      </w:r>
      <w:r>
        <w:rPr>
          <w:i/>
          <w:iCs/>
          <w:lang w:val="fr-FR"/>
        </w:rPr>
        <w:t>’</w:t>
      </w:r>
      <w:r w:rsidRPr="004A5636">
        <w:rPr>
          <w:i/>
          <w:iCs/>
          <w:lang w:val="fr-FR"/>
        </w:rPr>
        <w:t>usage prévu</w:t>
      </w:r>
      <w:r w:rsidRPr="001815EA">
        <w:rPr>
          <w:i/>
          <w:iCs/>
          <w:lang w:val="fr-FR"/>
        </w:rPr>
        <w:t>.</w:t>
      </w:r>
    </w:p>
    <w:p w14:paraId="37A7B362" w14:textId="77777777" w:rsidR="00023B98" w:rsidRPr="001815EA" w:rsidRDefault="00023B98" w:rsidP="0038686A">
      <w:pPr>
        <w:pStyle w:val="SingleTxtG"/>
        <w:ind w:left="1701"/>
        <w:rPr>
          <w:i/>
          <w:iCs/>
          <w:lang w:val="fr-FR"/>
        </w:rPr>
      </w:pPr>
      <w:r w:rsidRPr="001815EA">
        <w:rPr>
          <w:i/>
          <w:iCs/>
          <w:lang w:val="fr-FR"/>
        </w:rPr>
        <w:t>8.2.3</w:t>
      </w:r>
      <w:r w:rsidRPr="001815EA">
        <w:rPr>
          <w:i/>
          <w:iCs/>
          <w:lang w:val="fr-FR"/>
        </w:rPr>
        <w:tab/>
        <w:t>Une façon d</w:t>
      </w:r>
      <w:r>
        <w:rPr>
          <w:i/>
          <w:iCs/>
          <w:lang w:val="fr-FR"/>
        </w:rPr>
        <w:t>’</w:t>
      </w:r>
      <w:r w:rsidRPr="001815EA">
        <w:rPr>
          <w:i/>
          <w:iCs/>
          <w:lang w:val="fr-FR"/>
        </w:rPr>
        <w:t>aborder cet examen consiste à exiger, compte tenu d</w:t>
      </w:r>
      <w:r>
        <w:rPr>
          <w:i/>
          <w:iCs/>
          <w:lang w:val="fr-FR"/>
        </w:rPr>
        <w:t>’</w:t>
      </w:r>
      <w:r w:rsidRPr="001815EA">
        <w:rPr>
          <w:i/>
          <w:iCs/>
          <w:lang w:val="fr-FR"/>
        </w:rPr>
        <w:t>une estimation d</w:t>
      </w:r>
      <w:r>
        <w:rPr>
          <w:i/>
          <w:iCs/>
          <w:lang w:val="fr-FR"/>
        </w:rPr>
        <w:t>’</w:t>
      </w:r>
      <w:r w:rsidRPr="001815EA">
        <w:rPr>
          <w:i/>
          <w:iCs/>
          <w:lang w:val="fr-FR"/>
        </w:rPr>
        <w:t>une grandeur mesurée, que l</w:t>
      </w:r>
      <w:r>
        <w:rPr>
          <w:i/>
          <w:iCs/>
          <w:lang w:val="fr-FR"/>
        </w:rPr>
        <w:t>’</w:t>
      </w:r>
      <w:r w:rsidRPr="001815EA">
        <w:rPr>
          <w:i/>
          <w:iCs/>
          <w:lang w:val="fr-FR"/>
        </w:rPr>
        <w:t>incertitude élargie associée U, pour un facteur d</w:t>
      </w:r>
      <w:r>
        <w:rPr>
          <w:i/>
          <w:iCs/>
          <w:lang w:val="fr-FR"/>
        </w:rPr>
        <w:t>’</w:t>
      </w:r>
      <w:r w:rsidRPr="001815EA">
        <w:rPr>
          <w:i/>
          <w:iCs/>
          <w:lang w:val="fr-FR"/>
        </w:rPr>
        <w:t>élargissement k = 2 ; doit satisfaire</w:t>
      </w:r>
      <w:r w:rsidRPr="004A5636">
        <w:rPr>
          <w:lang w:val="fr-FR"/>
        </w:rPr>
        <w:t xml:space="preserve"> U &lt; U</w:t>
      </w:r>
      <w:r w:rsidRPr="004A5636">
        <w:rPr>
          <w:vertAlign w:val="subscript"/>
          <w:lang w:val="fr-FR"/>
        </w:rPr>
        <w:t>max</w:t>
      </w:r>
      <w:r w:rsidRPr="004A5636">
        <w:rPr>
          <w:lang w:val="fr-FR"/>
        </w:rPr>
        <w:t xml:space="preserve"> </w:t>
      </w:r>
      <w:r w:rsidRPr="004A5636">
        <w:rPr>
          <w:vertAlign w:val="subscript"/>
          <w:lang w:val="fr-FR"/>
        </w:rPr>
        <w:t>;</w:t>
      </w:r>
      <w:r w:rsidRPr="001815EA">
        <w:rPr>
          <w:lang w:val="fr-FR"/>
        </w:rPr>
        <w:t xml:space="preserve"> où U</w:t>
      </w:r>
      <w:r w:rsidRPr="001815EA">
        <w:rPr>
          <w:vertAlign w:val="subscript"/>
          <w:lang w:val="fr-FR"/>
        </w:rPr>
        <w:t>max</w:t>
      </w:r>
      <w:r w:rsidRPr="001815EA">
        <w:rPr>
          <w:lang w:val="fr-FR"/>
        </w:rPr>
        <w:t xml:space="preserve"> </w:t>
      </w:r>
      <w:bookmarkStart w:id="2" w:name="_Hlk5120827"/>
      <w:r w:rsidRPr="004A5636">
        <w:rPr>
          <w:lang w:val="fr-FR"/>
        </w:rPr>
        <w:t>est</w:t>
      </w:r>
      <w:bookmarkEnd w:id="2"/>
      <w:r w:rsidRPr="004A5636">
        <w:rPr>
          <w:lang w:val="fr-FR"/>
        </w:rPr>
        <w:t xml:space="preserve"> une incertitude élargie maximale acceptable mutuellement convenue.</w:t>
      </w:r>
      <w:r w:rsidRPr="001815EA">
        <w:rPr>
          <w:lang w:val="fr-FR"/>
        </w:rPr>
        <w:t xml:space="preserve"> </w:t>
      </w:r>
      <w:r w:rsidRPr="001815EA">
        <w:rPr>
          <w:i/>
          <w:iCs/>
          <w:lang w:val="fr-FR"/>
        </w:rPr>
        <w:t>Cette approche est illustrée par l</w:t>
      </w:r>
      <w:r>
        <w:rPr>
          <w:i/>
          <w:iCs/>
          <w:lang w:val="fr-FR"/>
        </w:rPr>
        <w:t>’</w:t>
      </w:r>
      <w:r w:rsidRPr="001815EA">
        <w:rPr>
          <w:i/>
          <w:iCs/>
          <w:lang w:val="fr-FR"/>
        </w:rPr>
        <w:t>exemple suivant.</w:t>
      </w:r>
    </w:p>
    <w:p w14:paraId="37998DE5" w14:textId="77777777" w:rsidR="00023B98" w:rsidRPr="001815EA" w:rsidRDefault="00023B98" w:rsidP="0038686A">
      <w:pPr>
        <w:pStyle w:val="SingleTxtG"/>
        <w:ind w:left="1701"/>
        <w:rPr>
          <w:i/>
          <w:iCs/>
          <w:lang w:val="fr-FR"/>
        </w:rPr>
      </w:pPr>
      <w:r w:rsidRPr="001815EA">
        <w:rPr>
          <w:i/>
          <w:iCs/>
          <w:lang w:val="fr-FR"/>
        </w:rPr>
        <w:t>EXEMPLE. En métrologie légale, une règle de décision basée sur l</w:t>
      </w:r>
      <w:r>
        <w:rPr>
          <w:i/>
          <w:iCs/>
          <w:lang w:val="fr-FR"/>
        </w:rPr>
        <w:t>’</w:t>
      </w:r>
      <w:r w:rsidRPr="001815EA">
        <w:rPr>
          <w:i/>
          <w:iCs/>
          <w:lang w:val="fr-FR"/>
        </w:rPr>
        <w:t>acceptation simple est utilisée pour la vérification des instruments de mesure. Considérons un instrument dont l</w:t>
      </w:r>
      <w:r>
        <w:rPr>
          <w:i/>
          <w:iCs/>
          <w:lang w:val="fr-FR"/>
        </w:rPr>
        <w:t>’</w:t>
      </w:r>
      <w:r w:rsidRPr="001815EA">
        <w:rPr>
          <w:i/>
          <w:iCs/>
          <w:lang w:val="fr-FR"/>
        </w:rPr>
        <w:t>erreur d</w:t>
      </w:r>
      <w:r>
        <w:rPr>
          <w:i/>
          <w:iCs/>
          <w:lang w:val="fr-FR"/>
        </w:rPr>
        <w:t>’</w:t>
      </w:r>
      <w:r w:rsidRPr="001815EA">
        <w:rPr>
          <w:i/>
          <w:iCs/>
          <w:lang w:val="fr-FR"/>
        </w:rPr>
        <w:t>indication doit se situer dans l</w:t>
      </w:r>
      <w:r>
        <w:rPr>
          <w:i/>
          <w:iCs/>
          <w:lang w:val="fr-FR"/>
        </w:rPr>
        <w:t>’</w:t>
      </w:r>
      <w:r w:rsidRPr="001815EA">
        <w:rPr>
          <w:i/>
          <w:iCs/>
          <w:lang w:val="fr-FR"/>
        </w:rPr>
        <w:t>intervalle [– E</w:t>
      </w:r>
      <w:r w:rsidRPr="001815EA">
        <w:rPr>
          <w:i/>
          <w:iCs/>
          <w:vertAlign w:val="subscript"/>
          <w:lang w:val="fr-FR"/>
        </w:rPr>
        <w:t>max</w:t>
      </w:r>
      <w:r w:rsidRPr="001815EA">
        <w:rPr>
          <w:i/>
          <w:iCs/>
          <w:lang w:val="fr-FR"/>
        </w:rPr>
        <w:t> ; E</w:t>
      </w:r>
      <w:r w:rsidRPr="001815EA">
        <w:rPr>
          <w:i/>
          <w:iCs/>
          <w:vertAlign w:val="subscript"/>
          <w:lang w:val="fr-FR"/>
        </w:rPr>
        <w:t>max</w:t>
      </w:r>
      <w:r w:rsidRPr="001815EA">
        <w:rPr>
          <w:i/>
          <w:iCs/>
          <w:lang w:val="fr-FR"/>
        </w:rPr>
        <w:t>]. L</w:t>
      </w:r>
      <w:r>
        <w:rPr>
          <w:i/>
          <w:iCs/>
          <w:lang w:val="fr-FR"/>
        </w:rPr>
        <w:t>’</w:t>
      </w:r>
      <w:r w:rsidRPr="001815EA">
        <w:rPr>
          <w:i/>
          <w:iCs/>
          <w:lang w:val="fr-FR"/>
        </w:rPr>
        <w:t>instrument est jugé conforme à cette exigence s</w:t>
      </w:r>
      <w:r>
        <w:rPr>
          <w:i/>
          <w:iCs/>
          <w:lang w:val="fr-FR"/>
        </w:rPr>
        <w:t>’</w:t>
      </w:r>
      <w:r w:rsidRPr="001815EA">
        <w:rPr>
          <w:i/>
          <w:iCs/>
          <w:lang w:val="fr-FR"/>
        </w:rPr>
        <w:t>il satisfait aux critères suivants :</w:t>
      </w:r>
    </w:p>
    <w:p w14:paraId="18E5551F" w14:textId="77777777" w:rsidR="0038686A" w:rsidRDefault="00023B98" w:rsidP="0038686A">
      <w:pPr>
        <w:pStyle w:val="SingleTxtG"/>
        <w:ind w:left="1701"/>
        <w:rPr>
          <w:i/>
          <w:lang w:val="fr-FR"/>
        </w:rPr>
      </w:pPr>
      <w:r w:rsidRPr="001815EA">
        <w:rPr>
          <w:i/>
          <w:iCs/>
          <w:lang w:val="fr-FR"/>
        </w:rPr>
        <w:t>a)</w:t>
      </w:r>
      <w:r w:rsidRPr="001815EA">
        <w:rPr>
          <w:i/>
          <w:iCs/>
          <w:lang w:val="fr-FR"/>
        </w:rPr>
        <w:tab/>
        <w:t>Pour la mesure d</w:t>
      </w:r>
      <w:r>
        <w:rPr>
          <w:i/>
          <w:iCs/>
          <w:lang w:val="fr-FR"/>
        </w:rPr>
        <w:t>’</w:t>
      </w:r>
      <w:r w:rsidRPr="001815EA">
        <w:rPr>
          <w:i/>
          <w:iCs/>
          <w:lang w:val="fr-FR"/>
        </w:rPr>
        <w:t>un étalon normalisé, la meilleure estimation e de l</w:t>
      </w:r>
      <w:r>
        <w:rPr>
          <w:i/>
          <w:iCs/>
          <w:lang w:val="fr-FR"/>
        </w:rPr>
        <w:t>’</w:t>
      </w:r>
      <w:r w:rsidRPr="001815EA">
        <w:rPr>
          <w:i/>
          <w:iCs/>
          <w:lang w:val="fr-FR"/>
        </w:rPr>
        <w:t>erreur d</w:t>
      </w:r>
      <w:r>
        <w:rPr>
          <w:i/>
          <w:iCs/>
          <w:lang w:val="fr-FR"/>
        </w:rPr>
        <w:t>’</w:t>
      </w:r>
      <w:r w:rsidRPr="001815EA">
        <w:rPr>
          <w:i/>
          <w:iCs/>
          <w:lang w:val="fr-FR"/>
        </w:rPr>
        <w:t>indication de l</w:t>
      </w:r>
      <w:r>
        <w:rPr>
          <w:i/>
          <w:iCs/>
          <w:lang w:val="fr-FR"/>
        </w:rPr>
        <w:t>’</w:t>
      </w:r>
      <w:r w:rsidRPr="001815EA">
        <w:rPr>
          <w:i/>
          <w:iCs/>
          <w:lang w:val="fr-FR"/>
        </w:rPr>
        <w:t xml:space="preserve">instrument E </w:t>
      </w:r>
      <w:r w:rsidRPr="001815EA">
        <w:rPr>
          <w:i/>
          <w:lang w:val="fr-FR"/>
        </w:rPr>
        <w:t>satisfait à la règle</w:t>
      </w:r>
      <w:r w:rsidR="0038686A">
        <w:rPr>
          <w:i/>
          <w:lang w:val="fr-FR"/>
        </w:rPr>
        <w:t> :</w:t>
      </w:r>
    </w:p>
    <w:p w14:paraId="30FF5251" w14:textId="77777777" w:rsidR="00023B98" w:rsidRPr="001815EA" w:rsidRDefault="00023B98" w:rsidP="0038686A">
      <w:pPr>
        <w:pStyle w:val="SingleTxtG"/>
        <w:ind w:left="1701"/>
        <w:rPr>
          <w:i/>
          <w:lang w:val="fr-FR"/>
        </w:rPr>
      </w:pPr>
      <w:r w:rsidRPr="001815EA">
        <w:rPr>
          <w:i/>
          <w:lang w:val="fr-FR"/>
        </w:rPr>
        <w:t>│e│ ≤ E</w:t>
      </w:r>
      <w:r w:rsidRPr="001815EA">
        <w:rPr>
          <w:i/>
          <w:vertAlign w:val="subscript"/>
          <w:lang w:val="fr-FR"/>
        </w:rPr>
        <w:t>max</w:t>
      </w:r>
      <w:r w:rsidRPr="001815EA">
        <w:rPr>
          <w:i/>
          <w:lang w:val="fr-FR"/>
        </w:rPr>
        <w:t xml:space="preserve"> </w:t>
      </w:r>
    </w:p>
    <w:p w14:paraId="4E05AEEA" w14:textId="77777777" w:rsidR="0038686A" w:rsidRDefault="00023B98" w:rsidP="0038686A">
      <w:pPr>
        <w:pStyle w:val="SingleTxtG"/>
        <w:ind w:left="1701"/>
        <w:rPr>
          <w:i/>
          <w:iCs/>
          <w:lang w:val="fr-FR"/>
        </w:rPr>
      </w:pPr>
      <w:r w:rsidRPr="001815EA">
        <w:rPr>
          <w:i/>
          <w:iCs/>
          <w:lang w:val="fr-FR"/>
        </w:rPr>
        <w:lastRenderedPageBreak/>
        <w:t>b)</w:t>
      </w:r>
      <w:r w:rsidRPr="001815EA">
        <w:rPr>
          <w:i/>
          <w:iCs/>
          <w:lang w:val="fr-FR"/>
        </w:rPr>
        <w:tab/>
        <w:t>L</w:t>
      </w:r>
      <w:r>
        <w:rPr>
          <w:i/>
          <w:iCs/>
          <w:lang w:val="fr-FR"/>
        </w:rPr>
        <w:t>’</w:t>
      </w:r>
      <w:r w:rsidRPr="001815EA">
        <w:rPr>
          <w:i/>
          <w:iCs/>
          <w:lang w:val="fr-FR"/>
        </w:rPr>
        <w:t>incertitude élargie pour un facteur d</w:t>
      </w:r>
      <w:r>
        <w:rPr>
          <w:i/>
          <w:iCs/>
          <w:lang w:val="fr-FR"/>
        </w:rPr>
        <w:t>’</w:t>
      </w:r>
      <w:r w:rsidRPr="001815EA">
        <w:rPr>
          <w:i/>
          <w:iCs/>
          <w:lang w:val="fr-FR"/>
        </w:rPr>
        <w:t>élargissement k = 2 associé à l</w:t>
      </w:r>
      <w:r>
        <w:rPr>
          <w:i/>
          <w:iCs/>
          <w:lang w:val="fr-FR"/>
        </w:rPr>
        <w:t>’</w:t>
      </w:r>
      <w:r w:rsidRPr="001815EA">
        <w:rPr>
          <w:i/>
          <w:iCs/>
          <w:lang w:val="fr-FR"/>
        </w:rPr>
        <w:t>estimation e satisfait</w:t>
      </w:r>
      <w:r w:rsidR="0038686A">
        <w:rPr>
          <w:i/>
          <w:iCs/>
          <w:lang w:val="fr-FR"/>
        </w:rPr>
        <w:t> :</w:t>
      </w:r>
    </w:p>
    <w:p w14:paraId="4B141768" w14:textId="77777777" w:rsidR="00023B98" w:rsidRPr="0038686A" w:rsidRDefault="00023B98" w:rsidP="0038686A">
      <w:pPr>
        <w:pStyle w:val="SingleTxtG"/>
        <w:ind w:left="1701"/>
        <w:rPr>
          <w:i/>
          <w:iCs/>
          <w:lang w:val="fr-FR"/>
        </w:rPr>
      </w:pPr>
      <w:r w:rsidRPr="0038686A">
        <w:rPr>
          <w:i/>
          <w:iCs/>
          <w:lang w:val="fr-FR"/>
        </w:rPr>
        <w:t>U ≤ Umax = Emax/3.</w:t>
      </w:r>
    </w:p>
    <w:p w14:paraId="5CD2C6CC" w14:textId="77777777" w:rsidR="00023B98" w:rsidRDefault="00023B98" w:rsidP="0038686A">
      <w:pPr>
        <w:pStyle w:val="SingleTxtG"/>
        <w:ind w:left="1701"/>
        <w:rPr>
          <w:i/>
          <w:iCs/>
          <w:lang w:val="fr-FR"/>
        </w:rPr>
      </w:pPr>
      <w:r w:rsidRPr="001815EA">
        <w:rPr>
          <w:i/>
          <w:iCs/>
          <w:lang w:val="fr-FR"/>
        </w:rPr>
        <w:t>En ce qui concerne l</w:t>
      </w:r>
      <w:r>
        <w:rPr>
          <w:i/>
          <w:iCs/>
          <w:lang w:val="fr-FR"/>
        </w:rPr>
        <w:t>’</w:t>
      </w:r>
      <w:r w:rsidRPr="001815EA">
        <w:rPr>
          <w:i/>
          <w:iCs/>
          <w:lang w:val="fr-FR"/>
        </w:rPr>
        <w:t>indice de capacité de mesure, le critère b) est équivalent à la prescription C</w:t>
      </w:r>
      <w:r w:rsidRPr="001815EA">
        <w:rPr>
          <w:i/>
          <w:iCs/>
          <w:vertAlign w:val="subscript"/>
          <w:lang w:val="fr-FR"/>
        </w:rPr>
        <w:t>m</w:t>
      </w:r>
      <w:r w:rsidRPr="001815EA">
        <w:rPr>
          <w:i/>
          <w:iCs/>
          <w:lang w:val="fr-FR"/>
        </w:rPr>
        <w:t> ≥ 3.</w:t>
      </w:r>
    </w:p>
    <w:p w14:paraId="1D216E08" w14:textId="77777777" w:rsidR="00023B98" w:rsidRPr="001815EA" w:rsidRDefault="00023B98" w:rsidP="0038686A">
      <w:pPr>
        <w:pStyle w:val="SingleTxtG"/>
        <w:rPr>
          <w:lang w:val="fr-FR"/>
        </w:rPr>
      </w:pPr>
      <w:r w:rsidRPr="001815EA">
        <w:rPr>
          <w:lang w:val="fr-FR"/>
        </w:rPr>
        <w:t>9.</w:t>
      </w:r>
      <w:r w:rsidRPr="001815EA">
        <w:rPr>
          <w:lang w:val="fr-FR"/>
        </w:rPr>
        <w:tab/>
        <w:t>La même règle est recommandée dans les documents</w:t>
      </w:r>
      <w:r w:rsidRPr="001815EA">
        <w:rPr>
          <w:b/>
          <w:bCs/>
          <w:lang w:val="fr-FR"/>
        </w:rPr>
        <w:t xml:space="preserve"> </w:t>
      </w:r>
      <w:r w:rsidRPr="004A5636">
        <w:rPr>
          <w:lang w:val="fr-FR"/>
        </w:rPr>
        <w:t>WELMEC 4.2-1</w:t>
      </w:r>
      <w:r>
        <w:rPr>
          <w:lang w:val="fr-FR"/>
        </w:rPr>
        <w:t>/</w:t>
      </w:r>
      <w:r w:rsidRPr="004A5636">
        <w:rPr>
          <w:lang w:val="fr-FR"/>
        </w:rPr>
        <w:t>2006</w:t>
      </w:r>
      <w:r w:rsidRPr="001815EA">
        <w:rPr>
          <w:lang w:val="fr-FR"/>
        </w:rPr>
        <w:t xml:space="preserve"> et </w:t>
      </w:r>
      <w:r w:rsidRPr="004A5636">
        <w:rPr>
          <w:lang w:val="fr-FR"/>
        </w:rPr>
        <w:t>OIML G 19/2017</w:t>
      </w:r>
      <w:r w:rsidRPr="001815EA">
        <w:rPr>
          <w:b/>
          <w:bCs/>
          <w:lang w:val="fr-FR"/>
        </w:rPr>
        <w:t>.</w:t>
      </w:r>
    </w:p>
    <w:p w14:paraId="2686EE4B" w14:textId="77777777" w:rsidR="00023B98" w:rsidRPr="001815EA" w:rsidRDefault="00023B98" w:rsidP="0038686A">
      <w:pPr>
        <w:pStyle w:val="SingleTxtG"/>
        <w:rPr>
          <w:lang w:val="fr-FR"/>
        </w:rPr>
      </w:pPr>
      <w:r w:rsidRPr="001815EA">
        <w:rPr>
          <w:lang w:val="fr-FR"/>
        </w:rPr>
        <w:t>WELMEC 4.2-1/2006, section 6 : Incertitude de mesure et prise de décisions :</w:t>
      </w:r>
    </w:p>
    <w:p w14:paraId="21706E5E" w14:textId="77777777" w:rsidR="00023B98" w:rsidRPr="001815EA" w:rsidRDefault="00023B98" w:rsidP="00613D32">
      <w:pPr>
        <w:pStyle w:val="SingleTxtG"/>
        <w:ind w:left="1701"/>
        <w:rPr>
          <w:b/>
          <w:i/>
          <w:lang w:val="fr-FR"/>
        </w:rPr>
      </w:pPr>
      <w:r w:rsidRPr="001815EA">
        <w:rPr>
          <w:b/>
          <w:i/>
          <w:lang w:val="fr-FR"/>
        </w:rPr>
        <w:t>Prescriptions générales concernant l</w:t>
      </w:r>
      <w:r>
        <w:rPr>
          <w:b/>
          <w:i/>
          <w:lang w:val="fr-FR"/>
        </w:rPr>
        <w:t>’</w:t>
      </w:r>
      <w:r w:rsidRPr="001815EA">
        <w:rPr>
          <w:b/>
          <w:i/>
          <w:lang w:val="fr-FR"/>
        </w:rPr>
        <w:t>incertitude de mesure</w:t>
      </w:r>
    </w:p>
    <w:p w14:paraId="7146CBAF" w14:textId="77777777" w:rsidR="00023B98" w:rsidRPr="001815EA" w:rsidRDefault="00023B98" w:rsidP="00613D32">
      <w:pPr>
        <w:pStyle w:val="SingleTxtG"/>
        <w:ind w:left="1701"/>
        <w:rPr>
          <w:i/>
          <w:iCs/>
          <w:lang w:val="fr-FR"/>
        </w:rPr>
      </w:pPr>
      <w:r w:rsidRPr="001815EA">
        <w:rPr>
          <w:i/>
          <w:iCs/>
          <w:lang w:val="fr-FR"/>
        </w:rPr>
        <w:t>Pour prendre une décision d</w:t>
      </w:r>
      <w:r>
        <w:rPr>
          <w:i/>
          <w:iCs/>
          <w:lang w:val="fr-FR"/>
        </w:rPr>
        <w:t>’</w:t>
      </w:r>
      <w:r w:rsidRPr="001815EA">
        <w:rPr>
          <w:i/>
          <w:iCs/>
          <w:lang w:val="fr-FR"/>
        </w:rPr>
        <w:t>évaluation de la conformité fondée sur des essais quantitatifs effectués à l</w:t>
      </w:r>
      <w:r>
        <w:rPr>
          <w:i/>
          <w:iCs/>
          <w:lang w:val="fr-FR"/>
        </w:rPr>
        <w:t>’</w:t>
      </w:r>
      <w:r w:rsidRPr="001815EA">
        <w:rPr>
          <w:i/>
          <w:iCs/>
          <w:lang w:val="fr-FR"/>
        </w:rPr>
        <w:t>aide d</w:t>
      </w:r>
      <w:r>
        <w:rPr>
          <w:i/>
          <w:iCs/>
          <w:lang w:val="fr-FR"/>
        </w:rPr>
        <w:t>’</w:t>
      </w:r>
      <w:r w:rsidRPr="001815EA">
        <w:rPr>
          <w:i/>
          <w:iCs/>
          <w:lang w:val="fr-FR"/>
        </w:rPr>
        <w:t>un instrument de mesure, l</w:t>
      </w:r>
      <w:r>
        <w:rPr>
          <w:i/>
          <w:iCs/>
          <w:lang w:val="fr-FR"/>
        </w:rPr>
        <w:t>’</w:t>
      </w:r>
      <w:r w:rsidRPr="001815EA">
        <w:rPr>
          <w:i/>
          <w:iCs/>
          <w:lang w:val="fr-FR"/>
        </w:rPr>
        <w:t>indication fournie par cet instrument doit être accompagnée de son incertitude de mesure, généralement son incertitude dite « élargie » U. L</w:t>
      </w:r>
      <w:r>
        <w:rPr>
          <w:i/>
          <w:iCs/>
          <w:lang w:val="fr-FR"/>
        </w:rPr>
        <w:t>’</w:t>
      </w:r>
      <w:r w:rsidRPr="001815EA">
        <w:rPr>
          <w:i/>
          <w:iCs/>
          <w:lang w:val="fr-FR"/>
        </w:rPr>
        <w:t>intervalle d</w:t>
      </w:r>
      <w:r>
        <w:rPr>
          <w:i/>
          <w:iCs/>
          <w:lang w:val="fr-FR"/>
        </w:rPr>
        <w:t>’</w:t>
      </w:r>
      <w:r w:rsidRPr="001815EA">
        <w:rPr>
          <w:i/>
          <w:iCs/>
          <w:lang w:val="fr-FR"/>
        </w:rPr>
        <w:t>incertitude de mesure est souvent y ± U.</w:t>
      </w:r>
    </w:p>
    <w:p w14:paraId="4400F9FA" w14:textId="77777777" w:rsidR="00023B98" w:rsidRPr="001815EA" w:rsidRDefault="00023B98" w:rsidP="00613D32">
      <w:pPr>
        <w:pStyle w:val="SingleTxtG"/>
        <w:ind w:left="1701"/>
        <w:rPr>
          <w:b/>
          <w:bCs/>
          <w:i/>
          <w:iCs/>
          <w:lang w:val="fr-FR"/>
        </w:rPr>
      </w:pPr>
      <w:r w:rsidRPr="001815EA">
        <w:rPr>
          <w:b/>
          <w:bCs/>
          <w:i/>
          <w:iCs/>
          <w:lang w:val="fr-FR"/>
        </w:rPr>
        <w:t>Prise de décisions avec incertitude de mesure</w:t>
      </w:r>
    </w:p>
    <w:p w14:paraId="7482B9F8" w14:textId="77777777" w:rsidR="00023B98" w:rsidRPr="001815EA" w:rsidRDefault="00023B98" w:rsidP="00613D32">
      <w:pPr>
        <w:pStyle w:val="SingleTxtG"/>
        <w:ind w:left="1701"/>
        <w:rPr>
          <w:i/>
          <w:iCs/>
          <w:lang w:val="fr-FR"/>
        </w:rPr>
      </w:pPr>
      <w:r w:rsidRPr="001815EA">
        <w:rPr>
          <w:i/>
          <w:iCs/>
          <w:lang w:val="fr-FR"/>
        </w:rPr>
        <w:t>Les deux principales étapes du traitement de l</w:t>
      </w:r>
      <w:r>
        <w:rPr>
          <w:i/>
          <w:iCs/>
          <w:lang w:val="fr-FR"/>
        </w:rPr>
        <w:t>’</w:t>
      </w:r>
      <w:r w:rsidRPr="001815EA">
        <w:rPr>
          <w:i/>
          <w:iCs/>
          <w:lang w:val="fr-FR"/>
        </w:rPr>
        <w:t>incertitude dans la prise de décisions sont les suivantes :</w:t>
      </w:r>
    </w:p>
    <w:p w14:paraId="56254A3D" w14:textId="77777777" w:rsidR="00023B98" w:rsidRPr="001815EA" w:rsidRDefault="00023B98" w:rsidP="00613D32">
      <w:pPr>
        <w:pStyle w:val="SingleTxtG"/>
        <w:ind w:left="1701"/>
        <w:rPr>
          <w:i/>
          <w:iCs/>
          <w:lang w:val="fr-FR"/>
        </w:rPr>
      </w:pPr>
      <w:r w:rsidRPr="001815EA">
        <w:rPr>
          <w:i/>
          <w:iCs/>
          <w:lang w:val="fr-FR"/>
        </w:rPr>
        <w:t>i)</w:t>
      </w:r>
      <w:r w:rsidRPr="001815EA">
        <w:rPr>
          <w:i/>
          <w:iCs/>
          <w:lang w:val="fr-FR"/>
        </w:rPr>
        <w:tab/>
        <w:t>La fixation d</w:t>
      </w:r>
      <w:r>
        <w:rPr>
          <w:i/>
          <w:iCs/>
          <w:lang w:val="fr-FR"/>
        </w:rPr>
        <w:t>’</w:t>
      </w:r>
      <w:r w:rsidRPr="001815EA">
        <w:rPr>
          <w:i/>
          <w:iCs/>
          <w:lang w:val="fr-FR"/>
        </w:rPr>
        <w:t>une limite d</w:t>
      </w:r>
      <w:r>
        <w:rPr>
          <w:i/>
          <w:iCs/>
          <w:lang w:val="fr-FR"/>
        </w:rPr>
        <w:t>’</w:t>
      </w:r>
      <w:r w:rsidRPr="001815EA">
        <w:rPr>
          <w:i/>
          <w:iCs/>
          <w:lang w:val="fr-FR"/>
        </w:rPr>
        <w:t>incertitude de mesure maximale tolérée ;</w:t>
      </w:r>
    </w:p>
    <w:p w14:paraId="6F9DFCC5" w14:textId="77777777" w:rsidR="00023B98" w:rsidRPr="001815EA" w:rsidRDefault="00023B98" w:rsidP="00613D32">
      <w:pPr>
        <w:pStyle w:val="SingleTxtG"/>
        <w:ind w:left="1701"/>
        <w:rPr>
          <w:i/>
          <w:iCs/>
          <w:lang w:val="fr-FR"/>
        </w:rPr>
      </w:pPr>
      <w:r w:rsidRPr="001815EA">
        <w:rPr>
          <w:i/>
          <w:iCs/>
          <w:lang w:val="fr-FR"/>
        </w:rPr>
        <w:t>ii)</w:t>
      </w:r>
      <w:r w:rsidRPr="001815EA">
        <w:rPr>
          <w:i/>
          <w:iCs/>
          <w:lang w:val="fr-FR"/>
        </w:rPr>
        <w:tab/>
        <w:t>La prise en compte des risques dus à l</w:t>
      </w:r>
      <w:r>
        <w:rPr>
          <w:i/>
          <w:iCs/>
          <w:lang w:val="fr-FR"/>
        </w:rPr>
        <w:t>’</w:t>
      </w:r>
      <w:r w:rsidRPr="001815EA">
        <w:rPr>
          <w:i/>
          <w:iCs/>
          <w:lang w:val="fr-FR"/>
        </w:rPr>
        <w:t>incertitude au moyen du « partage des risques ».</w:t>
      </w:r>
    </w:p>
    <w:p w14:paraId="1AF70003" w14:textId="77777777" w:rsidR="00023B98" w:rsidRPr="001815EA" w:rsidRDefault="00023B98" w:rsidP="00613D32">
      <w:pPr>
        <w:pStyle w:val="SingleTxtG"/>
        <w:ind w:left="1701"/>
        <w:rPr>
          <w:b/>
          <w:bCs/>
          <w:i/>
          <w:iCs/>
          <w:lang w:val="fr-FR"/>
        </w:rPr>
      </w:pPr>
      <w:r w:rsidRPr="001815EA">
        <w:rPr>
          <w:b/>
          <w:bCs/>
          <w:i/>
          <w:iCs/>
          <w:lang w:val="fr-FR"/>
        </w:rPr>
        <w:t>Prise en compte de l</w:t>
      </w:r>
      <w:r>
        <w:rPr>
          <w:b/>
          <w:bCs/>
          <w:i/>
          <w:iCs/>
          <w:lang w:val="fr-FR"/>
        </w:rPr>
        <w:t>’</w:t>
      </w:r>
      <w:r w:rsidRPr="001815EA">
        <w:rPr>
          <w:b/>
          <w:bCs/>
          <w:i/>
          <w:iCs/>
          <w:lang w:val="fr-FR"/>
        </w:rPr>
        <w:t>incertitude dans la prise de décisions</w:t>
      </w:r>
    </w:p>
    <w:p w14:paraId="10C8430B" w14:textId="77777777" w:rsidR="00023B98" w:rsidRPr="001815EA" w:rsidRDefault="00023B98" w:rsidP="00613D32">
      <w:pPr>
        <w:pStyle w:val="SingleTxtG"/>
        <w:ind w:left="1701"/>
        <w:rPr>
          <w:i/>
          <w:iCs/>
          <w:lang w:val="fr-FR"/>
        </w:rPr>
      </w:pPr>
      <w:r w:rsidRPr="001815EA">
        <w:rPr>
          <w:i/>
          <w:iCs/>
          <w:lang w:val="fr-FR"/>
        </w:rPr>
        <w:t>Les deux principales étapes du traitement de l</w:t>
      </w:r>
      <w:r>
        <w:rPr>
          <w:i/>
          <w:iCs/>
          <w:lang w:val="fr-FR"/>
        </w:rPr>
        <w:t>’</w:t>
      </w:r>
      <w:r w:rsidRPr="001815EA">
        <w:rPr>
          <w:i/>
          <w:iCs/>
          <w:lang w:val="fr-FR"/>
        </w:rPr>
        <w:t>incertitude dans la prise de décisions définies ci-dessus peuvent être appliquées à l</w:t>
      </w:r>
      <w:r>
        <w:rPr>
          <w:i/>
          <w:iCs/>
          <w:lang w:val="fr-FR"/>
        </w:rPr>
        <w:t>’</w:t>
      </w:r>
      <w:r w:rsidRPr="001815EA">
        <w:rPr>
          <w:i/>
          <w:iCs/>
          <w:lang w:val="fr-FR"/>
        </w:rPr>
        <w:t xml:space="preserve">évaluation de la conformité des </w:t>
      </w:r>
      <w:r w:rsidRPr="004A5636">
        <w:rPr>
          <w:i/>
          <w:iCs/>
          <w:lang w:val="fr-FR"/>
        </w:rPr>
        <w:t>nouveaux instruments et des instruments en service.</w:t>
      </w:r>
    </w:p>
    <w:p w14:paraId="6DC0A934" w14:textId="77777777" w:rsidR="00023B98" w:rsidRPr="001815EA" w:rsidRDefault="00023B98" w:rsidP="00613D32">
      <w:pPr>
        <w:pStyle w:val="SingleTxtG"/>
        <w:rPr>
          <w:lang w:val="fr-FR"/>
        </w:rPr>
      </w:pPr>
      <w:bookmarkStart w:id="3" w:name="_Hlk5189708"/>
      <w:r w:rsidRPr="001815EA">
        <w:rPr>
          <w:lang w:val="fr-FR"/>
        </w:rPr>
        <w:t>OIML G 19/2017 − paragraphes 5.3.3 et 5.3.4</w:t>
      </w:r>
      <w:bookmarkEnd w:id="3"/>
      <w:r w:rsidRPr="001815EA">
        <w:rPr>
          <w:lang w:val="fr-FR"/>
        </w:rPr>
        <w:t> :</w:t>
      </w:r>
    </w:p>
    <w:p w14:paraId="1328102D" w14:textId="77777777" w:rsidR="00023B98" w:rsidRPr="001815EA" w:rsidRDefault="00023B98" w:rsidP="00613D32">
      <w:pPr>
        <w:pStyle w:val="SingleTxtG"/>
        <w:ind w:left="1701"/>
        <w:rPr>
          <w:b/>
          <w:bCs/>
          <w:i/>
          <w:iCs/>
          <w:lang w:val="fr-FR"/>
        </w:rPr>
      </w:pPr>
      <w:r w:rsidRPr="001815EA">
        <w:rPr>
          <w:b/>
          <w:bCs/>
          <w:i/>
          <w:iCs/>
          <w:lang w:val="fr-FR"/>
        </w:rPr>
        <w:t>5.3.3</w:t>
      </w:r>
      <w:r w:rsidRPr="001815EA">
        <w:rPr>
          <w:b/>
          <w:bCs/>
          <w:i/>
          <w:iCs/>
          <w:lang w:val="fr-FR"/>
        </w:rPr>
        <w:tab/>
        <w:t>Risque partagé</w:t>
      </w:r>
    </w:p>
    <w:p w14:paraId="03015190" w14:textId="77777777" w:rsidR="00023B98" w:rsidRPr="001815EA" w:rsidRDefault="00023B98" w:rsidP="00613D32">
      <w:pPr>
        <w:pStyle w:val="SingleTxtG"/>
        <w:ind w:left="1701"/>
        <w:rPr>
          <w:i/>
          <w:lang w:val="fr-FR"/>
        </w:rPr>
      </w:pPr>
      <w:r w:rsidRPr="004A5636">
        <w:rPr>
          <w:i/>
          <w:lang w:val="fr-FR"/>
        </w:rPr>
        <w:t>Le risque partagé</w:t>
      </w:r>
      <w:r w:rsidRPr="001815EA">
        <w:rPr>
          <w:i/>
          <w:lang w:val="fr-FR"/>
        </w:rPr>
        <w:t>, en revanche, est un accord entre les parties concernées par le résultat de l</w:t>
      </w:r>
      <w:r>
        <w:rPr>
          <w:i/>
          <w:lang w:val="fr-FR"/>
        </w:rPr>
        <w:t>’</w:t>
      </w:r>
      <w:r w:rsidRPr="001815EA">
        <w:rPr>
          <w:i/>
          <w:lang w:val="fr-FR"/>
        </w:rPr>
        <w:t>essai selon lequel ni l</w:t>
      </w:r>
      <w:r>
        <w:rPr>
          <w:i/>
          <w:lang w:val="fr-FR"/>
        </w:rPr>
        <w:t>’</w:t>
      </w:r>
      <w:r w:rsidRPr="001815EA">
        <w:rPr>
          <w:i/>
          <w:lang w:val="fr-FR"/>
        </w:rPr>
        <w:t>une ni l</w:t>
      </w:r>
      <w:r>
        <w:rPr>
          <w:i/>
          <w:lang w:val="fr-FR"/>
        </w:rPr>
        <w:t>’</w:t>
      </w:r>
      <w:r w:rsidRPr="001815EA">
        <w:rPr>
          <w:i/>
          <w:lang w:val="fr-FR"/>
        </w:rPr>
        <w:t>autre ne sera avantagée quant à la prise en compte de l</w:t>
      </w:r>
      <w:r>
        <w:rPr>
          <w:i/>
          <w:lang w:val="fr-FR"/>
        </w:rPr>
        <w:t>’</w:t>
      </w:r>
      <w:r w:rsidRPr="001815EA">
        <w:rPr>
          <w:i/>
          <w:lang w:val="fr-FR"/>
        </w:rPr>
        <w:t>incertitude de mesure. Un tel accord implique que l</w:t>
      </w:r>
      <w:r>
        <w:rPr>
          <w:i/>
          <w:lang w:val="fr-FR"/>
        </w:rPr>
        <w:t>’</w:t>
      </w:r>
      <w:r w:rsidRPr="001815EA">
        <w:rPr>
          <w:i/>
          <w:lang w:val="fr-FR"/>
        </w:rPr>
        <w:t xml:space="preserve">incertitude de mesure élargie </w:t>
      </w:r>
      <w:r w:rsidRPr="004A5636">
        <w:rPr>
          <w:i/>
          <w:lang w:val="fr-FR"/>
        </w:rPr>
        <w:t>U</w:t>
      </w:r>
      <w:r w:rsidRPr="004A5636">
        <w:rPr>
          <w:i/>
          <w:vertAlign w:val="subscript"/>
          <w:lang w:val="fr-FR"/>
        </w:rPr>
        <w:t>EI</w:t>
      </w:r>
      <w:r w:rsidRPr="004A5636">
        <w:rPr>
          <w:i/>
          <w:lang w:val="fr-FR"/>
        </w:rPr>
        <w:t xml:space="preserve"> soit faible par</w:t>
      </w:r>
      <w:r w:rsidRPr="001815EA">
        <w:rPr>
          <w:i/>
          <w:u w:val="single"/>
          <w:lang w:val="fr-FR"/>
        </w:rPr>
        <w:t xml:space="preserve"> </w:t>
      </w:r>
      <w:r w:rsidRPr="001815EA">
        <w:rPr>
          <w:i/>
          <w:lang w:val="fr-FR"/>
        </w:rPr>
        <w:t>rapport à l</w:t>
      </w:r>
      <w:r>
        <w:rPr>
          <w:i/>
          <w:lang w:val="fr-FR"/>
        </w:rPr>
        <w:t>’</w:t>
      </w:r>
      <w:r w:rsidRPr="001815EA">
        <w:rPr>
          <w:i/>
          <w:lang w:val="fr-FR"/>
        </w:rPr>
        <w:t>erreur maximale tolérée (EMT) (c</w:t>
      </w:r>
      <w:r>
        <w:rPr>
          <w:i/>
          <w:lang w:val="fr-FR"/>
        </w:rPr>
        <w:t>’</w:t>
      </w:r>
      <w:r w:rsidRPr="001815EA">
        <w:rPr>
          <w:i/>
          <w:lang w:val="fr-FR"/>
        </w:rPr>
        <w:t>est</w:t>
      </w:r>
      <w:r w:rsidR="0032251B">
        <w:rPr>
          <w:i/>
          <w:lang w:val="fr-FR"/>
        </w:rPr>
        <w:noBreakHyphen/>
      </w:r>
      <w:r w:rsidRPr="001815EA">
        <w:rPr>
          <w:i/>
          <w:lang w:val="fr-FR"/>
        </w:rPr>
        <w:t>à</w:t>
      </w:r>
      <w:r w:rsidR="0032251B">
        <w:rPr>
          <w:i/>
          <w:lang w:val="fr-FR"/>
        </w:rPr>
        <w:noBreakHyphen/>
      </w:r>
      <w:r w:rsidRPr="001815EA">
        <w:rPr>
          <w:i/>
          <w:lang w:val="fr-FR"/>
        </w:rPr>
        <w:t>dire que le rapport U</w:t>
      </w:r>
      <w:r w:rsidRPr="001815EA">
        <w:rPr>
          <w:i/>
          <w:vertAlign w:val="subscript"/>
          <w:lang w:val="fr-FR"/>
        </w:rPr>
        <w:t>EI</w:t>
      </w:r>
      <w:r w:rsidRPr="001815EA">
        <w:rPr>
          <w:i/>
          <w:lang w:val="fr-FR"/>
        </w:rPr>
        <w:t>/EMT est faible), de sorte qu</w:t>
      </w:r>
      <w:r>
        <w:rPr>
          <w:i/>
          <w:lang w:val="fr-FR"/>
        </w:rPr>
        <w:t>’</w:t>
      </w:r>
      <w:r w:rsidRPr="001815EA">
        <w:rPr>
          <w:i/>
          <w:lang w:val="fr-FR"/>
        </w:rPr>
        <w:t>un risque important de décision erronée n</w:t>
      </w:r>
      <w:r>
        <w:rPr>
          <w:i/>
          <w:lang w:val="fr-FR"/>
        </w:rPr>
        <w:t>’</w:t>
      </w:r>
      <w:r w:rsidRPr="001815EA">
        <w:rPr>
          <w:i/>
          <w:lang w:val="fr-FR"/>
        </w:rPr>
        <w:t>existe pour les valeurs de</w:t>
      </w:r>
      <w:r w:rsidRPr="001815EA">
        <w:rPr>
          <w:i/>
          <w:vertAlign w:val="subscript"/>
          <w:lang w:val="fr-FR"/>
        </w:rPr>
        <w:t xml:space="preserve"> </w:t>
      </w:r>
      <w:r w:rsidRPr="001815EA">
        <w:rPr>
          <w:i/>
          <w:lang w:val="fr-FR"/>
        </w:rPr>
        <w:t>Ē</w:t>
      </w:r>
      <w:r w:rsidRPr="001815EA">
        <w:rPr>
          <w:i/>
          <w:vertAlign w:val="subscript"/>
          <w:lang w:val="fr-FR"/>
        </w:rPr>
        <w:t>I</w:t>
      </w:r>
      <w:r w:rsidRPr="001815EA">
        <w:rPr>
          <w:i/>
          <w:lang w:val="fr-FR"/>
        </w:rPr>
        <w:t xml:space="preserve"> très proches des limites de l</w:t>
      </w:r>
      <w:r>
        <w:rPr>
          <w:i/>
          <w:lang w:val="fr-FR"/>
        </w:rPr>
        <w:t>’</w:t>
      </w:r>
      <w:r w:rsidRPr="001815EA">
        <w:rPr>
          <w:i/>
          <w:lang w:val="fr-FR"/>
        </w:rPr>
        <w:t>erreur maximale tolérée. Ceci est illustré à la figure 4 pour deux fonctions de densité de probabilités différentes possibles pour une mesure donnée. L</w:t>
      </w:r>
      <w:r>
        <w:rPr>
          <w:i/>
          <w:lang w:val="fr-FR"/>
        </w:rPr>
        <w:t>’</w:t>
      </w:r>
      <w:r w:rsidRPr="001815EA">
        <w:rPr>
          <w:i/>
          <w:lang w:val="fr-FR"/>
        </w:rPr>
        <w:t>incertitude U</w:t>
      </w:r>
      <w:r w:rsidRPr="001815EA">
        <w:rPr>
          <w:i/>
          <w:vertAlign w:val="subscript"/>
          <w:lang w:val="fr-FR"/>
        </w:rPr>
        <w:t>EI</w:t>
      </w:r>
      <w:r w:rsidRPr="001815EA">
        <w:rPr>
          <w:i/>
          <w:lang w:val="fr-FR"/>
        </w:rPr>
        <w:t xml:space="preserve"> associée à la courbe de Gauss de gauche </w:t>
      </w:r>
      <w:r w:rsidRPr="004A5636">
        <w:rPr>
          <w:i/>
          <w:lang w:val="fr-FR"/>
        </w:rPr>
        <w:t>(trait rouge)</w:t>
      </w:r>
      <w:r w:rsidRPr="001815EA">
        <w:rPr>
          <w:i/>
          <w:lang w:val="fr-FR"/>
        </w:rPr>
        <w:t xml:space="preserve"> est probablement trop grande pour un accord de partage du risque, alors que l</w:t>
      </w:r>
      <w:r>
        <w:rPr>
          <w:i/>
          <w:lang w:val="fr-FR"/>
        </w:rPr>
        <w:t>’</w:t>
      </w:r>
      <w:r w:rsidRPr="001815EA">
        <w:rPr>
          <w:i/>
          <w:lang w:val="fr-FR"/>
        </w:rPr>
        <w:t>incertitude U</w:t>
      </w:r>
      <w:r w:rsidRPr="001815EA">
        <w:rPr>
          <w:i/>
          <w:vertAlign w:val="subscript"/>
          <w:lang w:val="fr-FR"/>
        </w:rPr>
        <w:t>EI</w:t>
      </w:r>
      <w:r w:rsidRPr="001815EA">
        <w:rPr>
          <w:i/>
          <w:lang w:val="fr-FR"/>
        </w:rPr>
        <w:t xml:space="preserve"> associée à la courbe de Gauss de droite </w:t>
      </w:r>
      <w:r w:rsidRPr="004A5636">
        <w:rPr>
          <w:i/>
          <w:lang w:val="fr-FR"/>
        </w:rPr>
        <w:t>(trait vert)</w:t>
      </w:r>
      <w:r w:rsidRPr="001815EA">
        <w:rPr>
          <w:i/>
          <w:lang w:val="fr-FR"/>
        </w:rPr>
        <w:t xml:space="preserve"> serait sans doute acceptable dans la plupart des cas.</w:t>
      </w:r>
    </w:p>
    <w:p w14:paraId="64A2B22A" w14:textId="77777777" w:rsidR="00023B98" w:rsidRPr="004A5636" w:rsidRDefault="00023B98" w:rsidP="00613D32">
      <w:pPr>
        <w:pStyle w:val="Heading1"/>
        <w:rPr>
          <w:lang w:val="fr-FR"/>
        </w:rPr>
      </w:pPr>
      <w:r w:rsidRPr="004A5636">
        <w:rPr>
          <w:lang w:val="fr-FR"/>
        </w:rPr>
        <w:lastRenderedPageBreak/>
        <w:t>Figure 4</w:t>
      </w:r>
    </w:p>
    <w:p w14:paraId="5099DF95" w14:textId="77777777" w:rsidR="00023B98" w:rsidRPr="004A5636" w:rsidRDefault="00023B98" w:rsidP="00613D32">
      <w:pPr>
        <w:pStyle w:val="Heading1"/>
        <w:spacing w:after="120"/>
        <w:rPr>
          <w:b/>
          <w:bCs/>
          <w:lang w:val="fr-FR"/>
        </w:rPr>
      </w:pPr>
      <w:r w:rsidRPr="004A5636">
        <w:rPr>
          <w:b/>
          <w:bCs/>
          <w:lang w:val="fr-FR"/>
        </w:rPr>
        <w:t>OIML G 19:2017, fig. 4</w:t>
      </w:r>
    </w:p>
    <w:p w14:paraId="3A233E4E" w14:textId="77777777" w:rsidR="00023B98" w:rsidRDefault="00613D32" w:rsidP="00613D32">
      <w:pPr>
        <w:spacing w:after="240"/>
        <w:ind w:left="1134"/>
        <w:rPr>
          <w:noProof/>
          <w:lang w:val="fr-FR"/>
        </w:rPr>
      </w:pPr>
      <w:r>
        <w:rPr>
          <w:noProof/>
          <w:lang w:val="fr-FR"/>
        </w:rPr>
        <w:drawing>
          <wp:inline distT="0" distB="0" distL="0" distR="0" wp14:anchorId="1A5DBF4E" wp14:editId="1980D893">
            <wp:extent cx="3761740" cy="298704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1740" cy="2987040"/>
                    </a:xfrm>
                    <a:prstGeom prst="rect">
                      <a:avLst/>
                    </a:prstGeom>
                    <a:noFill/>
                  </pic:spPr>
                </pic:pic>
              </a:graphicData>
            </a:graphic>
          </wp:inline>
        </w:drawing>
      </w:r>
    </w:p>
    <w:p w14:paraId="751A14BE" w14:textId="77777777" w:rsidR="00023B98" w:rsidRDefault="00023B98" w:rsidP="00613D32">
      <w:pPr>
        <w:pStyle w:val="SingleTxtG"/>
        <w:ind w:left="1701"/>
        <w:rPr>
          <w:i/>
          <w:iCs/>
          <w:lang w:val="fr-FR"/>
        </w:rPr>
      </w:pPr>
      <w:r w:rsidRPr="001815EA">
        <w:rPr>
          <w:lang w:val="fr-FR"/>
        </w:rPr>
        <w:t>…</w:t>
      </w:r>
    </w:p>
    <w:p w14:paraId="049AB822" w14:textId="77777777" w:rsidR="00023B98" w:rsidRPr="001815EA" w:rsidRDefault="00023B98" w:rsidP="00613D32">
      <w:pPr>
        <w:pStyle w:val="SingleTxtG"/>
        <w:ind w:left="1701"/>
        <w:rPr>
          <w:i/>
          <w:iCs/>
          <w:lang w:val="fr-FR"/>
        </w:rPr>
      </w:pPr>
      <w:r w:rsidRPr="001815EA">
        <w:rPr>
          <w:i/>
          <w:iCs/>
          <w:lang w:val="fr-FR"/>
        </w:rPr>
        <w:t>Il est à noter qu</w:t>
      </w:r>
      <w:r>
        <w:rPr>
          <w:i/>
          <w:iCs/>
          <w:lang w:val="fr-FR"/>
        </w:rPr>
        <w:t>’</w:t>
      </w:r>
      <w:r w:rsidRPr="001815EA">
        <w:rPr>
          <w:i/>
          <w:iCs/>
          <w:lang w:val="fr-FR"/>
        </w:rPr>
        <w:t xml:space="preserve">avec la méthode du risque partagé, </w:t>
      </w:r>
      <w:r w:rsidRPr="004A5636">
        <w:rPr>
          <w:i/>
          <w:iCs/>
          <w:lang w:val="fr-FR"/>
        </w:rPr>
        <w:t>il est toujours nécessaire de calculer l</w:t>
      </w:r>
      <w:r>
        <w:rPr>
          <w:i/>
          <w:iCs/>
          <w:lang w:val="fr-FR"/>
        </w:rPr>
        <w:t>’</w:t>
      </w:r>
      <w:r w:rsidRPr="004A5636">
        <w:rPr>
          <w:i/>
          <w:iCs/>
          <w:lang w:val="fr-FR"/>
        </w:rPr>
        <w:t>incertitude de mesure U</w:t>
      </w:r>
      <w:r w:rsidRPr="004A5636">
        <w:rPr>
          <w:i/>
          <w:iCs/>
          <w:vertAlign w:val="subscript"/>
          <w:lang w:val="fr-FR"/>
        </w:rPr>
        <w:t>EI</w:t>
      </w:r>
      <w:r w:rsidRPr="004A5636">
        <w:rPr>
          <w:i/>
          <w:iCs/>
          <w:lang w:val="fr-FR"/>
        </w:rPr>
        <w:t xml:space="preserve"> afin que le rapport (U</w:t>
      </w:r>
      <w:r w:rsidRPr="0032251B">
        <w:rPr>
          <w:i/>
          <w:iCs/>
          <w:vertAlign w:val="subscript"/>
          <w:lang w:val="fr-FR"/>
        </w:rPr>
        <w:t>EI</w:t>
      </w:r>
      <w:r w:rsidRPr="004A5636">
        <w:rPr>
          <w:i/>
          <w:iCs/>
          <w:lang w:val="fr-FR"/>
        </w:rPr>
        <w:t>/EMT) puisse être examiné</w:t>
      </w:r>
      <w:r w:rsidRPr="001815EA">
        <w:rPr>
          <w:i/>
          <w:iCs/>
          <w:lang w:val="fr-FR"/>
        </w:rPr>
        <w:t xml:space="preserve"> afin de vérifier s</w:t>
      </w:r>
      <w:r>
        <w:rPr>
          <w:i/>
          <w:iCs/>
          <w:lang w:val="fr-FR"/>
        </w:rPr>
        <w:t>’</w:t>
      </w:r>
      <w:r w:rsidRPr="001815EA">
        <w:rPr>
          <w:i/>
          <w:iCs/>
          <w:lang w:val="fr-FR"/>
        </w:rPr>
        <w:t>il est suffisamment faible, comme indiqué au paragraphe</w:t>
      </w:r>
      <w:r w:rsidR="00C233A9">
        <w:rPr>
          <w:i/>
          <w:iCs/>
          <w:lang w:val="fr-FR"/>
        </w:rPr>
        <w:t> </w:t>
      </w:r>
      <w:r w:rsidRPr="001815EA">
        <w:rPr>
          <w:i/>
          <w:iCs/>
          <w:lang w:val="fr-FR"/>
        </w:rPr>
        <w:t>5.3.4. Il convient également de noter que, si les erreurs maximales tolérées doivent être corrigées pour une raison quelconque (par exemple pour tenir compte des conditions de service) à l</w:t>
      </w:r>
      <w:r>
        <w:rPr>
          <w:i/>
          <w:iCs/>
          <w:lang w:val="fr-FR"/>
        </w:rPr>
        <w:t>’</w:t>
      </w:r>
      <w:r w:rsidRPr="001815EA">
        <w:rPr>
          <w:i/>
          <w:iCs/>
          <w:lang w:val="fr-FR"/>
        </w:rPr>
        <w:t>aide de la méthode de la bande de garde (voir le paragraphe 5.3.6), la méthode du risque partagé peut toujours être utilisée avec les erreurs maximales tolérées nouvelles ou flanquées d</w:t>
      </w:r>
      <w:r>
        <w:rPr>
          <w:i/>
          <w:iCs/>
          <w:lang w:val="fr-FR"/>
        </w:rPr>
        <w:t>’</w:t>
      </w:r>
      <w:r w:rsidRPr="001815EA">
        <w:rPr>
          <w:i/>
          <w:iCs/>
          <w:lang w:val="fr-FR"/>
        </w:rPr>
        <w:t>une bande de garde.</w:t>
      </w:r>
    </w:p>
    <w:p w14:paraId="3E96B49D" w14:textId="77777777" w:rsidR="00023B98" w:rsidRPr="001815EA" w:rsidRDefault="00023B98" w:rsidP="00613D32">
      <w:pPr>
        <w:pStyle w:val="SingleTxtG"/>
        <w:ind w:left="1701"/>
        <w:rPr>
          <w:b/>
          <w:bCs/>
          <w:i/>
          <w:iCs/>
          <w:lang w:val="fr-FR"/>
        </w:rPr>
      </w:pPr>
      <w:r w:rsidRPr="001815EA">
        <w:rPr>
          <w:b/>
          <w:bCs/>
          <w:i/>
          <w:iCs/>
          <w:lang w:val="fr-FR"/>
        </w:rPr>
        <w:t>5.3.4</w:t>
      </w:r>
      <w:r w:rsidRPr="001815EA">
        <w:rPr>
          <w:b/>
          <w:bCs/>
          <w:i/>
          <w:iCs/>
          <w:lang w:val="fr-FR"/>
        </w:rPr>
        <w:tab/>
        <w:t>Incertitude maximale tolérée d</w:t>
      </w:r>
      <w:r>
        <w:rPr>
          <w:b/>
          <w:bCs/>
          <w:i/>
          <w:iCs/>
          <w:lang w:val="fr-FR"/>
        </w:rPr>
        <w:t>’</w:t>
      </w:r>
      <w:r w:rsidRPr="001815EA">
        <w:rPr>
          <w:b/>
          <w:bCs/>
          <w:i/>
          <w:iCs/>
          <w:lang w:val="fr-FR"/>
        </w:rPr>
        <w:t>erreur d</w:t>
      </w:r>
      <w:r>
        <w:rPr>
          <w:b/>
          <w:bCs/>
          <w:i/>
          <w:iCs/>
          <w:lang w:val="fr-FR"/>
        </w:rPr>
        <w:t>’</w:t>
      </w:r>
      <w:r w:rsidRPr="001815EA">
        <w:rPr>
          <w:b/>
          <w:bCs/>
          <w:i/>
          <w:iCs/>
          <w:lang w:val="fr-FR"/>
        </w:rPr>
        <w:t>indication</w:t>
      </w:r>
    </w:p>
    <w:p w14:paraId="369BB0B8" w14:textId="77777777" w:rsidR="00023B98" w:rsidRPr="001815EA" w:rsidRDefault="00023B98" w:rsidP="00613D32">
      <w:pPr>
        <w:pStyle w:val="SingleTxtG"/>
        <w:ind w:left="1701"/>
        <w:rPr>
          <w:i/>
          <w:iCs/>
          <w:lang w:val="fr-FR"/>
        </w:rPr>
      </w:pPr>
      <w:r w:rsidRPr="001815EA">
        <w:rPr>
          <w:i/>
          <w:iCs/>
          <w:lang w:val="fr-FR"/>
        </w:rPr>
        <w:t>Il devient courant de se référer à la valeur maximale que le rapport (U</w:t>
      </w:r>
      <w:r w:rsidRPr="001815EA">
        <w:rPr>
          <w:i/>
          <w:iCs/>
          <w:vertAlign w:val="subscript"/>
          <w:lang w:val="fr-FR"/>
        </w:rPr>
        <w:t>EI</w:t>
      </w:r>
      <w:r w:rsidRPr="001815EA">
        <w:rPr>
          <w:i/>
          <w:iCs/>
          <w:lang w:val="fr-FR"/>
        </w:rPr>
        <w:t>/EMT) peut avoir en termes d</w:t>
      </w:r>
      <w:r>
        <w:rPr>
          <w:i/>
          <w:iCs/>
          <w:lang w:val="fr-FR"/>
        </w:rPr>
        <w:t>’</w:t>
      </w:r>
      <w:r w:rsidRPr="001815EA">
        <w:rPr>
          <w:i/>
          <w:iCs/>
          <w:lang w:val="fr-FR"/>
        </w:rPr>
        <w:t>« incertitude maximale tolérée » (IMT</w:t>
      </w:r>
      <w:r w:rsidRPr="001815EA">
        <w:rPr>
          <w:i/>
          <w:iCs/>
          <w:vertAlign w:val="subscript"/>
          <w:lang w:val="fr-FR"/>
        </w:rPr>
        <w:t>EI</w:t>
      </w:r>
      <w:r w:rsidRPr="001815EA">
        <w:rPr>
          <w:i/>
          <w:iCs/>
          <w:lang w:val="fr-FR"/>
        </w:rPr>
        <w:t>) de l</w:t>
      </w:r>
      <w:r>
        <w:rPr>
          <w:i/>
          <w:iCs/>
          <w:lang w:val="fr-FR"/>
        </w:rPr>
        <w:t>’</w:t>
      </w:r>
      <w:r w:rsidRPr="001815EA">
        <w:rPr>
          <w:i/>
          <w:iCs/>
          <w:lang w:val="fr-FR"/>
        </w:rPr>
        <w:t>erreur d</w:t>
      </w:r>
      <w:r>
        <w:rPr>
          <w:i/>
          <w:iCs/>
          <w:lang w:val="fr-FR"/>
        </w:rPr>
        <w:t>’</w:t>
      </w:r>
      <w:r w:rsidRPr="001815EA">
        <w:rPr>
          <w:i/>
          <w:iCs/>
          <w:lang w:val="fr-FR"/>
        </w:rPr>
        <w:t>indication, définie par :</w:t>
      </w:r>
    </w:p>
    <w:p w14:paraId="0DD759D7" w14:textId="77777777" w:rsidR="00023B98" w:rsidRPr="001815EA" w:rsidRDefault="00023B98" w:rsidP="00613D32">
      <w:pPr>
        <w:pStyle w:val="SingleTxtG"/>
        <w:ind w:left="1701"/>
        <w:rPr>
          <w:lang w:val="fr-FR"/>
        </w:rPr>
      </w:pPr>
      <w:r w:rsidRPr="001815EA">
        <w:rPr>
          <w:i/>
          <w:iCs/>
          <w:lang w:val="fr-FR"/>
        </w:rPr>
        <w:t>IMT</w:t>
      </w:r>
      <w:r w:rsidRPr="001815EA">
        <w:rPr>
          <w:i/>
          <w:iCs/>
          <w:vertAlign w:val="subscript"/>
          <w:lang w:val="fr-FR"/>
        </w:rPr>
        <w:t>EI</w:t>
      </w:r>
      <w:r w:rsidRPr="001815EA">
        <w:rPr>
          <w:i/>
          <w:iCs/>
          <w:lang w:val="fr-FR"/>
        </w:rPr>
        <w:t xml:space="preserve"> ≡ f</w:t>
      </w:r>
      <w:r w:rsidRPr="001815EA">
        <w:rPr>
          <w:i/>
          <w:iCs/>
          <w:vertAlign w:val="subscript"/>
          <w:lang w:val="fr-FR"/>
        </w:rPr>
        <w:t>EI</w:t>
      </w:r>
      <w:r w:rsidRPr="001815EA">
        <w:rPr>
          <w:i/>
          <w:iCs/>
          <w:lang w:val="fr-FR"/>
        </w:rPr>
        <w:t xml:space="preserve">∙∙EMT </w:t>
      </w:r>
    </w:p>
    <w:p w14:paraId="199E3C2A" w14:textId="77777777" w:rsidR="00023B98" w:rsidRPr="001815EA" w:rsidRDefault="00023B98" w:rsidP="00613D32">
      <w:pPr>
        <w:pStyle w:val="SingleTxtG"/>
        <w:ind w:left="1701"/>
        <w:rPr>
          <w:lang w:val="fr-FR"/>
        </w:rPr>
      </w:pPr>
      <w:r w:rsidRPr="001815EA">
        <w:rPr>
          <w:i/>
          <w:iCs/>
          <w:lang w:val="fr-FR"/>
        </w:rPr>
        <w:t>où f</w:t>
      </w:r>
      <w:r w:rsidRPr="001815EA">
        <w:rPr>
          <w:i/>
          <w:iCs/>
          <w:vertAlign w:val="subscript"/>
          <w:lang w:val="fr-FR"/>
        </w:rPr>
        <w:t>EI</w:t>
      </w:r>
      <w:r w:rsidRPr="001815EA">
        <w:rPr>
          <w:i/>
          <w:iCs/>
          <w:lang w:val="fr-FR"/>
        </w:rPr>
        <w:t xml:space="preserve"> est un nombre spécifié inférieur à un, généralement de l</w:t>
      </w:r>
      <w:r>
        <w:rPr>
          <w:i/>
          <w:iCs/>
          <w:lang w:val="fr-FR"/>
        </w:rPr>
        <w:t>’</w:t>
      </w:r>
      <w:r w:rsidRPr="001815EA">
        <w:rPr>
          <w:i/>
          <w:iCs/>
          <w:lang w:val="fr-FR"/>
        </w:rPr>
        <w:t>ordre de 1/3 à 1/5 (0,33 à 0,2)</w:t>
      </w:r>
      <w:r w:rsidRPr="001815EA">
        <w:rPr>
          <w:lang w:val="fr-FR"/>
        </w:rPr>
        <w:t>.</w:t>
      </w:r>
    </w:p>
    <w:p w14:paraId="6676CD6E" w14:textId="77777777" w:rsidR="00023B98" w:rsidRPr="001815EA" w:rsidRDefault="00023B98" w:rsidP="00613D32">
      <w:pPr>
        <w:pStyle w:val="SingleTxtG"/>
        <w:ind w:left="1701"/>
        <w:rPr>
          <w:lang w:val="fr-FR"/>
        </w:rPr>
      </w:pPr>
      <w:r w:rsidRPr="001815EA">
        <w:rPr>
          <w:lang w:val="fr-FR"/>
        </w:rPr>
        <w:t>…</w:t>
      </w:r>
    </w:p>
    <w:p w14:paraId="76B3DB4F" w14:textId="77777777" w:rsidR="00023B98" w:rsidRPr="001815EA" w:rsidRDefault="00023B98" w:rsidP="00613D32">
      <w:pPr>
        <w:pStyle w:val="SingleTxtG"/>
        <w:ind w:left="1701"/>
        <w:rPr>
          <w:i/>
          <w:lang w:val="fr-FR"/>
        </w:rPr>
      </w:pPr>
      <w:r w:rsidRPr="001815EA">
        <w:rPr>
          <w:i/>
          <w:lang w:val="fr-FR"/>
        </w:rPr>
        <w:t>Notez que 1/f</w:t>
      </w:r>
      <w:r w:rsidRPr="001815EA">
        <w:rPr>
          <w:i/>
          <w:vertAlign w:val="subscript"/>
          <w:lang w:val="fr-FR"/>
        </w:rPr>
        <w:t>EI</w:t>
      </w:r>
      <w:r w:rsidRPr="001815EA">
        <w:rPr>
          <w:i/>
          <w:lang w:val="fr-FR"/>
        </w:rPr>
        <w:t xml:space="preserve"> est parfois appelé le rapport d</w:t>
      </w:r>
      <w:r>
        <w:rPr>
          <w:i/>
          <w:lang w:val="fr-FR"/>
        </w:rPr>
        <w:t>’</w:t>
      </w:r>
      <w:r w:rsidRPr="001815EA">
        <w:rPr>
          <w:i/>
          <w:lang w:val="fr-FR"/>
        </w:rPr>
        <w:t>incertitude d</w:t>
      </w:r>
      <w:r>
        <w:rPr>
          <w:i/>
          <w:lang w:val="fr-FR"/>
        </w:rPr>
        <w:t>’</w:t>
      </w:r>
      <w:r w:rsidRPr="001815EA">
        <w:rPr>
          <w:i/>
          <w:lang w:val="fr-FR"/>
        </w:rPr>
        <w:t>essai (TUR). …</w:t>
      </w:r>
    </w:p>
    <w:p w14:paraId="6CF16A8B" w14:textId="77777777" w:rsidR="00023B98" w:rsidRPr="001815EA" w:rsidRDefault="00023B98" w:rsidP="00613D32">
      <w:pPr>
        <w:pStyle w:val="HChG"/>
        <w:rPr>
          <w:lang w:val="fr-FR"/>
        </w:rPr>
      </w:pPr>
      <w:r w:rsidRPr="001815EA">
        <w:rPr>
          <w:lang w:val="fr-FR"/>
        </w:rPr>
        <w:tab/>
      </w:r>
      <w:r w:rsidRPr="001815EA">
        <w:rPr>
          <w:lang w:val="fr-FR"/>
        </w:rPr>
        <w:tab/>
        <w:t>Incidence technique de la mesure proposée</w:t>
      </w:r>
    </w:p>
    <w:p w14:paraId="049158A7" w14:textId="77777777" w:rsidR="00023B98" w:rsidRPr="001815EA" w:rsidRDefault="00023B98" w:rsidP="00613D32">
      <w:pPr>
        <w:pStyle w:val="SingleTxtG"/>
        <w:rPr>
          <w:lang w:val="fr-FR"/>
        </w:rPr>
      </w:pPr>
      <w:r w:rsidRPr="001815EA">
        <w:rPr>
          <w:lang w:val="fr-FR"/>
        </w:rPr>
        <w:t>10.</w:t>
      </w:r>
      <w:r w:rsidRPr="001815EA">
        <w:rPr>
          <w:lang w:val="fr-FR"/>
        </w:rPr>
        <w:tab/>
        <w:t>Harmonisation des décisions d</w:t>
      </w:r>
      <w:r>
        <w:rPr>
          <w:lang w:val="fr-FR"/>
        </w:rPr>
        <w:t>’</w:t>
      </w:r>
      <w:r w:rsidRPr="001815EA">
        <w:rPr>
          <w:lang w:val="fr-FR"/>
        </w:rPr>
        <w:t>évaluation de la conformité pour toutes les stations d</w:t>
      </w:r>
      <w:r>
        <w:rPr>
          <w:lang w:val="fr-FR"/>
        </w:rPr>
        <w:t>’</w:t>
      </w:r>
      <w:r w:rsidRPr="001815EA">
        <w:rPr>
          <w:lang w:val="fr-FR"/>
        </w:rPr>
        <w:t>essai de l</w:t>
      </w:r>
      <w:r>
        <w:rPr>
          <w:lang w:val="fr-FR"/>
        </w:rPr>
        <w:t>’</w:t>
      </w:r>
      <w:r w:rsidRPr="001815EA">
        <w:rPr>
          <w:lang w:val="fr-FR"/>
        </w:rPr>
        <w:t>ATP.</w:t>
      </w:r>
    </w:p>
    <w:p w14:paraId="57029F69" w14:textId="77777777" w:rsidR="00023B98" w:rsidRPr="001815EA" w:rsidRDefault="00023B98" w:rsidP="00613D32">
      <w:pPr>
        <w:pStyle w:val="HChG"/>
        <w:rPr>
          <w:lang w:val="fr-FR"/>
        </w:rPr>
      </w:pPr>
      <w:r w:rsidRPr="001815EA">
        <w:rPr>
          <w:lang w:val="fr-FR"/>
        </w:rPr>
        <w:tab/>
      </w:r>
      <w:r w:rsidRPr="001815EA">
        <w:rPr>
          <w:lang w:val="fr-FR"/>
        </w:rPr>
        <w:tab/>
        <w:t>Incidence économique de la mesure proposée</w:t>
      </w:r>
    </w:p>
    <w:p w14:paraId="1AAA6773" w14:textId="77777777" w:rsidR="00023B98" w:rsidRPr="001815EA" w:rsidRDefault="00023B98" w:rsidP="00613D32">
      <w:pPr>
        <w:pStyle w:val="SingleTxtG"/>
        <w:rPr>
          <w:lang w:val="fr-FR"/>
        </w:rPr>
      </w:pPr>
      <w:r w:rsidRPr="001815EA">
        <w:rPr>
          <w:lang w:val="fr-FR"/>
        </w:rPr>
        <w:t>11.</w:t>
      </w:r>
      <w:r w:rsidRPr="001815EA">
        <w:rPr>
          <w:lang w:val="fr-FR"/>
        </w:rPr>
        <w:tab/>
        <w:t>Sans objet.</w:t>
      </w:r>
    </w:p>
    <w:p w14:paraId="164F5443" w14:textId="77777777" w:rsidR="00023B98" w:rsidRPr="001815EA" w:rsidRDefault="00023B98" w:rsidP="00613D32">
      <w:pPr>
        <w:pStyle w:val="HChG"/>
        <w:rPr>
          <w:lang w:val="fr-FR"/>
        </w:rPr>
      </w:pPr>
      <w:r w:rsidRPr="001815EA">
        <w:rPr>
          <w:lang w:val="fr-FR"/>
        </w:rPr>
        <w:lastRenderedPageBreak/>
        <w:tab/>
      </w:r>
      <w:r w:rsidRPr="001815EA">
        <w:rPr>
          <w:lang w:val="fr-FR"/>
        </w:rPr>
        <w:tab/>
        <w:t>Impact environnemental de la mesure proposée</w:t>
      </w:r>
    </w:p>
    <w:p w14:paraId="7C604BA1" w14:textId="77777777" w:rsidR="00023B98" w:rsidRPr="001815EA" w:rsidRDefault="00023B98" w:rsidP="00613D32">
      <w:pPr>
        <w:pStyle w:val="SingleTxtG"/>
        <w:rPr>
          <w:lang w:val="fr-FR"/>
        </w:rPr>
      </w:pPr>
      <w:r w:rsidRPr="001815EA">
        <w:rPr>
          <w:lang w:val="fr-FR"/>
        </w:rPr>
        <w:t>12.</w:t>
      </w:r>
      <w:r w:rsidRPr="001815EA">
        <w:rPr>
          <w:lang w:val="fr-FR"/>
        </w:rPr>
        <w:tab/>
        <w:t>Sans objet.</w:t>
      </w:r>
    </w:p>
    <w:p w14:paraId="15424FA9" w14:textId="77777777" w:rsidR="00023B98" w:rsidRPr="001815EA" w:rsidRDefault="00023B98" w:rsidP="00613D32">
      <w:pPr>
        <w:pStyle w:val="HChG"/>
        <w:rPr>
          <w:lang w:val="fr-FR"/>
        </w:rPr>
      </w:pPr>
      <w:r w:rsidRPr="001815EA">
        <w:rPr>
          <w:lang w:val="fr-FR"/>
        </w:rPr>
        <w:tab/>
      </w:r>
      <w:r w:rsidRPr="001815EA">
        <w:rPr>
          <w:lang w:val="fr-FR"/>
        </w:rPr>
        <w:tab/>
        <w:t>Conclusion</w:t>
      </w:r>
    </w:p>
    <w:p w14:paraId="2BF6B6BA" w14:textId="77777777" w:rsidR="00023B98" w:rsidRPr="003560A4" w:rsidRDefault="00023B98" w:rsidP="00613D32">
      <w:pPr>
        <w:pStyle w:val="SingleTxtG"/>
        <w:rPr>
          <w:spacing w:val="-2"/>
          <w:lang w:val="fr-FR"/>
        </w:rPr>
      </w:pPr>
      <w:r w:rsidRPr="003560A4">
        <w:rPr>
          <w:spacing w:val="-2"/>
          <w:lang w:val="fr-FR"/>
        </w:rPr>
        <w:t>13.</w:t>
      </w:r>
      <w:r w:rsidRPr="003560A4">
        <w:rPr>
          <w:spacing w:val="-2"/>
          <w:lang w:val="fr-FR"/>
        </w:rPr>
        <w:tab/>
        <w:t>Les stations d’essai de l’ATP doivent estimer les incertitudes de mesure de leurs mesures. L’acceptation de la conformité dans l’ATP devrait suivre la règle du risque partagé.</w:t>
      </w:r>
    </w:p>
    <w:p w14:paraId="32CCB71E" w14:textId="77777777" w:rsidR="00023B98" w:rsidRPr="001815EA" w:rsidRDefault="00023B98" w:rsidP="00613D32">
      <w:pPr>
        <w:pStyle w:val="Heading1"/>
        <w:rPr>
          <w:i/>
          <w:lang w:val="fr-FR"/>
        </w:rPr>
      </w:pPr>
      <w:r w:rsidRPr="004A5636">
        <w:rPr>
          <w:lang w:val="fr-FR"/>
        </w:rPr>
        <w:t>Figure 5</w:t>
      </w:r>
      <w:r w:rsidRPr="001815EA">
        <w:rPr>
          <w:i/>
          <w:lang w:val="fr-FR"/>
        </w:rPr>
        <w:t xml:space="preserve"> </w:t>
      </w:r>
    </w:p>
    <w:p w14:paraId="7299C08E" w14:textId="77777777" w:rsidR="00023B98" w:rsidRDefault="00023B98" w:rsidP="003560A4">
      <w:pPr>
        <w:pStyle w:val="Heading1"/>
        <w:spacing w:after="120"/>
        <w:rPr>
          <w:b/>
          <w:bCs/>
          <w:lang w:val="fr-FR"/>
        </w:rPr>
      </w:pPr>
      <w:r w:rsidRPr="004A5636">
        <w:rPr>
          <w:b/>
          <w:bCs/>
          <w:lang w:val="fr-FR"/>
        </w:rPr>
        <w:t xml:space="preserve">Aperçu des quatre types de résultats de mesure qui doivent être évalués </w:t>
      </w:r>
      <w:r w:rsidR="00613D32">
        <w:rPr>
          <w:b/>
          <w:bCs/>
          <w:lang w:val="fr-FR"/>
        </w:rPr>
        <w:br/>
      </w:r>
      <w:r w:rsidRPr="004A5636">
        <w:rPr>
          <w:b/>
          <w:bCs/>
          <w:lang w:val="fr-FR"/>
        </w:rPr>
        <w:t>dans le cadre des décisions d</w:t>
      </w:r>
      <w:r>
        <w:rPr>
          <w:b/>
          <w:bCs/>
          <w:lang w:val="fr-FR"/>
        </w:rPr>
        <w:t>’</w:t>
      </w:r>
      <w:r w:rsidRPr="004A5636">
        <w:rPr>
          <w:b/>
          <w:bCs/>
          <w:lang w:val="fr-FR"/>
        </w:rPr>
        <w:t xml:space="preserve">évaluation de la conformité et des décisions </w:t>
      </w:r>
      <w:r w:rsidR="00613D32">
        <w:rPr>
          <w:b/>
          <w:bCs/>
          <w:lang w:val="fr-FR"/>
        </w:rPr>
        <w:br/>
      </w:r>
      <w:r w:rsidRPr="004A5636">
        <w:rPr>
          <w:b/>
          <w:bCs/>
          <w:lang w:val="fr-FR"/>
        </w:rPr>
        <w:t>prises</w:t>
      </w:r>
      <w:r>
        <w:rPr>
          <w:b/>
          <w:bCs/>
          <w:lang w:val="fr-FR"/>
        </w:rPr>
        <w:t xml:space="preserve"> selon la règle d’acceptation simple</w:t>
      </w:r>
    </w:p>
    <w:p w14:paraId="0F7CEC71" w14:textId="77777777" w:rsidR="00613D32" w:rsidRDefault="00613D32" w:rsidP="00613D32">
      <w:pPr>
        <w:spacing w:after="240"/>
        <w:ind w:left="1134"/>
        <w:rPr>
          <w:lang w:val="fr-FR"/>
        </w:rPr>
      </w:pPr>
      <w:r>
        <w:rPr>
          <w:noProof/>
          <w:lang w:val="fr-FR"/>
        </w:rPr>
        <w:drawing>
          <wp:inline distT="0" distB="0" distL="0" distR="0" wp14:anchorId="7F012C95" wp14:editId="6B183E45">
            <wp:extent cx="3188335" cy="101790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8335" cy="1017905"/>
                    </a:xfrm>
                    <a:prstGeom prst="rect">
                      <a:avLst/>
                    </a:prstGeom>
                    <a:noFill/>
                  </pic:spPr>
                </pic:pic>
              </a:graphicData>
            </a:graphic>
          </wp:inline>
        </w:drawing>
      </w:r>
    </w:p>
    <w:p w14:paraId="46877169" w14:textId="77777777" w:rsidR="00023B98" w:rsidRPr="001815EA" w:rsidRDefault="00023B98" w:rsidP="00613D32">
      <w:pPr>
        <w:pStyle w:val="HChG"/>
        <w:rPr>
          <w:lang w:val="fr-FR"/>
        </w:rPr>
      </w:pPr>
      <w:r w:rsidRPr="001815EA">
        <w:rPr>
          <w:lang w:val="fr-FR"/>
        </w:rPr>
        <w:tab/>
      </w:r>
      <w:r w:rsidRPr="001815EA">
        <w:rPr>
          <w:lang w:val="fr-FR"/>
        </w:rPr>
        <w:tab/>
        <w:t>Proposition</w:t>
      </w:r>
      <w:r>
        <w:rPr>
          <w:lang w:val="fr-FR"/>
        </w:rPr>
        <w:t xml:space="preserve"> d’amendement à </w:t>
      </w:r>
      <w:r w:rsidRPr="001815EA">
        <w:rPr>
          <w:lang w:val="fr-FR"/>
        </w:rPr>
        <w:t>l</w:t>
      </w:r>
      <w:r>
        <w:rPr>
          <w:lang w:val="fr-FR"/>
        </w:rPr>
        <w:t>’</w:t>
      </w:r>
      <w:r w:rsidRPr="001815EA">
        <w:rPr>
          <w:lang w:val="fr-FR"/>
        </w:rPr>
        <w:t>ATP (le cas échéant)</w:t>
      </w:r>
    </w:p>
    <w:p w14:paraId="55169220" w14:textId="77777777" w:rsidR="00023B98" w:rsidRPr="001815EA" w:rsidRDefault="00023B98" w:rsidP="00613D32">
      <w:pPr>
        <w:pStyle w:val="SingleTxtG"/>
        <w:rPr>
          <w:lang w:val="fr-FR"/>
        </w:rPr>
      </w:pPr>
      <w:r w:rsidRPr="001815EA">
        <w:rPr>
          <w:lang w:val="fr-FR"/>
        </w:rPr>
        <w:t>14.</w:t>
      </w:r>
      <w:r w:rsidRPr="001815EA">
        <w:rPr>
          <w:lang w:val="fr-FR"/>
        </w:rPr>
        <w:tab/>
        <w:t>Section de l</w:t>
      </w:r>
      <w:r>
        <w:rPr>
          <w:lang w:val="fr-FR"/>
        </w:rPr>
        <w:t>’</w:t>
      </w:r>
      <w:r w:rsidRPr="001815EA">
        <w:rPr>
          <w:lang w:val="fr-FR"/>
        </w:rPr>
        <w:t xml:space="preserve">ATP concernée par la proposition : </w:t>
      </w:r>
    </w:p>
    <w:p w14:paraId="5DF0AC51" w14:textId="77777777" w:rsidR="00023B98" w:rsidRPr="001815EA" w:rsidRDefault="00023B98" w:rsidP="00613D32">
      <w:pPr>
        <w:pStyle w:val="H23G"/>
        <w:rPr>
          <w:lang w:val="fr-FR"/>
        </w:rPr>
      </w:pPr>
      <w:r w:rsidRPr="001815EA">
        <w:rPr>
          <w:lang w:val="fr-FR"/>
        </w:rPr>
        <w:tab/>
      </w:r>
      <w:r w:rsidRPr="001815EA">
        <w:rPr>
          <w:lang w:val="fr-FR"/>
        </w:rPr>
        <w:tab/>
        <w:t>Manuel ATP</w:t>
      </w:r>
      <w:r w:rsidR="00613D32">
        <w:rPr>
          <w:lang w:val="fr-FR"/>
        </w:rPr>
        <w:t> </w:t>
      </w:r>
      <w:r w:rsidRPr="001815EA">
        <w:rPr>
          <w:lang w:val="fr-FR"/>
        </w:rPr>
        <w:t>: ajouter à la fin de l</w:t>
      </w:r>
      <w:r>
        <w:rPr>
          <w:lang w:val="fr-FR"/>
        </w:rPr>
        <w:t>’</w:t>
      </w:r>
      <w:r w:rsidRPr="001815EA">
        <w:rPr>
          <w:lang w:val="fr-FR"/>
        </w:rPr>
        <w:t>annexe I, appendice 2, le paragraphe suivant</w:t>
      </w:r>
      <w:r w:rsidR="00613D32">
        <w:rPr>
          <w:lang w:val="fr-FR"/>
        </w:rPr>
        <w:t> </w:t>
      </w:r>
      <w:r w:rsidRPr="001815EA">
        <w:rPr>
          <w:lang w:val="fr-FR"/>
        </w:rPr>
        <w:t>:</w:t>
      </w:r>
    </w:p>
    <w:p w14:paraId="750F7F55" w14:textId="77777777" w:rsidR="00023B98" w:rsidRPr="00613D32" w:rsidRDefault="00023B98" w:rsidP="00613D32">
      <w:pPr>
        <w:pStyle w:val="SingleTxtG"/>
        <w:rPr>
          <w:b/>
          <w:bCs/>
          <w:lang w:val="fr-FR"/>
        </w:rPr>
      </w:pPr>
      <w:r w:rsidRPr="00613D32">
        <w:rPr>
          <w:b/>
          <w:bCs/>
          <w:lang w:val="fr-FR"/>
        </w:rPr>
        <w:t xml:space="preserve">« ACCEPTATION DE CONFORMITÉ </w:t>
      </w:r>
    </w:p>
    <w:p w14:paraId="6E94CCE6" w14:textId="77777777" w:rsidR="00023B98" w:rsidRPr="001815EA" w:rsidRDefault="00023B98" w:rsidP="00613D32">
      <w:pPr>
        <w:pStyle w:val="SingleTxtG"/>
        <w:rPr>
          <w:i/>
          <w:highlight w:val="yellow"/>
          <w:lang w:val="fr-FR"/>
        </w:rPr>
      </w:pPr>
      <w:r w:rsidRPr="001815EA">
        <w:rPr>
          <w:lang w:val="fr-FR"/>
        </w:rPr>
        <w:t>Les résultats des mesures effectuées conformément aux prescriptions de toutes les sections du présent appendice doivent comprendre une estimation de l</w:t>
      </w:r>
      <w:r>
        <w:rPr>
          <w:lang w:val="fr-FR"/>
        </w:rPr>
        <w:t>’</w:t>
      </w:r>
      <w:r w:rsidRPr="001815EA">
        <w:rPr>
          <w:lang w:val="fr-FR"/>
        </w:rPr>
        <w:t>incertitude de mesure. Pour se conformer au niveau d</w:t>
      </w:r>
      <w:r>
        <w:rPr>
          <w:lang w:val="fr-FR"/>
        </w:rPr>
        <w:t>’</w:t>
      </w:r>
      <w:r w:rsidRPr="001815EA">
        <w:rPr>
          <w:lang w:val="fr-FR"/>
        </w:rPr>
        <w:t>incertitude de mesure requis, les stations d</w:t>
      </w:r>
      <w:r>
        <w:rPr>
          <w:lang w:val="fr-FR"/>
        </w:rPr>
        <w:t>’</w:t>
      </w:r>
      <w:r w:rsidRPr="001815EA">
        <w:rPr>
          <w:lang w:val="fr-FR"/>
        </w:rPr>
        <w:t>essai doivent appliquer la procédure d</w:t>
      </w:r>
      <w:r>
        <w:rPr>
          <w:lang w:val="fr-FR"/>
        </w:rPr>
        <w:t>’</w:t>
      </w:r>
      <w:r w:rsidRPr="001815EA">
        <w:rPr>
          <w:lang w:val="fr-FR"/>
        </w:rPr>
        <w:t>essai décrite dans chaque section de l</w:t>
      </w:r>
      <w:r>
        <w:rPr>
          <w:lang w:val="fr-FR"/>
        </w:rPr>
        <w:t>’</w:t>
      </w:r>
      <w:r w:rsidRPr="001815EA">
        <w:rPr>
          <w:lang w:val="fr-FR"/>
        </w:rPr>
        <w:t>appendice 2 de l</w:t>
      </w:r>
      <w:r>
        <w:rPr>
          <w:lang w:val="fr-FR"/>
        </w:rPr>
        <w:t>’</w:t>
      </w:r>
      <w:r w:rsidRPr="001815EA">
        <w:rPr>
          <w:lang w:val="fr-FR"/>
        </w:rPr>
        <w:t xml:space="preserve">annexe I. </w:t>
      </w:r>
    </w:p>
    <w:p w14:paraId="5D85787B" w14:textId="77777777" w:rsidR="00023B98" w:rsidRPr="001815EA" w:rsidRDefault="00023B98" w:rsidP="00613D32">
      <w:pPr>
        <w:pStyle w:val="SingleTxtG"/>
        <w:rPr>
          <w:i/>
          <w:lang w:val="fr-FR"/>
        </w:rPr>
      </w:pPr>
      <w:r w:rsidRPr="001815EA">
        <w:rPr>
          <w:lang w:val="fr-FR"/>
        </w:rPr>
        <w:t>Dans toutes les sections du présent appendice, l</w:t>
      </w:r>
      <w:r>
        <w:rPr>
          <w:lang w:val="fr-FR"/>
        </w:rPr>
        <w:t>’</w:t>
      </w:r>
      <w:r w:rsidRPr="001815EA">
        <w:rPr>
          <w:lang w:val="fr-FR"/>
        </w:rPr>
        <w:t>acceptation de la conformité doit se faire sans tenir compte de l</w:t>
      </w:r>
      <w:r>
        <w:rPr>
          <w:lang w:val="fr-FR"/>
        </w:rPr>
        <w:t>’</w:t>
      </w:r>
      <w:r w:rsidRPr="001815EA">
        <w:rPr>
          <w:lang w:val="fr-FR"/>
        </w:rPr>
        <w:t>incertitude de mesure, au moyen d</w:t>
      </w:r>
      <w:r>
        <w:rPr>
          <w:lang w:val="fr-FR"/>
        </w:rPr>
        <w:t>’</w:t>
      </w:r>
      <w:r w:rsidRPr="001815EA">
        <w:rPr>
          <w:lang w:val="fr-FR"/>
        </w:rPr>
        <w:t xml:space="preserve">une </w:t>
      </w:r>
      <w:r>
        <w:rPr>
          <w:lang w:val="fr-FR"/>
        </w:rPr>
        <w:t xml:space="preserve">règle de </w:t>
      </w:r>
      <w:r w:rsidRPr="000F1F15">
        <w:rPr>
          <w:lang w:val="fr-FR"/>
        </w:rPr>
        <w:t>décision</w:t>
      </w:r>
      <w:r w:rsidRPr="004A5636">
        <w:rPr>
          <w:i/>
          <w:iCs/>
          <w:lang w:val="fr-FR"/>
        </w:rPr>
        <w:t xml:space="preserve"> binaire</w:t>
      </w:r>
      <w:r w:rsidRPr="001815EA">
        <w:rPr>
          <w:iCs/>
          <w:vertAlign w:val="superscript"/>
          <w:lang w:val="fr-FR"/>
        </w:rPr>
        <w:t>1</w:t>
      </w:r>
      <w:r w:rsidRPr="001815EA">
        <w:rPr>
          <w:lang w:val="fr-FR"/>
        </w:rPr>
        <w:t xml:space="preserve"> ou d</w:t>
      </w:r>
      <w:r>
        <w:rPr>
          <w:lang w:val="fr-FR"/>
        </w:rPr>
        <w:t>’</w:t>
      </w:r>
      <w:r w:rsidRPr="001815EA">
        <w:rPr>
          <w:lang w:val="fr-FR"/>
        </w:rPr>
        <w:t xml:space="preserve">une règle de décision </w:t>
      </w:r>
      <w:r w:rsidRPr="004A5636">
        <w:rPr>
          <w:i/>
          <w:iCs/>
          <w:lang w:val="fr-FR"/>
        </w:rPr>
        <w:t>à</w:t>
      </w:r>
      <w:r w:rsidRPr="001815EA">
        <w:rPr>
          <w:i/>
          <w:lang w:val="fr-FR"/>
        </w:rPr>
        <w:t xml:space="preserve"> risque partagé</w:t>
      </w:r>
      <w:r w:rsidRPr="001815EA">
        <w:rPr>
          <w:iCs/>
          <w:vertAlign w:val="superscript"/>
          <w:lang w:val="fr-FR"/>
        </w:rPr>
        <w:t>1, 2, 3, 4</w:t>
      </w:r>
      <w:r w:rsidRPr="001815EA">
        <w:rPr>
          <w:i/>
          <w:lang w:val="fr-FR"/>
        </w:rPr>
        <w:t>.</w:t>
      </w:r>
    </w:p>
    <w:p w14:paraId="646BFA4C" w14:textId="77777777" w:rsidR="00023B98" w:rsidRPr="001815EA" w:rsidRDefault="00023B98" w:rsidP="00613D32">
      <w:pPr>
        <w:pStyle w:val="SingleTxtG"/>
        <w:rPr>
          <w:b/>
          <w:bCs/>
          <w:i/>
          <w:lang w:val="fr-FR"/>
        </w:rPr>
      </w:pPr>
      <w:r w:rsidRPr="004A5636">
        <w:rPr>
          <w:b/>
          <w:bCs/>
          <w:i/>
          <w:lang w:val="fr-FR"/>
        </w:rPr>
        <w:t>Exemples de décisions d</w:t>
      </w:r>
      <w:r>
        <w:rPr>
          <w:b/>
          <w:bCs/>
          <w:i/>
          <w:lang w:val="fr-FR"/>
        </w:rPr>
        <w:t>’</w:t>
      </w:r>
      <w:r w:rsidRPr="004A5636">
        <w:rPr>
          <w:b/>
          <w:bCs/>
          <w:i/>
          <w:lang w:val="fr-FR"/>
        </w:rPr>
        <w:t>acceptation de la conformité pour la classification des boîtes d</w:t>
      </w:r>
      <w:r>
        <w:rPr>
          <w:b/>
          <w:bCs/>
          <w:i/>
          <w:lang w:val="fr-FR"/>
        </w:rPr>
        <w:t>’</w:t>
      </w:r>
      <w:r w:rsidRPr="004A5636">
        <w:rPr>
          <w:b/>
          <w:bCs/>
          <w:i/>
          <w:lang w:val="fr-FR"/>
        </w:rPr>
        <w:t>isolation</w:t>
      </w:r>
    </w:p>
    <w:p w14:paraId="1D6E19DE" w14:textId="77777777" w:rsidR="00023B98" w:rsidRPr="001815EA" w:rsidRDefault="00023B98" w:rsidP="00613D32">
      <w:pPr>
        <w:pStyle w:val="SingleTxtG"/>
        <w:rPr>
          <w:b/>
          <w:bCs/>
          <w:i/>
          <w:lang w:val="fr-FR"/>
        </w:rPr>
      </w:pPr>
      <w:r w:rsidRPr="001815EA">
        <w:rPr>
          <w:b/>
          <w:bCs/>
          <w:i/>
          <w:lang w:val="fr-FR"/>
        </w:rPr>
        <w:t xml:space="preserve">Cas 1 </w:t>
      </w:r>
      <w:r w:rsidR="00613D32">
        <w:rPr>
          <w:b/>
          <w:bCs/>
          <w:i/>
          <w:lang w:val="fr-FR"/>
        </w:rPr>
        <w:t>−</w:t>
      </w:r>
      <w:r w:rsidRPr="001815EA">
        <w:rPr>
          <w:b/>
          <w:bCs/>
          <w:i/>
          <w:lang w:val="fr-FR"/>
        </w:rPr>
        <w:t xml:space="preserve"> la boîte d</w:t>
      </w:r>
      <w:r>
        <w:rPr>
          <w:b/>
          <w:bCs/>
          <w:i/>
          <w:lang w:val="fr-FR"/>
        </w:rPr>
        <w:t>’</w:t>
      </w:r>
      <w:r w:rsidRPr="001815EA">
        <w:rPr>
          <w:b/>
          <w:bCs/>
          <w:i/>
          <w:lang w:val="fr-FR"/>
        </w:rPr>
        <w:t xml:space="preserve">isolation doit être classée comme </w:t>
      </w:r>
      <w:r>
        <w:rPr>
          <w:b/>
          <w:bCs/>
          <w:i/>
          <w:lang w:val="fr-FR"/>
        </w:rPr>
        <w:t xml:space="preserve">boîte </w:t>
      </w:r>
      <w:r w:rsidRPr="001815EA">
        <w:rPr>
          <w:b/>
          <w:bCs/>
          <w:i/>
          <w:lang w:val="fr-FR"/>
        </w:rPr>
        <w:t>conforme à la classe IR :</w:t>
      </w:r>
    </w:p>
    <w:p w14:paraId="23E30E7A" w14:textId="77777777" w:rsidR="00023B98" w:rsidRPr="004A5636" w:rsidRDefault="00023B98" w:rsidP="00613D32">
      <w:pPr>
        <w:pStyle w:val="SingleTxtG"/>
        <w:rPr>
          <w:i/>
          <w:lang w:val="fr-FR"/>
        </w:rPr>
      </w:pPr>
      <w:r w:rsidRPr="004A5636">
        <w:rPr>
          <w:i/>
          <w:lang w:val="fr-FR"/>
        </w:rPr>
        <w:t>Tous les résultats pour le facteur K qui sont inférieurs ou égaux à 0,4 sont conformes à la classe IR (points verts).</w:t>
      </w:r>
    </w:p>
    <w:p w14:paraId="58AF13F8" w14:textId="77777777" w:rsidR="00023B98" w:rsidRDefault="00023B98" w:rsidP="00613D32">
      <w:pPr>
        <w:pStyle w:val="SingleTxtG"/>
        <w:rPr>
          <w:i/>
          <w:lang w:val="fr-FR"/>
        </w:rPr>
      </w:pPr>
      <w:r w:rsidRPr="004A5636">
        <w:rPr>
          <w:i/>
          <w:lang w:val="fr-FR"/>
        </w:rPr>
        <w:t>Tous les résultats pour le facteur K qui sont supérieurs à 0,4 ne sont pas conformes à la classe IR (points rouges).</w:t>
      </w:r>
    </w:p>
    <w:p w14:paraId="4F9DED08" w14:textId="77777777" w:rsidR="00613D32" w:rsidRDefault="00613D32" w:rsidP="003560A4">
      <w:pPr>
        <w:spacing w:after="240"/>
        <w:ind w:left="1134"/>
        <w:rPr>
          <w:lang w:val="fr-FR"/>
        </w:rPr>
      </w:pPr>
      <w:r>
        <w:rPr>
          <w:noProof/>
          <w:lang w:val="fr-FR"/>
        </w:rPr>
        <w:drawing>
          <wp:inline distT="0" distB="0" distL="0" distR="0" wp14:anchorId="1C19DDDF" wp14:editId="276170C8">
            <wp:extent cx="3152140" cy="200596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140" cy="2005965"/>
                    </a:xfrm>
                    <a:prstGeom prst="rect">
                      <a:avLst/>
                    </a:prstGeom>
                    <a:noFill/>
                  </pic:spPr>
                </pic:pic>
              </a:graphicData>
            </a:graphic>
          </wp:inline>
        </w:drawing>
      </w:r>
    </w:p>
    <w:p w14:paraId="789B20DF" w14:textId="77777777" w:rsidR="00023B98" w:rsidRPr="001815EA" w:rsidRDefault="00023B98" w:rsidP="00613D32">
      <w:pPr>
        <w:pStyle w:val="SingleTxtG"/>
        <w:rPr>
          <w:b/>
          <w:bCs/>
          <w:i/>
          <w:lang w:val="fr-FR"/>
        </w:rPr>
      </w:pPr>
      <w:r w:rsidRPr="001815EA">
        <w:rPr>
          <w:b/>
          <w:bCs/>
          <w:i/>
          <w:lang w:val="fr-FR"/>
        </w:rPr>
        <w:lastRenderedPageBreak/>
        <w:t xml:space="preserve">Cas 2 </w:t>
      </w:r>
      <w:r w:rsidR="00613D32">
        <w:rPr>
          <w:b/>
          <w:bCs/>
          <w:i/>
          <w:lang w:val="fr-FR"/>
        </w:rPr>
        <w:t>−</w:t>
      </w:r>
      <w:r w:rsidRPr="001815EA">
        <w:rPr>
          <w:b/>
          <w:bCs/>
          <w:i/>
          <w:lang w:val="fr-FR"/>
        </w:rPr>
        <w:t xml:space="preserve"> la boîte d</w:t>
      </w:r>
      <w:r>
        <w:rPr>
          <w:b/>
          <w:bCs/>
          <w:i/>
          <w:lang w:val="fr-FR"/>
        </w:rPr>
        <w:t>’</w:t>
      </w:r>
      <w:r w:rsidRPr="001815EA">
        <w:rPr>
          <w:b/>
          <w:bCs/>
          <w:i/>
          <w:lang w:val="fr-FR"/>
        </w:rPr>
        <w:t xml:space="preserve">isolation doit être classée comme </w:t>
      </w:r>
      <w:r>
        <w:rPr>
          <w:b/>
          <w:bCs/>
          <w:i/>
          <w:lang w:val="fr-FR"/>
        </w:rPr>
        <w:t xml:space="preserve">boîte </w:t>
      </w:r>
      <w:r w:rsidRPr="001815EA">
        <w:rPr>
          <w:b/>
          <w:bCs/>
          <w:i/>
          <w:lang w:val="fr-FR"/>
        </w:rPr>
        <w:t>conforme à la classe IN :</w:t>
      </w:r>
    </w:p>
    <w:p w14:paraId="72490A76" w14:textId="77777777" w:rsidR="00023B98" w:rsidRPr="004A5636" w:rsidRDefault="00023B98" w:rsidP="00613D32">
      <w:pPr>
        <w:pStyle w:val="SingleTxtG"/>
        <w:rPr>
          <w:i/>
          <w:lang w:val="fr-FR"/>
        </w:rPr>
      </w:pPr>
      <w:r w:rsidRPr="004A5636">
        <w:rPr>
          <w:i/>
          <w:lang w:val="fr-FR"/>
        </w:rPr>
        <w:t>Tous les résultats pour le facteur K qui sont inférieurs ou égaux à 0,7 sont conformes à la classe IN (points verts).</w:t>
      </w:r>
    </w:p>
    <w:p w14:paraId="77235004" w14:textId="77777777" w:rsidR="00023B98" w:rsidRDefault="00023B98" w:rsidP="00613D32">
      <w:pPr>
        <w:pStyle w:val="SingleTxtG"/>
        <w:rPr>
          <w:i/>
          <w:lang w:val="fr-FR"/>
        </w:rPr>
      </w:pPr>
      <w:r w:rsidRPr="004A5636">
        <w:rPr>
          <w:i/>
          <w:lang w:val="fr-FR"/>
        </w:rPr>
        <w:t>Tous les résultats pour le facteur K qui sont supérieurs à 0,7 ne sont pas conformes à la classe IN (points rouges).</w:t>
      </w:r>
    </w:p>
    <w:p w14:paraId="20C1B319" w14:textId="77777777" w:rsidR="00613D32" w:rsidRPr="00613D32" w:rsidRDefault="00613D32" w:rsidP="00613D32">
      <w:pPr>
        <w:kinsoku/>
        <w:overflowPunct/>
        <w:autoSpaceDE/>
        <w:autoSpaceDN/>
        <w:adjustRightInd/>
        <w:snapToGrid/>
        <w:spacing w:after="240"/>
        <w:ind w:left="1134" w:right="1134"/>
        <w:jc w:val="both"/>
        <w:rPr>
          <w:rFonts w:eastAsia="Times New Roman"/>
          <w:b/>
          <w:i/>
          <w:lang w:val="en-GB" w:eastAsia="fr-FR"/>
        </w:rPr>
      </w:pPr>
      <w:bookmarkStart w:id="4" w:name="_Hlk49324550"/>
      <w:r w:rsidRPr="00613D32">
        <w:rPr>
          <w:rFonts w:eastAsia="Times New Roman"/>
          <w:noProof/>
          <w:lang w:val="en-GB" w:eastAsia="fr-FR"/>
        </w:rPr>
        <w:drawing>
          <wp:inline distT="0" distB="0" distL="0" distR="0" wp14:anchorId="1A88820A" wp14:editId="01F1859D">
            <wp:extent cx="3162132" cy="2424973"/>
            <wp:effectExtent l="0" t="0" r="635" b="13970"/>
            <wp:docPr id="17" name="Grafikon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4"/>
    <w:p w14:paraId="4200937C" w14:textId="77777777" w:rsidR="00023B98" w:rsidRPr="005B6B07" w:rsidRDefault="00023B98" w:rsidP="00613D32">
      <w:pPr>
        <w:pStyle w:val="SingleTxtG"/>
        <w:rPr>
          <w:sz w:val="18"/>
          <w:szCs w:val="18"/>
          <w:lang w:val="fr-FR"/>
        </w:rPr>
      </w:pPr>
      <w:r w:rsidRPr="005B6B07">
        <w:rPr>
          <w:b/>
          <w:bCs/>
          <w:sz w:val="18"/>
          <w:szCs w:val="18"/>
          <w:lang w:val="fr-FR"/>
        </w:rPr>
        <w:t>Notes de bas de page</w:t>
      </w:r>
    </w:p>
    <w:p w14:paraId="2B26C7E0" w14:textId="77777777" w:rsidR="00023B98" w:rsidRPr="005B6B07" w:rsidRDefault="00023B98" w:rsidP="005B6B07">
      <w:pPr>
        <w:pStyle w:val="SingleTxtG"/>
        <w:jc w:val="left"/>
        <w:rPr>
          <w:i/>
          <w:iCs/>
          <w:sz w:val="18"/>
          <w:szCs w:val="18"/>
          <w:lang w:val="fr-FR"/>
        </w:rPr>
      </w:pPr>
      <w:r w:rsidRPr="005B6B07">
        <w:rPr>
          <w:i/>
          <w:iCs/>
          <w:sz w:val="18"/>
          <w:szCs w:val="18"/>
          <w:vertAlign w:val="superscript"/>
          <w:lang w:val="fr-FR"/>
        </w:rPr>
        <w:t>1</w:t>
      </w:r>
      <w:r w:rsidRPr="005B6B07">
        <w:rPr>
          <w:i/>
          <w:iCs/>
          <w:sz w:val="18"/>
          <w:szCs w:val="18"/>
          <w:lang w:val="fr-FR"/>
        </w:rPr>
        <w:t xml:space="preserve"> </w:t>
      </w:r>
      <w:r w:rsidR="005B6B07" w:rsidRPr="005B6B07">
        <w:rPr>
          <w:i/>
          <w:iCs/>
          <w:sz w:val="18"/>
          <w:szCs w:val="18"/>
          <w:lang w:val="fr-FR"/>
        </w:rPr>
        <w:t xml:space="preserve"> </w:t>
      </w:r>
      <w:r w:rsidRPr="005B6B07">
        <w:rPr>
          <w:i/>
          <w:iCs/>
          <w:sz w:val="18"/>
          <w:szCs w:val="18"/>
          <w:lang w:val="fr-FR"/>
        </w:rPr>
        <w:t>ILAC- ILAC- G8:09/2019, Directives sur la déclaration de conformité à la spécification, section 2.7</w:t>
      </w:r>
      <w:r w:rsidRPr="005B6B07">
        <w:rPr>
          <w:sz w:val="18"/>
          <w:szCs w:val="18"/>
          <w:lang w:val="fr-FR"/>
        </w:rPr>
        <w:t>.</w:t>
      </w:r>
    </w:p>
    <w:p w14:paraId="09CEAF53" w14:textId="77777777" w:rsidR="00023B98" w:rsidRPr="005B6B07" w:rsidRDefault="00023B98" w:rsidP="005B6B07">
      <w:pPr>
        <w:pStyle w:val="SingleTxtG"/>
        <w:jc w:val="left"/>
        <w:rPr>
          <w:sz w:val="18"/>
          <w:szCs w:val="18"/>
          <w:lang w:val="fr-FR"/>
        </w:rPr>
      </w:pPr>
      <w:r w:rsidRPr="005B6B07">
        <w:rPr>
          <w:i/>
          <w:iCs/>
          <w:sz w:val="18"/>
          <w:szCs w:val="18"/>
          <w:vertAlign w:val="superscript"/>
          <w:lang w:val="fr-FR"/>
        </w:rPr>
        <w:t>2</w:t>
      </w:r>
      <w:r w:rsidRPr="005B6B07">
        <w:rPr>
          <w:sz w:val="18"/>
          <w:szCs w:val="18"/>
          <w:lang w:val="fr-FR"/>
        </w:rPr>
        <w:t xml:space="preserve">  </w:t>
      </w:r>
      <w:r w:rsidRPr="005B6B07">
        <w:rPr>
          <w:i/>
          <w:sz w:val="18"/>
          <w:szCs w:val="18"/>
          <w:lang w:val="fr-FR"/>
        </w:rPr>
        <w:t>JCGM 106 :2012, Évaluation des données de mesure − Rôle de l’incertitude de mesure dans l’évaluation de la conformité, section 8.2</w:t>
      </w:r>
      <w:r w:rsidRPr="005B6B07">
        <w:rPr>
          <w:sz w:val="18"/>
          <w:szCs w:val="18"/>
          <w:lang w:val="fr-FR"/>
        </w:rPr>
        <w:t>.</w:t>
      </w:r>
    </w:p>
    <w:p w14:paraId="5928B98D" w14:textId="77777777" w:rsidR="00023B98" w:rsidRPr="005B6B07" w:rsidRDefault="00023B98" w:rsidP="005B6B07">
      <w:pPr>
        <w:pStyle w:val="SingleTxtG"/>
        <w:jc w:val="left"/>
        <w:rPr>
          <w:sz w:val="18"/>
          <w:szCs w:val="18"/>
          <w:lang w:val="fr-FR"/>
        </w:rPr>
      </w:pPr>
      <w:r w:rsidRPr="005B6B07">
        <w:rPr>
          <w:i/>
          <w:iCs/>
          <w:sz w:val="18"/>
          <w:szCs w:val="18"/>
          <w:vertAlign w:val="superscript"/>
          <w:lang w:val="fr-FR"/>
        </w:rPr>
        <w:t>3</w:t>
      </w:r>
      <w:r w:rsidRPr="005B6B07">
        <w:rPr>
          <w:sz w:val="18"/>
          <w:szCs w:val="18"/>
          <w:lang w:val="fr-FR"/>
        </w:rPr>
        <w:t xml:space="preserve">  WELMEC 4.2-1/2006, section 6.</w:t>
      </w:r>
    </w:p>
    <w:p w14:paraId="0A632B1F" w14:textId="77777777" w:rsidR="00023B98" w:rsidRDefault="00023B98" w:rsidP="005B6B07">
      <w:pPr>
        <w:pStyle w:val="SingleTxtG"/>
        <w:jc w:val="left"/>
        <w:rPr>
          <w:sz w:val="18"/>
          <w:szCs w:val="18"/>
          <w:lang w:val="fr-FR"/>
        </w:rPr>
      </w:pPr>
      <w:r w:rsidRPr="005B6B07">
        <w:rPr>
          <w:i/>
          <w:iCs/>
          <w:sz w:val="18"/>
          <w:szCs w:val="18"/>
          <w:vertAlign w:val="superscript"/>
          <w:lang w:val="fr-FR"/>
        </w:rPr>
        <w:t>4</w:t>
      </w:r>
      <w:r w:rsidRPr="005B6B07">
        <w:rPr>
          <w:sz w:val="18"/>
          <w:szCs w:val="18"/>
          <w:lang w:val="fr-FR"/>
        </w:rPr>
        <w:t xml:space="preserve"> </w:t>
      </w:r>
      <w:r w:rsidR="005B6B07">
        <w:rPr>
          <w:sz w:val="18"/>
          <w:szCs w:val="18"/>
          <w:lang w:val="fr-FR"/>
        </w:rPr>
        <w:t xml:space="preserve"> </w:t>
      </w:r>
      <w:r w:rsidRPr="005B6B07">
        <w:rPr>
          <w:sz w:val="18"/>
          <w:szCs w:val="18"/>
          <w:lang w:val="fr-FR"/>
        </w:rPr>
        <w:t>OIML G 19/2017, par. 5.3.3 et 5.3.4.</w:t>
      </w:r>
    </w:p>
    <w:p w14:paraId="1979F006" w14:textId="77777777" w:rsidR="005B6B07" w:rsidRPr="005B6B07" w:rsidRDefault="005B6B07" w:rsidP="005B6B0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B6B07" w:rsidRPr="005B6B07" w:rsidSect="00023B98">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856BB" w14:textId="77777777" w:rsidR="0038279A" w:rsidRDefault="0038279A" w:rsidP="00F95C08">
      <w:pPr>
        <w:spacing w:line="240" w:lineRule="auto"/>
      </w:pPr>
    </w:p>
  </w:endnote>
  <w:endnote w:type="continuationSeparator" w:id="0">
    <w:p w14:paraId="2942B199" w14:textId="77777777" w:rsidR="0038279A" w:rsidRPr="00AC3823" w:rsidRDefault="0038279A" w:rsidP="00AC3823">
      <w:pPr>
        <w:pStyle w:val="Footer"/>
      </w:pPr>
    </w:p>
  </w:endnote>
  <w:endnote w:type="continuationNotice" w:id="1">
    <w:p w14:paraId="729FDF3B" w14:textId="77777777" w:rsidR="0038279A" w:rsidRDefault="003827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F46C" w14:textId="77777777" w:rsidR="00023B98" w:rsidRPr="00023B98" w:rsidRDefault="00023B98" w:rsidP="00023B98">
    <w:pPr>
      <w:pStyle w:val="Footer"/>
      <w:tabs>
        <w:tab w:val="right" w:pos="9638"/>
      </w:tabs>
    </w:pPr>
    <w:r w:rsidRPr="00023B98">
      <w:rPr>
        <w:b/>
        <w:sz w:val="18"/>
      </w:rPr>
      <w:fldChar w:fldCharType="begin"/>
    </w:r>
    <w:r w:rsidRPr="00023B98">
      <w:rPr>
        <w:b/>
        <w:sz w:val="18"/>
      </w:rPr>
      <w:instrText xml:space="preserve"> PAGE  \* MERGEFORMAT </w:instrText>
    </w:r>
    <w:r w:rsidRPr="00023B98">
      <w:rPr>
        <w:b/>
        <w:sz w:val="18"/>
      </w:rPr>
      <w:fldChar w:fldCharType="separate"/>
    </w:r>
    <w:r w:rsidRPr="00023B98">
      <w:rPr>
        <w:b/>
        <w:noProof/>
        <w:sz w:val="18"/>
      </w:rPr>
      <w:t>2</w:t>
    </w:r>
    <w:r w:rsidRPr="00023B98">
      <w:rPr>
        <w:b/>
        <w:sz w:val="18"/>
      </w:rPr>
      <w:fldChar w:fldCharType="end"/>
    </w:r>
    <w:r>
      <w:rPr>
        <w:b/>
        <w:sz w:val="18"/>
      </w:rPr>
      <w:tab/>
    </w:r>
    <w:r>
      <w:t>GE.20-10051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E310" w14:textId="77777777" w:rsidR="00023B98" w:rsidRPr="00023B98" w:rsidRDefault="00023B98" w:rsidP="00023B98">
    <w:pPr>
      <w:pStyle w:val="Footer"/>
      <w:tabs>
        <w:tab w:val="right" w:pos="9638"/>
      </w:tabs>
      <w:rPr>
        <w:b/>
        <w:sz w:val="18"/>
      </w:rPr>
    </w:pPr>
    <w:r>
      <w:t>GE.20-10051</w:t>
    </w:r>
    <w:r>
      <w:tab/>
    </w:r>
    <w:r w:rsidRPr="00023B98">
      <w:rPr>
        <w:b/>
        <w:sz w:val="18"/>
      </w:rPr>
      <w:fldChar w:fldCharType="begin"/>
    </w:r>
    <w:r w:rsidRPr="00023B98">
      <w:rPr>
        <w:b/>
        <w:sz w:val="18"/>
      </w:rPr>
      <w:instrText xml:space="preserve"> PAGE  \* MERGEFORMAT </w:instrText>
    </w:r>
    <w:r w:rsidRPr="00023B98">
      <w:rPr>
        <w:b/>
        <w:sz w:val="18"/>
      </w:rPr>
      <w:fldChar w:fldCharType="separate"/>
    </w:r>
    <w:r w:rsidRPr="00023B98">
      <w:rPr>
        <w:b/>
        <w:noProof/>
        <w:sz w:val="18"/>
      </w:rPr>
      <w:t>3</w:t>
    </w:r>
    <w:r w:rsidRPr="00023B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D1F5" w14:textId="77777777" w:rsidR="007F20FA" w:rsidRPr="00023B98" w:rsidRDefault="00023B98" w:rsidP="00023B98">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B359EFE" wp14:editId="232138D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20-10051  (F)</w:t>
    </w:r>
    <w:r w:rsidR="0009271E">
      <w:rPr>
        <w:sz w:val="20"/>
      </w:rPr>
      <w:t xml:space="preserve">    250820    260820</w:t>
    </w:r>
    <w:r>
      <w:rPr>
        <w:sz w:val="20"/>
      </w:rPr>
      <w:br/>
    </w:r>
    <w:r w:rsidRPr="00023B98">
      <w:rPr>
        <w:rFonts w:ascii="C39T30Lfz" w:hAnsi="C39T30Lfz"/>
        <w:sz w:val="56"/>
      </w:rPr>
      <w:t></w:t>
    </w:r>
    <w:r w:rsidRPr="00023B98">
      <w:rPr>
        <w:rFonts w:ascii="C39T30Lfz" w:hAnsi="C39T30Lfz"/>
        <w:sz w:val="56"/>
      </w:rPr>
      <w:t></w:t>
    </w:r>
    <w:r w:rsidRPr="00023B98">
      <w:rPr>
        <w:rFonts w:ascii="C39T30Lfz" w:hAnsi="C39T30Lfz"/>
        <w:sz w:val="56"/>
      </w:rPr>
      <w:t></w:t>
    </w:r>
    <w:r w:rsidRPr="00023B98">
      <w:rPr>
        <w:rFonts w:ascii="C39T30Lfz" w:hAnsi="C39T30Lfz"/>
        <w:sz w:val="56"/>
      </w:rPr>
      <w:t></w:t>
    </w:r>
    <w:r w:rsidRPr="00023B98">
      <w:rPr>
        <w:rFonts w:ascii="C39T30Lfz" w:hAnsi="C39T30Lfz"/>
        <w:sz w:val="56"/>
      </w:rPr>
      <w:t></w:t>
    </w:r>
    <w:r w:rsidRPr="00023B98">
      <w:rPr>
        <w:rFonts w:ascii="C39T30Lfz" w:hAnsi="C39T30Lfz"/>
        <w:sz w:val="56"/>
      </w:rPr>
      <w:t></w:t>
    </w:r>
    <w:r w:rsidRPr="00023B98">
      <w:rPr>
        <w:rFonts w:ascii="C39T30Lfz" w:hAnsi="C39T30Lfz"/>
        <w:sz w:val="56"/>
      </w:rPr>
      <w:t></w:t>
    </w:r>
    <w:r w:rsidRPr="00023B98">
      <w:rPr>
        <w:rFonts w:ascii="C39T30Lfz" w:hAnsi="C39T30Lfz"/>
        <w:sz w:val="56"/>
      </w:rPr>
      <w:t></w:t>
    </w:r>
    <w:r w:rsidRPr="00023B98">
      <w:rPr>
        <w:rFonts w:ascii="C39T30Lfz" w:hAnsi="C39T30Lfz"/>
        <w:sz w:val="56"/>
      </w:rPr>
      <w:t></w:t>
    </w:r>
    <w:r>
      <w:rPr>
        <w:noProof/>
        <w:sz w:val="20"/>
      </w:rPr>
      <w:drawing>
        <wp:anchor distT="0" distB="0" distL="114300" distR="114300" simplePos="0" relativeHeight="251658240" behindDoc="0" locked="0" layoutInCell="1" allowOverlap="1" wp14:anchorId="51318759" wp14:editId="74224C8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F928E" w14:textId="77777777" w:rsidR="0038279A" w:rsidRPr="00AC3823" w:rsidRDefault="0038279A" w:rsidP="00AC3823">
      <w:pPr>
        <w:pStyle w:val="Footer"/>
        <w:tabs>
          <w:tab w:val="right" w:pos="2155"/>
        </w:tabs>
        <w:spacing w:after="80" w:line="240" w:lineRule="atLeast"/>
        <w:ind w:left="680"/>
        <w:rPr>
          <w:u w:val="single"/>
        </w:rPr>
      </w:pPr>
      <w:r>
        <w:rPr>
          <w:u w:val="single"/>
        </w:rPr>
        <w:tab/>
      </w:r>
    </w:p>
  </w:footnote>
  <w:footnote w:type="continuationSeparator" w:id="0">
    <w:p w14:paraId="71B0C674" w14:textId="77777777" w:rsidR="0038279A" w:rsidRPr="00AC3823" w:rsidRDefault="0038279A" w:rsidP="00AC3823">
      <w:pPr>
        <w:pStyle w:val="Footer"/>
        <w:tabs>
          <w:tab w:val="right" w:pos="2155"/>
        </w:tabs>
        <w:spacing w:after="80" w:line="240" w:lineRule="atLeast"/>
        <w:ind w:left="680"/>
        <w:rPr>
          <w:u w:val="single"/>
        </w:rPr>
      </w:pPr>
      <w:r>
        <w:rPr>
          <w:u w:val="single"/>
        </w:rPr>
        <w:tab/>
      </w:r>
    </w:p>
  </w:footnote>
  <w:footnote w:type="continuationNotice" w:id="1">
    <w:p w14:paraId="7416FAD7" w14:textId="77777777" w:rsidR="0038279A" w:rsidRPr="00AC3823" w:rsidRDefault="0038279A">
      <w:pPr>
        <w:spacing w:line="240" w:lineRule="auto"/>
        <w:rPr>
          <w:sz w:val="2"/>
          <w:szCs w:val="2"/>
        </w:rPr>
      </w:pPr>
    </w:p>
  </w:footnote>
  <w:footnote w:id="2">
    <w:p w14:paraId="62DFBAA7" w14:textId="77777777" w:rsidR="00023B98" w:rsidRPr="00D841A1" w:rsidRDefault="00023B98" w:rsidP="00023B98">
      <w:pPr>
        <w:pStyle w:val="FootnoteText"/>
        <w:rPr>
          <w:lang w:val="fr-FR"/>
        </w:rPr>
      </w:pPr>
      <w:r w:rsidRPr="00D841A1">
        <w:rPr>
          <w:lang w:val="fr-FR"/>
        </w:rPr>
        <w:tab/>
      </w:r>
      <w:r w:rsidRPr="00AB00FC">
        <w:rPr>
          <w:rStyle w:val="FootnoteReference"/>
        </w:rPr>
        <w:footnoteRef/>
      </w:r>
      <w:r w:rsidRPr="00D841A1">
        <w:rPr>
          <w:lang w:val="fr-FR"/>
        </w:rPr>
        <w:tab/>
        <w:t xml:space="preserve">Ce titre ainsi que les citations de documents en italiques ci-après sont des traductions effectuées par le Service linguistique de l’ONU des versions anglaises des documents originaux concernés et non la reproduction des versions françaises officielles, non disponibles lors de la soumission du présent document </w:t>
      </w:r>
      <w:r w:rsidRPr="00D841A1">
        <w:rPr>
          <w:i/>
          <w:iCs/>
          <w:lang w:val="fr-FR"/>
        </w:rPr>
        <w:t>[NdT]</w:t>
      </w:r>
      <w:r w:rsidRPr="00D841A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9636" w14:textId="6D0D84B1" w:rsidR="00023B98" w:rsidRPr="00023B98" w:rsidRDefault="00943354">
    <w:pPr>
      <w:pStyle w:val="Header"/>
    </w:pPr>
    <w:r>
      <w:fldChar w:fldCharType="begin"/>
    </w:r>
    <w:r>
      <w:instrText xml:space="preserve"> TITLE  \* MERGEFORMAT </w:instrText>
    </w:r>
    <w:r>
      <w:fldChar w:fldCharType="separate"/>
    </w:r>
    <w:r w:rsidR="002029FD">
      <w:t>ECE/TRANS/WP.11/2020/12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E826" w14:textId="699C1933" w:rsidR="00023B98" w:rsidRPr="00023B98" w:rsidRDefault="00943354" w:rsidP="00023B98">
    <w:pPr>
      <w:pStyle w:val="Header"/>
      <w:jc w:val="right"/>
    </w:pPr>
    <w:r>
      <w:fldChar w:fldCharType="begin"/>
    </w:r>
    <w:r>
      <w:instrText xml:space="preserve"> TITLE  \* MERGEFORMAT </w:instrText>
    </w:r>
    <w:r>
      <w:fldChar w:fldCharType="separate"/>
    </w:r>
    <w:r w:rsidR="002029FD">
      <w:t>ECE/TRANS/WP.11/2020/12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9A"/>
    <w:rsid w:val="00017F94"/>
    <w:rsid w:val="00023842"/>
    <w:rsid w:val="00023B98"/>
    <w:rsid w:val="000334F9"/>
    <w:rsid w:val="00045FEB"/>
    <w:rsid w:val="0007796D"/>
    <w:rsid w:val="0009271E"/>
    <w:rsid w:val="000B7790"/>
    <w:rsid w:val="00111F2F"/>
    <w:rsid w:val="0014365E"/>
    <w:rsid w:val="00143C66"/>
    <w:rsid w:val="00176178"/>
    <w:rsid w:val="001F525A"/>
    <w:rsid w:val="002029FD"/>
    <w:rsid w:val="00223272"/>
    <w:rsid w:val="0024779E"/>
    <w:rsid w:val="00257168"/>
    <w:rsid w:val="002744B8"/>
    <w:rsid w:val="002832AC"/>
    <w:rsid w:val="002D7C93"/>
    <w:rsid w:val="00305801"/>
    <w:rsid w:val="0032251B"/>
    <w:rsid w:val="003560A4"/>
    <w:rsid w:val="0038279A"/>
    <w:rsid w:val="0038686A"/>
    <w:rsid w:val="003916DE"/>
    <w:rsid w:val="00421996"/>
    <w:rsid w:val="00441C3B"/>
    <w:rsid w:val="00446FE5"/>
    <w:rsid w:val="00452396"/>
    <w:rsid w:val="004837D8"/>
    <w:rsid w:val="004E2EED"/>
    <w:rsid w:val="004E468C"/>
    <w:rsid w:val="005505B7"/>
    <w:rsid w:val="00573BE5"/>
    <w:rsid w:val="00586ED3"/>
    <w:rsid w:val="00596AA9"/>
    <w:rsid w:val="005B6B07"/>
    <w:rsid w:val="00613D32"/>
    <w:rsid w:val="0071601D"/>
    <w:rsid w:val="007A62E6"/>
    <w:rsid w:val="007F20FA"/>
    <w:rsid w:val="0080684C"/>
    <w:rsid w:val="00871C75"/>
    <w:rsid w:val="008776DC"/>
    <w:rsid w:val="00933619"/>
    <w:rsid w:val="00943354"/>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233A9"/>
    <w:rsid w:val="00C97039"/>
    <w:rsid w:val="00D3439C"/>
    <w:rsid w:val="00DA3BF9"/>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415B0"/>
  <w15:docId w15:val="{985B2C78-497B-48FE-AADD-39310E83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lotric-my.sharepoint.com/personal/jure_thaler_lotric_si/Documents/atp/wp11/prikaz%20merilne%20negotovosti%20za%20doseganje%20k%20faktor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a:t>
            </a:r>
            <a:r>
              <a:rPr lang="sl-SI"/>
              <a:t>N</a:t>
            </a:r>
            <a:r>
              <a:rPr lang="sl-SI" baseline="0"/>
              <a:t> ... </a:t>
            </a:r>
            <a:r>
              <a:rPr lang="sl-SI"/>
              <a:t>K </a:t>
            </a:r>
            <a:r>
              <a:rPr lang="sl-SI" sz="1400" b="0" i="0" u="none" strike="noStrike" baseline="0"/>
              <a:t>≤ </a:t>
            </a:r>
            <a:r>
              <a:rPr lang="sl-SI"/>
              <a:t>0,7</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0555555555555555E-2"/>
          <c:y val="0.17171296296296296"/>
          <c:w val="0.93888888888888888"/>
          <c:h val="0.64773148148148152"/>
        </c:manualLayout>
      </c:layout>
      <c:lineChart>
        <c:grouping val="standard"/>
        <c:varyColors val="0"/>
        <c:ser>
          <c:idx val="1"/>
          <c:order val="0"/>
          <c:spPr>
            <a:ln w="28575" cap="rnd">
              <a:solidFill>
                <a:srgbClr val="00B050"/>
              </a:solidFill>
              <a:round/>
            </a:ln>
            <a:effectLst/>
          </c:spPr>
          <c:marker>
            <c:symbol val="none"/>
          </c:marker>
          <c:dLbls>
            <c:delete val="1"/>
          </c:dLbls>
          <c:cat>
            <c:numRef>
              <c:f>List1!$A$57:$E$57</c:f>
              <c:numCache>
                <c:formatCode>General</c:formatCode>
                <c:ptCount val="5"/>
                <c:pt idx="0">
                  <c:v>1</c:v>
                </c:pt>
                <c:pt idx="1">
                  <c:v>2</c:v>
                </c:pt>
                <c:pt idx="2">
                  <c:v>3</c:v>
                </c:pt>
                <c:pt idx="3">
                  <c:v>4</c:v>
                </c:pt>
                <c:pt idx="4">
                  <c:v>5</c:v>
                </c:pt>
              </c:numCache>
            </c:numRef>
          </c:cat>
          <c:val>
            <c:numRef>
              <c:f>List1!$A$58:$E$58</c:f>
              <c:numCache>
                <c:formatCode>General</c:formatCode>
                <c:ptCount val="5"/>
                <c:pt idx="0">
                  <c:v>0.7</c:v>
                </c:pt>
                <c:pt idx="1">
                  <c:v>0.7</c:v>
                </c:pt>
                <c:pt idx="2">
                  <c:v>0.7</c:v>
                </c:pt>
                <c:pt idx="3">
                  <c:v>0.7</c:v>
                </c:pt>
                <c:pt idx="4">
                  <c:v>0.7</c:v>
                </c:pt>
              </c:numCache>
            </c:numRef>
          </c:val>
          <c:smooth val="0"/>
          <c:extLst>
            <c:ext xmlns:c16="http://schemas.microsoft.com/office/drawing/2014/chart" uri="{C3380CC4-5D6E-409C-BE32-E72D297353CC}">
              <c16:uniqueId val="{00000000-1F90-478C-B17A-B04B3E727825}"/>
            </c:ext>
          </c:extLst>
        </c:ser>
        <c:dLbls>
          <c:showLegendKey val="0"/>
          <c:showVal val="1"/>
          <c:showCatName val="0"/>
          <c:showSerName val="0"/>
          <c:showPercent val="0"/>
          <c:showBubbleSize val="0"/>
        </c:dLbls>
        <c:marker val="1"/>
        <c:smooth val="0"/>
        <c:axId val="301283184"/>
        <c:axId val="301294336"/>
      </c:lineChart>
      <c:scatterChart>
        <c:scatterStyle val="lineMarker"/>
        <c:varyColors val="0"/>
        <c:ser>
          <c:idx val="0"/>
          <c:order val="1"/>
          <c:spPr>
            <a:ln w="25400" cap="rnd">
              <a:noFill/>
              <a:round/>
            </a:ln>
            <a:effectLst/>
          </c:spPr>
          <c:marker>
            <c:symbol val="circle"/>
            <c:size val="5"/>
            <c:spPr>
              <a:solidFill>
                <a:schemeClr val="accent1"/>
              </a:solidFill>
              <a:ln w="9525">
                <a:solidFill>
                  <a:schemeClr val="accent1"/>
                </a:solidFill>
              </a:ln>
              <a:effectLst/>
            </c:spPr>
          </c:marker>
          <c:dPt>
            <c:idx val="0"/>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1-1F90-478C-B17A-B04B3E727825}"/>
              </c:ext>
            </c:extLst>
          </c:dPt>
          <c:dPt>
            <c:idx val="1"/>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2-1F90-478C-B17A-B04B3E727825}"/>
              </c:ext>
            </c:extLst>
          </c:dPt>
          <c:dPt>
            <c:idx val="2"/>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3-1F90-478C-B17A-B04B3E727825}"/>
              </c:ext>
            </c:extLst>
          </c:dPt>
          <c:dPt>
            <c:idx val="3"/>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4-1F90-478C-B17A-B04B3E727825}"/>
              </c:ext>
            </c:extLst>
          </c:dPt>
          <c:dPt>
            <c:idx val="4"/>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5-1F90-478C-B17A-B04B3E7278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percentage"/>
            <c:noEndCap val="0"/>
            <c:val val="3"/>
            <c:spPr>
              <a:noFill/>
              <a:ln w="9525" cap="flat" cmpd="sng" algn="ctr">
                <a:solidFill>
                  <a:schemeClr val="tx1">
                    <a:lumMod val="65000"/>
                    <a:lumOff val="35000"/>
                  </a:schemeClr>
                </a:solidFill>
                <a:round/>
              </a:ln>
              <a:effectLst/>
            </c:spPr>
          </c:errBars>
          <c:xVal>
            <c:numRef>
              <c:f>List1!$A$57:$E$57</c:f>
              <c:numCache>
                <c:formatCode>General</c:formatCode>
                <c:ptCount val="5"/>
                <c:pt idx="0">
                  <c:v>1</c:v>
                </c:pt>
                <c:pt idx="1">
                  <c:v>2</c:v>
                </c:pt>
                <c:pt idx="2">
                  <c:v>3</c:v>
                </c:pt>
                <c:pt idx="3">
                  <c:v>4</c:v>
                </c:pt>
                <c:pt idx="4">
                  <c:v>5</c:v>
                </c:pt>
              </c:numCache>
            </c:numRef>
          </c:xVal>
          <c:yVal>
            <c:numRef>
              <c:f>List1!$A$55:$E$55</c:f>
              <c:numCache>
                <c:formatCode>0.000</c:formatCode>
                <c:ptCount val="5"/>
                <c:pt idx="0">
                  <c:v>0.67500000000000004</c:v>
                </c:pt>
                <c:pt idx="1">
                  <c:v>0.68500000000000005</c:v>
                </c:pt>
                <c:pt idx="2">
                  <c:v>0.7</c:v>
                </c:pt>
                <c:pt idx="3">
                  <c:v>0.71499999999999997</c:v>
                </c:pt>
                <c:pt idx="4">
                  <c:v>0.72499999999999998</c:v>
                </c:pt>
              </c:numCache>
            </c:numRef>
          </c:yVal>
          <c:smooth val="0"/>
          <c:extLst>
            <c:ext xmlns:c16="http://schemas.microsoft.com/office/drawing/2014/chart" uri="{C3380CC4-5D6E-409C-BE32-E72D297353CC}">
              <c16:uniqueId val="{00000006-1F90-478C-B17A-B04B3E727825}"/>
            </c:ext>
          </c:extLst>
        </c:ser>
        <c:dLbls>
          <c:showLegendKey val="0"/>
          <c:showVal val="1"/>
          <c:showCatName val="0"/>
          <c:showSerName val="0"/>
          <c:showPercent val="0"/>
          <c:showBubbleSize val="0"/>
        </c:dLbls>
        <c:axId val="300331600"/>
        <c:axId val="300325040"/>
      </c:scatterChart>
      <c:catAx>
        <c:axId val="301283184"/>
        <c:scaling>
          <c:orientation val="minMax"/>
        </c:scaling>
        <c:delete val="1"/>
        <c:axPos val="b"/>
        <c:numFmt formatCode="General" sourceLinked="1"/>
        <c:majorTickMark val="none"/>
        <c:minorTickMark val="none"/>
        <c:tickLblPos val="nextTo"/>
        <c:crossAx val="301294336"/>
        <c:crosses val="autoZero"/>
        <c:auto val="1"/>
        <c:lblAlgn val="ctr"/>
        <c:lblOffset val="100"/>
        <c:noMultiLvlLbl val="0"/>
      </c:catAx>
      <c:valAx>
        <c:axId val="301294336"/>
        <c:scaling>
          <c:orientation val="minMax"/>
          <c:max val="0.75000000000000011"/>
          <c:min val="0.65000000000000013"/>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01283184"/>
        <c:crosses val="autoZero"/>
        <c:crossBetween val="between"/>
      </c:valAx>
      <c:valAx>
        <c:axId val="300325040"/>
        <c:scaling>
          <c:orientation val="minMax"/>
          <c:max val="0.75000000000000011"/>
          <c:min val="0.65000000000000013"/>
        </c:scaling>
        <c:delete val="1"/>
        <c:axPos val="r"/>
        <c:numFmt formatCode="0.000" sourceLinked="1"/>
        <c:majorTickMark val="out"/>
        <c:minorTickMark val="none"/>
        <c:tickLblPos val="nextTo"/>
        <c:crossAx val="300331600"/>
        <c:crosses val="max"/>
        <c:crossBetween val="midCat"/>
      </c:valAx>
      <c:valAx>
        <c:axId val="300331600"/>
        <c:scaling>
          <c:orientation val="minMax"/>
        </c:scaling>
        <c:delete val="1"/>
        <c:axPos val="t"/>
        <c:numFmt formatCode="General" sourceLinked="1"/>
        <c:majorTickMark val="out"/>
        <c:minorTickMark val="none"/>
        <c:tickLblPos val="nextTo"/>
        <c:crossAx val="300325040"/>
        <c:crosses val="max"/>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7</Pages>
  <Words>1752</Words>
  <Characters>9988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ECE/TRANS/WP.11/2020/12</vt:lpstr>
    </vt:vector>
  </TitlesOfParts>
  <Company>DCM</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ECE/TRANS/WP.11/2020/12</dc:title>
  <dc:subject/>
  <dc:creator>Christine CHAUTAGNAT</dc:creator>
  <cp:keywords/>
  <cp:lastModifiedBy>Secretariat</cp:lastModifiedBy>
  <cp:revision>2</cp:revision>
  <cp:lastPrinted>2020-08-26T07:21:00Z</cp:lastPrinted>
  <dcterms:created xsi:type="dcterms:W3CDTF">2020-09-23T07:35:00Z</dcterms:created>
  <dcterms:modified xsi:type="dcterms:W3CDTF">2020-09-23T07:35:00Z</dcterms:modified>
</cp:coreProperties>
</file>