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FB011D5" w14:textId="77777777" w:rsidTr="00C97039">
        <w:trPr>
          <w:trHeight w:hRule="exact" w:val="851"/>
        </w:trPr>
        <w:tc>
          <w:tcPr>
            <w:tcW w:w="1276" w:type="dxa"/>
            <w:tcBorders>
              <w:bottom w:val="single" w:sz="4" w:space="0" w:color="auto"/>
            </w:tcBorders>
          </w:tcPr>
          <w:p w14:paraId="5925E9DE" w14:textId="77777777" w:rsidR="00F35BAF" w:rsidRPr="00DB58B5" w:rsidRDefault="00F35BAF" w:rsidP="00C11678">
            <w:bookmarkStart w:id="0" w:name="_GoBack"/>
            <w:bookmarkEnd w:id="0"/>
          </w:p>
        </w:tc>
        <w:tc>
          <w:tcPr>
            <w:tcW w:w="2268" w:type="dxa"/>
            <w:tcBorders>
              <w:bottom w:val="single" w:sz="4" w:space="0" w:color="auto"/>
            </w:tcBorders>
            <w:vAlign w:val="bottom"/>
          </w:tcPr>
          <w:p w14:paraId="1E89C9C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70ED938" w14:textId="77777777" w:rsidR="00F35BAF" w:rsidRPr="00DB58B5" w:rsidRDefault="00C11678" w:rsidP="00C11678">
            <w:pPr>
              <w:jc w:val="right"/>
            </w:pPr>
            <w:r w:rsidRPr="00C11678">
              <w:rPr>
                <w:sz w:val="40"/>
              </w:rPr>
              <w:t>ECE</w:t>
            </w:r>
            <w:r>
              <w:t>/TRANS/WP.11/2020/9</w:t>
            </w:r>
          </w:p>
        </w:tc>
      </w:tr>
      <w:tr w:rsidR="00F35BAF" w:rsidRPr="00DB58B5" w14:paraId="00B318A6" w14:textId="77777777" w:rsidTr="00C97039">
        <w:trPr>
          <w:trHeight w:hRule="exact" w:val="2835"/>
        </w:trPr>
        <w:tc>
          <w:tcPr>
            <w:tcW w:w="1276" w:type="dxa"/>
            <w:tcBorders>
              <w:top w:val="single" w:sz="4" w:space="0" w:color="auto"/>
              <w:bottom w:val="single" w:sz="12" w:space="0" w:color="auto"/>
            </w:tcBorders>
          </w:tcPr>
          <w:p w14:paraId="20A90613" w14:textId="77777777" w:rsidR="00F35BAF" w:rsidRPr="00DB58B5" w:rsidRDefault="00F35BAF" w:rsidP="00C97039">
            <w:pPr>
              <w:spacing w:before="120"/>
              <w:jc w:val="center"/>
            </w:pPr>
            <w:r>
              <w:rPr>
                <w:noProof/>
                <w:lang w:eastAsia="fr-CH"/>
              </w:rPr>
              <w:drawing>
                <wp:inline distT="0" distB="0" distL="0" distR="0" wp14:anchorId="60D8431B" wp14:editId="63933C3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F5ADDBF"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BF9AFDF" w14:textId="77777777" w:rsidR="00F35BAF" w:rsidRDefault="00C11678" w:rsidP="00C97039">
            <w:pPr>
              <w:spacing w:before="240"/>
            </w:pPr>
            <w:proofErr w:type="spellStart"/>
            <w:r>
              <w:t>Distr</w:t>
            </w:r>
            <w:proofErr w:type="spellEnd"/>
            <w:r>
              <w:t xml:space="preserve">. </w:t>
            </w:r>
            <w:proofErr w:type="gramStart"/>
            <w:r>
              <w:t>générale</w:t>
            </w:r>
            <w:proofErr w:type="gramEnd"/>
          </w:p>
          <w:p w14:paraId="24DCBC6E" w14:textId="77777777" w:rsidR="00C11678" w:rsidRDefault="00C11678" w:rsidP="00C11678">
            <w:pPr>
              <w:spacing w:line="240" w:lineRule="exact"/>
            </w:pPr>
            <w:r>
              <w:t>27 juillet 2020</w:t>
            </w:r>
          </w:p>
          <w:p w14:paraId="43358733" w14:textId="77777777" w:rsidR="00C11678" w:rsidRDefault="00C11678" w:rsidP="00C11678">
            <w:pPr>
              <w:spacing w:line="240" w:lineRule="exact"/>
            </w:pPr>
            <w:r>
              <w:t>Français</w:t>
            </w:r>
          </w:p>
          <w:p w14:paraId="7790950D" w14:textId="77777777" w:rsidR="00C11678" w:rsidRPr="00DB58B5" w:rsidRDefault="00C11678" w:rsidP="00C11678">
            <w:pPr>
              <w:spacing w:line="240" w:lineRule="exact"/>
            </w:pPr>
            <w:r>
              <w:t>Original : anglais</w:t>
            </w:r>
          </w:p>
        </w:tc>
      </w:tr>
    </w:tbl>
    <w:p w14:paraId="71C554C5" w14:textId="77777777" w:rsidR="007F20FA" w:rsidRPr="000312C0" w:rsidRDefault="007F20FA" w:rsidP="007F20FA">
      <w:pPr>
        <w:spacing w:before="120"/>
        <w:rPr>
          <w:b/>
          <w:sz w:val="28"/>
          <w:szCs w:val="28"/>
        </w:rPr>
      </w:pPr>
      <w:r w:rsidRPr="000312C0">
        <w:rPr>
          <w:b/>
          <w:sz w:val="28"/>
          <w:szCs w:val="28"/>
        </w:rPr>
        <w:t>Commission économique pour l</w:t>
      </w:r>
      <w:r w:rsidR="00C11678">
        <w:rPr>
          <w:b/>
          <w:sz w:val="28"/>
          <w:szCs w:val="28"/>
        </w:rPr>
        <w:t>’</w:t>
      </w:r>
      <w:r w:rsidRPr="000312C0">
        <w:rPr>
          <w:b/>
          <w:sz w:val="28"/>
          <w:szCs w:val="28"/>
        </w:rPr>
        <w:t>Europe</w:t>
      </w:r>
    </w:p>
    <w:p w14:paraId="3A51F9D0" w14:textId="77777777" w:rsidR="007F20FA" w:rsidRDefault="007F20FA" w:rsidP="007F20FA">
      <w:pPr>
        <w:spacing w:before="120"/>
        <w:rPr>
          <w:sz w:val="28"/>
          <w:szCs w:val="28"/>
        </w:rPr>
      </w:pPr>
      <w:r w:rsidRPr="00685843">
        <w:rPr>
          <w:sz w:val="28"/>
          <w:szCs w:val="28"/>
        </w:rPr>
        <w:t>Comité des transports intérieurs</w:t>
      </w:r>
    </w:p>
    <w:p w14:paraId="75E96352" w14:textId="77777777" w:rsidR="00C11678" w:rsidRPr="00685843" w:rsidRDefault="00C11678" w:rsidP="00305801">
      <w:pPr>
        <w:spacing w:before="120"/>
        <w:rPr>
          <w:b/>
          <w:sz w:val="24"/>
          <w:szCs w:val="24"/>
        </w:rPr>
      </w:pPr>
      <w:r>
        <w:rPr>
          <w:b/>
          <w:sz w:val="24"/>
          <w:szCs w:val="24"/>
        </w:rPr>
        <w:t>Groupe de travail du transport des denrées périssables</w:t>
      </w:r>
    </w:p>
    <w:p w14:paraId="15943AED" w14:textId="77777777" w:rsidR="00C11678" w:rsidRPr="0014263C" w:rsidRDefault="00C11678" w:rsidP="00C11678">
      <w:pPr>
        <w:spacing w:before="120"/>
        <w:rPr>
          <w:b/>
          <w:lang w:val="fr-FR"/>
        </w:rPr>
      </w:pPr>
      <w:r w:rsidRPr="0014263C">
        <w:rPr>
          <w:b/>
          <w:lang w:val="fr-FR"/>
        </w:rPr>
        <w:t>Soixante-seizième session</w:t>
      </w:r>
    </w:p>
    <w:p w14:paraId="72A54C91" w14:textId="77777777" w:rsidR="00C11678" w:rsidRPr="0014263C" w:rsidRDefault="00C11678" w:rsidP="00C11678">
      <w:pPr>
        <w:rPr>
          <w:lang w:val="fr-FR"/>
        </w:rPr>
      </w:pPr>
      <w:r w:rsidRPr="0014263C">
        <w:rPr>
          <w:lang w:val="fr-FR"/>
        </w:rPr>
        <w:t>Genève, 13-16 octobre 2020</w:t>
      </w:r>
    </w:p>
    <w:p w14:paraId="4A7758E7" w14:textId="77777777" w:rsidR="00C11678" w:rsidRPr="0014263C" w:rsidRDefault="00C11678" w:rsidP="00C11678">
      <w:pPr>
        <w:rPr>
          <w:lang w:val="fr-FR"/>
        </w:rPr>
      </w:pPr>
      <w:r w:rsidRPr="0014263C">
        <w:rPr>
          <w:lang w:val="fr-FR"/>
        </w:rPr>
        <w:t>Point 5 f) de l</w:t>
      </w:r>
      <w:r>
        <w:rPr>
          <w:lang w:val="fr-FR"/>
        </w:rPr>
        <w:t>’</w:t>
      </w:r>
      <w:r w:rsidRPr="0014263C">
        <w:rPr>
          <w:lang w:val="fr-FR"/>
        </w:rPr>
        <w:t>ordre du jour provisoire</w:t>
      </w:r>
    </w:p>
    <w:p w14:paraId="5F9A6411" w14:textId="77777777" w:rsidR="00F9573C" w:rsidRDefault="00C11678" w:rsidP="00C11678">
      <w:pPr>
        <w:spacing w:line="276" w:lineRule="auto"/>
        <w:rPr>
          <w:b/>
          <w:bCs/>
          <w:lang w:val="fr-FR"/>
        </w:rPr>
      </w:pPr>
      <w:r w:rsidRPr="0014263C">
        <w:rPr>
          <w:b/>
          <w:bCs/>
          <w:lang w:val="fr-FR"/>
        </w:rPr>
        <w:t>État et mise en œuvre de l</w:t>
      </w:r>
      <w:r>
        <w:rPr>
          <w:b/>
          <w:bCs/>
          <w:lang w:val="fr-FR"/>
        </w:rPr>
        <w:t>’</w:t>
      </w:r>
      <w:r w:rsidRPr="0014263C">
        <w:rPr>
          <w:b/>
          <w:bCs/>
          <w:lang w:val="fr-FR"/>
        </w:rPr>
        <w:t xml:space="preserve">Accord relatif aux transports </w:t>
      </w:r>
      <w:r>
        <w:rPr>
          <w:b/>
          <w:bCs/>
          <w:lang w:val="fr-FR"/>
        </w:rPr>
        <w:br/>
      </w:r>
      <w:r w:rsidRPr="0014263C">
        <w:rPr>
          <w:b/>
          <w:bCs/>
          <w:lang w:val="fr-FR"/>
        </w:rPr>
        <w:t xml:space="preserve">internationaux de denrées périssables et aux engins </w:t>
      </w:r>
      <w:r>
        <w:rPr>
          <w:b/>
          <w:bCs/>
          <w:lang w:val="fr-FR"/>
        </w:rPr>
        <w:br/>
      </w:r>
      <w:proofErr w:type="gramStart"/>
      <w:r w:rsidRPr="0014263C">
        <w:rPr>
          <w:b/>
          <w:bCs/>
          <w:lang w:val="fr-FR"/>
        </w:rPr>
        <w:t>spéciaux</w:t>
      </w:r>
      <w:proofErr w:type="gramEnd"/>
      <w:r w:rsidRPr="0014263C">
        <w:rPr>
          <w:b/>
          <w:bCs/>
          <w:lang w:val="fr-FR"/>
        </w:rPr>
        <w:t xml:space="preserve"> à utiliser pour ces transports (ATP)</w:t>
      </w:r>
      <w:r>
        <w:rPr>
          <w:b/>
          <w:bCs/>
          <w:lang w:val="fr-FR"/>
        </w:rPr>
        <w:t> </w:t>
      </w:r>
      <w:r w:rsidRPr="0014263C">
        <w:rPr>
          <w:b/>
          <w:bCs/>
          <w:lang w:val="fr-FR"/>
        </w:rPr>
        <w:t>:</w:t>
      </w:r>
      <w:r>
        <w:rPr>
          <w:b/>
          <w:bCs/>
          <w:lang w:val="fr-FR"/>
        </w:rPr>
        <w:br/>
      </w:r>
      <w:r w:rsidRPr="0014263C">
        <w:rPr>
          <w:b/>
          <w:bCs/>
          <w:lang w:val="fr-FR"/>
        </w:rPr>
        <w:t>Interprétation de l</w:t>
      </w:r>
      <w:r>
        <w:rPr>
          <w:b/>
          <w:bCs/>
          <w:lang w:val="fr-FR"/>
        </w:rPr>
        <w:t>’</w:t>
      </w:r>
      <w:r w:rsidRPr="0014263C">
        <w:rPr>
          <w:b/>
          <w:bCs/>
          <w:lang w:val="fr-FR"/>
        </w:rPr>
        <w:t>ATP</w:t>
      </w:r>
    </w:p>
    <w:p w14:paraId="40FDCB53" w14:textId="77777777" w:rsidR="00C11678" w:rsidRDefault="00C11678" w:rsidP="00C11678">
      <w:pPr>
        <w:pStyle w:val="HChG"/>
        <w:rPr>
          <w:lang w:val="fr-FR"/>
        </w:rPr>
      </w:pPr>
      <w:r w:rsidRPr="0014263C">
        <w:rPr>
          <w:lang w:val="fr-FR"/>
        </w:rPr>
        <w:tab/>
      </w:r>
      <w:r w:rsidRPr="0014263C">
        <w:rPr>
          <w:lang w:val="fr-FR"/>
        </w:rPr>
        <w:tab/>
      </w:r>
      <w:r>
        <w:rPr>
          <w:lang w:val="fr-FR"/>
        </w:rPr>
        <w:t xml:space="preserve">Essai de descente en température pour les engins </w:t>
      </w:r>
      <w:r>
        <w:rPr>
          <w:lang w:val="fr-FR"/>
        </w:rPr>
        <w:br/>
        <w:t xml:space="preserve">à températures et compartiments multiples </w:t>
      </w:r>
      <w:r>
        <w:rPr>
          <w:lang w:val="fr-FR"/>
        </w:rPr>
        <w:br/>
        <w:t xml:space="preserve">− alinéa iii) du paragraphe 6.2.1 de l’appendice 2 </w:t>
      </w:r>
      <w:r>
        <w:rPr>
          <w:lang w:val="fr-FR"/>
        </w:rPr>
        <w:br/>
        <w:t>de l’annexe 1 de l’ATP</w:t>
      </w:r>
    </w:p>
    <w:p w14:paraId="636DFF40" w14:textId="77777777" w:rsidR="00C11678" w:rsidRPr="0014263C" w:rsidRDefault="00C11678" w:rsidP="00C11678">
      <w:pPr>
        <w:pStyle w:val="H1G"/>
        <w:rPr>
          <w:lang w:val="fr-FR"/>
        </w:rPr>
      </w:pPr>
      <w:r w:rsidRPr="0014263C">
        <w:rPr>
          <w:lang w:val="fr-FR"/>
        </w:rPr>
        <w:tab/>
      </w:r>
      <w:r w:rsidRPr="0014263C">
        <w:rPr>
          <w:lang w:val="fr-FR"/>
        </w:rPr>
        <w:tab/>
      </w:r>
      <w:r>
        <w:rPr>
          <w:lang w:val="fr-FR"/>
        </w:rPr>
        <w:t xml:space="preserve">Communication du Gouvernement finlandais </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C11678" w14:paraId="4F9D5C84" w14:textId="77777777">
        <w:trPr>
          <w:jc w:val="center"/>
        </w:trPr>
        <w:tc>
          <w:tcPr>
            <w:tcW w:w="9637" w:type="dxa"/>
            <w:shd w:val="clear" w:color="auto" w:fill="auto"/>
          </w:tcPr>
          <w:p w14:paraId="0DE61AC3" w14:textId="77777777" w:rsidR="00C11678" w:rsidRDefault="00C11678">
            <w:pPr>
              <w:spacing w:before="240" w:after="120"/>
              <w:ind w:left="255"/>
              <w:rPr>
                <w:i/>
                <w:sz w:val="24"/>
              </w:rPr>
            </w:pPr>
            <w:r>
              <w:rPr>
                <w:i/>
                <w:sz w:val="24"/>
              </w:rPr>
              <w:t>Résumé</w:t>
            </w:r>
          </w:p>
        </w:tc>
      </w:tr>
      <w:tr w:rsidR="00C11678" w14:paraId="23DA7A19" w14:textId="77777777">
        <w:trPr>
          <w:jc w:val="center"/>
        </w:trPr>
        <w:tc>
          <w:tcPr>
            <w:tcW w:w="9637" w:type="dxa"/>
            <w:shd w:val="clear" w:color="auto" w:fill="auto"/>
          </w:tcPr>
          <w:p w14:paraId="62F31E33" w14:textId="77777777" w:rsidR="00C11678" w:rsidRDefault="00C11678" w:rsidP="00C11678">
            <w:pPr>
              <w:pStyle w:val="SingleTxtG"/>
              <w:ind w:left="2523" w:hanging="2268"/>
            </w:pPr>
            <w:r w:rsidRPr="00C11678">
              <w:rPr>
                <w:b/>
                <w:lang w:val="fr-FR"/>
              </w:rPr>
              <w:t>Résumé analytique</w:t>
            </w:r>
            <w:r>
              <w:rPr>
                <w:b/>
                <w:lang w:val="fr-FR"/>
              </w:rPr>
              <w:t> </w:t>
            </w:r>
            <w:r w:rsidRPr="00C11678">
              <w:rPr>
                <w:lang w:val="fr-FR"/>
              </w:rPr>
              <w:t>:</w:t>
            </w:r>
            <w:r w:rsidRPr="00C11678">
              <w:rPr>
                <w:lang w:val="fr-FR"/>
              </w:rPr>
              <w:tab/>
              <w:t>Il s</w:t>
            </w:r>
            <w:r>
              <w:rPr>
                <w:lang w:val="fr-FR"/>
              </w:rPr>
              <w:t>’</w:t>
            </w:r>
            <w:r w:rsidRPr="00C11678">
              <w:rPr>
                <w:lang w:val="fr-FR"/>
              </w:rPr>
              <w:t>agit d</w:t>
            </w:r>
            <w:r>
              <w:rPr>
                <w:lang w:val="fr-FR"/>
              </w:rPr>
              <w:t>’</w:t>
            </w:r>
            <w:r w:rsidRPr="00C11678">
              <w:rPr>
                <w:lang w:val="fr-FR"/>
              </w:rPr>
              <w:t>engager une discussion qui permettra de préciser les conditions de l</w:t>
            </w:r>
            <w:r>
              <w:rPr>
                <w:lang w:val="fr-FR"/>
              </w:rPr>
              <w:t>’</w:t>
            </w:r>
            <w:r w:rsidRPr="00C11678">
              <w:rPr>
                <w:lang w:val="fr-FR"/>
              </w:rPr>
              <w:t>essai de descente en température pour les engins à températures et compartiments multiples.</w:t>
            </w:r>
          </w:p>
        </w:tc>
      </w:tr>
      <w:tr w:rsidR="00C11678" w14:paraId="5C4CB4F8" w14:textId="77777777">
        <w:trPr>
          <w:jc w:val="center"/>
        </w:trPr>
        <w:tc>
          <w:tcPr>
            <w:tcW w:w="9637" w:type="dxa"/>
            <w:shd w:val="clear" w:color="auto" w:fill="auto"/>
          </w:tcPr>
          <w:p w14:paraId="0F8AD652" w14:textId="77777777" w:rsidR="00C11678" w:rsidRPr="00C11678" w:rsidRDefault="00C11678" w:rsidP="00C11678">
            <w:pPr>
              <w:pStyle w:val="SingleTxtG"/>
              <w:ind w:left="2523" w:hanging="2268"/>
              <w:rPr>
                <w:b/>
                <w:lang w:val="fr-FR"/>
              </w:rPr>
            </w:pPr>
            <w:r w:rsidRPr="00C11678">
              <w:rPr>
                <w:b/>
                <w:lang w:val="fr-FR"/>
              </w:rPr>
              <w:t>Mesure à prendre</w:t>
            </w:r>
            <w:r>
              <w:rPr>
                <w:b/>
                <w:lang w:val="fr-FR"/>
              </w:rPr>
              <w:t> </w:t>
            </w:r>
            <w:r w:rsidRPr="00C11678">
              <w:rPr>
                <w:bCs/>
                <w:lang w:val="fr-FR"/>
              </w:rPr>
              <w:t>:</w:t>
            </w:r>
            <w:r w:rsidRPr="00C11678">
              <w:rPr>
                <w:b/>
                <w:lang w:val="fr-FR"/>
              </w:rPr>
              <w:tab/>
            </w:r>
            <w:r w:rsidRPr="00C11678">
              <w:rPr>
                <w:bCs/>
                <w:lang w:val="fr-FR"/>
              </w:rPr>
              <w:t>Déterminer les bonnes pratiques à ajouter en tant qu</w:t>
            </w:r>
            <w:r>
              <w:rPr>
                <w:bCs/>
                <w:lang w:val="fr-FR"/>
              </w:rPr>
              <w:t>’</w:t>
            </w:r>
            <w:r w:rsidRPr="00C11678">
              <w:rPr>
                <w:bCs/>
                <w:lang w:val="fr-FR"/>
              </w:rPr>
              <w:t>observations dans le Manuel ATP et, plus tard, dans l</w:t>
            </w:r>
            <w:r>
              <w:rPr>
                <w:bCs/>
                <w:lang w:val="fr-FR"/>
              </w:rPr>
              <w:t>’</w:t>
            </w:r>
            <w:r w:rsidRPr="00C11678">
              <w:rPr>
                <w:bCs/>
                <w:lang w:val="fr-FR"/>
              </w:rPr>
              <w:t>ATP lui-même.</w:t>
            </w:r>
          </w:p>
        </w:tc>
      </w:tr>
      <w:tr w:rsidR="00C11678" w14:paraId="50F60A73" w14:textId="77777777">
        <w:trPr>
          <w:jc w:val="center"/>
        </w:trPr>
        <w:tc>
          <w:tcPr>
            <w:tcW w:w="9637" w:type="dxa"/>
            <w:shd w:val="clear" w:color="auto" w:fill="auto"/>
          </w:tcPr>
          <w:p w14:paraId="05C77C3E" w14:textId="77777777" w:rsidR="00C11678" w:rsidRPr="00C11678" w:rsidRDefault="00C11678" w:rsidP="00C11678">
            <w:pPr>
              <w:pStyle w:val="SingleTxtG"/>
              <w:ind w:left="2523" w:hanging="2268"/>
              <w:rPr>
                <w:b/>
                <w:lang w:val="fr-FR"/>
              </w:rPr>
            </w:pPr>
            <w:r w:rsidRPr="00C11678">
              <w:rPr>
                <w:b/>
                <w:lang w:val="fr-FR"/>
              </w:rPr>
              <w:t>Documents connexes</w:t>
            </w:r>
            <w:r>
              <w:rPr>
                <w:b/>
                <w:lang w:val="fr-FR"/>
              </w:rPr>
              <w:t> </w:t>
            </w:r>
            <w:r w:rsidRPr="00C11678">
              <w:rPr>
                <w:bCs/>
                <w:lang w:val="fr-FR"/>
              </w:rPr>
              <w:t>:</w:t>
            </w:r>
            <w:r w:rsidRPr="00C11678">
              <w:rPr>
                <w:b/>
                <w:lang w:val="fr-FR"/>
              </w:rPr>
              <w:tab/>
            </w:r>
            <w:r w:rsidRPr="00C11678">
              <w:rPr>
                <w:bCs/>
                <w:lang w:val="fr-FR"/>
              </w:rPr>
              <w:t>Alinéa iii) du paragraphe 6.2.1 de l</w:t>
            </w:r>
            <w:r>
              <w:rPr>
                <w:bCs/>
                <w:lang w:val="fr-FR"/>
              </w:rPr>
              <w:t>’</w:t>
            </w:r>
            <w:r w:rsidRPr="00C11678">
              <w:rPr>
                <w:bCs/>
                <w:lang w:val="fr-FR"/>
              </w:rPr>
              <w:t>appendice 2 de l</w:t>
            </w:r>
            <w:r>
              <w:rPr>
                <w:bCs/>
                <w:lang w:val="fr-FR"/>
              </w:rPr>
              <w:t>’</w:t>
            </w:r>
            <w:r w:rsidRPr="00C11678">
              <w:rPr>
                <w:bCs/>
                <w:lang w:val="fr-FR"/>
              </w:rPr>
              <w:t>annexe 1 de l</w:t>
            </w:r>
            <w:r>
              <w:rPr>
                <w:bCs/>
                <w:lang w:val="fr-FR"/>
              </w:rPr>
              <w:t>’</w:t>
            </w:r>
            <w:r w:rsidRPr="00C11678">
              <w:rPr>
                <w:bCs/>
                <w:lang w:val="fr-FR"/>
              </w:rPr>
              <w:t>ATP.</w:t>
            </w:r>
          </w:p>
        </w:tc>
      </w:tr>
      <w:tr w:rsidR="00C11678" w14:paraId="180AE238" w14:textId="77777777">
        <w:trPr>
          <w:jc w:val="center"/>
        </w:trPr>
        <w:tc>
          <w:tcPr>
            <w:tcW w:w="9637" w:type="dxa"/>
            <w:shd w:val="clear" w:color="auto" w:fill="auto"/>
          </w:tcPr>
          <w:p w14:paraId="09FBB2E6" w14:textId="77777777" w:rsidR="00C11678" w:rsidRDefault="00C11678"/>
        </w:tc>
      </w:tr>
    </w:tbl>
    <w:p w14:paraId="74954ED0" w14:textId="77777777" w:rsidR="00C11678" w:rsidRPr="0014263C" w:rsidRDefault="00C11678" w:rsidP="00C11678">
      <w:pPr>
        <w:pStyle w:val="HChG"/>
        <w:rPr>
          <w:lang w:val="fr-FR"/>
        </w:rPr>
      </w:pPr>
      <w:r w:rsidRPr="0014263C">
        <w:rPr>
          <w:lang w:val="fr-FR"/>
        </w:rPr>
        <w:tab/>
      </w:r>
      <w:r w:rsidRPr="0014263C">
        <w:rPr>
          <w:lang w:val="fr-FR"/>
        </w:rPr>
        <w:tab/>
        <w:t>Introduction</w:t>
      </w:r>
    </w:p>
    <w:p w14:paraId="1EFD84EA" w14:textId="77777777" w:rsidR="00C11678" w:rsidRDefault="00C11678" w:rsidP="00C11678">
      <w:pPr>
        <w:pStyle w:val="SingleTxtG"/>
        <w:rPr>
          <w:lang w:val="fr-FR"/>
        </w:rPr>
      </w:pPr>
      <w:r w:rsidRPr="0014263C">
        <w:rPr>
          <w:lang w:val="fr-FR"/>
        </w:rPr>
        <w:t>1.</w:t>
      </w:r>
      <w:r w:rsidRPr="0014263C">
        <w:rPr>
          <w:lang w:val="fr-FR"/>
        </w:rPr>
        <w:tab/>
      </w:r>
      <w:r>
        <w:rPr>
          <w:lang w:val="fr-FR"/>
        </w:rPr>
        <w:t>Un amendement à l’alinéa iii) du paragraphe 6.2.1 de l’appendice 2 de l’annexe 1 de l’ATP est entré en vigueur le 6 juillet 2020. Ce nouvel alinéa décrit l’essai de descente en température pour les engins à températures et compartiments multiples.</w:t>
      </w:r>
    </w:p>
    <w:p w14:paraId="7EE0C884" w14:textId="77777777" w:rsidR="00C11678" w:rsidRDefault="00C11678" w:rsidP="00C11678">
      <w:pPr>
        <w:pStyle w:val="SingleTxtG"/>
        <w:rPr>
          <w:lang w:val="fr-FR"/>
        </w:rPr>
      </w:pPr>
      <w:r w:rsidRPr="0014263C">
        <w:rPr>
          <w:lang w:val="fr-FR"/>
        </w:rPr>
        <w:t>2.</w:t>
      </w:r>
      <w:r w:rsidRPr="0014263C">
        <w:rPr>
          <w:lang w:val="fr-FR"/>
        </w:rPr>
        <w:tab/>
      </w:r>
      <w:r>
        <w:rPr>
          <w:lang w:val="fr-FR"/>
        </w:rPr>
        <w:t>L’essai consiste essentiellement à porter simultanément tous les compartiments à la température de classe, à savoir -20 °C dans la plupart des cas, après avoir mis en place la ou les cloisons, si elles sont mobiles. Cette partie de l’essai est concluante si tous les compartiments atteignent la température de classe dans le délai indiqué dans le tableau figurant à l’alinéa i) du paragraphe 6.2.1.</w:t>
      </w:r>
    </w:p>
    <w:p w14:paraId="1079630C" w14:textId="77777777" w:rsidR="00C11678" w:rsidRDefault="00C11678" w:rsidP="00C11678">
      <w:pPr>
        <w:pStyle w:val="SingleTxtG"/>
        <w:rPr>
          <w:lang w:val="fr-FR"/>
        </w:rPr>
      </w:pPr>
      <w:r w:rsidRPr="0014263C">
        <w:rPr>
          <w:lang w:val="fr-FR"/>
        </w:rPr>
        <w:lastRenderedPageBreak/>
        <w:t>3.</w:t>
      </w:r>
      <w:r w:rsidRPr="0014263C">
        <w:rPr>
          <w:lang w:val="fr-FR"/>
        </w:rPr>
        <w:tab/>
      </w:r>
      <w:r>
        <w:rPr>
          <w:lang w:val="fr-FR"/>
        </w:rPr>
        <w:t>Dans la pratique, les compartiments ne refroidissent pas tous au même rythme, et on ne précise pas ce qu’il faut faire avec les compartiments qui ont atteint en premier la température de classe en attendant que les autres continuent de descendre en température. On peut s’attendre à ce que le refroidissement de compartiments déjà froids ait une incidence négative sur la puissance de refroidissement disponible pour les compartiments qui n’ont pas encore atteint la température de classe.</w:t>
      </w:r>
    </w:p>
    <w:p w14:paraId="1BD976D6" w14:textId="77777777" w:rsidR="00C11678" w:rsidRPr="0014263C" w:rsidRDefault="00C11678" w:rsidP="00C11678">
      <w:pPr>
        <w:pStyle w:val="HChG"/>
        <w:rPr>
          <w:lang w:val="fr-FR"/>
        </w:rPr>
      </w:pPr>
      <w:r w:rsidRPr="0014263C">
        <w:rPr>
          <w:lang w:val="fr-FR"/>
        </w:rPr>
        <w:tab/>
      </w:r>
      <w:r w:rsidRPr="0014263C">
        <w:rPr>
          <w:lang w:val="fr-FR"/>
        </w:rPr>
        <w:tab/>
        <w:t>Propos</w:t>
      </w:r>
      <w:r>
        <w:rPr>
          <w:lang w:val="fr-FR"/>
        </w:rPr>
        <w:t>ition</w:t>
      </w:r>
    </w:p>
    <w:p w14:paraId="00B0C16B" w14:textId="77777777" w:rsidR="00C11678" w:rsidRDefault="00C11678" w:rsidP="00C11678">
      <w:pPr>
        <w:pStyle w:val="SingleTxtG"/>
        <w:rPr>
          <w:lang w:val="fr-FR"/>
        </w:rPr>
      </w:pPr>
      <w:r w:rsidRPr="0014263C">
        <w:rPr>
          <w:lang w:val="fr-FR"/>
        </w:rPr>
        <w:t>4.</w:t>
      </w:r>
      <w:r w:rsidRPr="0014263C">
        <w:rPr>
          <w:lang w:val="fr-FR"/>
        </w:rPr>
        <w:tab/>
      </w:r>
      <w:r>
        <w:rPr>
          <w:lang w:val="fr-FR"/>
        </w:rPr>
        <w:t>Aucune proposition n’est faite</w:t>
      </w:r>
      <w:r w:rsidRPr="0014263C">
        <w:rPr>
          <w:lang w:val="fr-FR"/>
        </w:rPr>
        <w:t xml:space="preserve">. </w:t>
      </w:r>
      <w:r>
        <w:rPr>
          <w:lang w:val="fr-FR"/>
        </w:rPr>
        <w:t>Les pays qui jouissent d’une grande expérience des engins à températures et compartiments multiples pourraient avoir des solutions pratiques à proposer ou des conseils à donner.</w:t>
      </w:r>
    </w:p>
    <w:p w14:paraId="17F8D8E6" w14:textId="77777777" w:rsidR="00C11678" w:rsidRPr="0014263C" w:rsidRDefault="00C11678" w:rsidP="00C11678">
      <w:pPr>
        <w:pStyle w:val="HChG"/>
        <w:rPr>
          <w:lang w:val="fr-FR"/>
        </w:rPr>
      </w:pPr>
      <w:r w:rsidRPr="0014263C">
        <w:rPr>
          <w:lang w:val="fr-FR"/>
        </w:rPr>
        <w:tab/>
      </w:r>
      <w:r w:rsidRPr="0014263C">
        <w:rPr>
          <w:lang w:val="fr-FR"/>
        </w:rPr>
        <w:tab/>
        <w:t>Justification</w:t>
      </w:r>
    </w:p>
    <w:p w14:paraId="40A5BDC8" w14:textId="77777777" w:rsidR="00C11678" w:rsidRPr="0014263C" w:rsidRDefault="00C11678" w:rsidP="00C11678">
      <w:pPr>
        <w:pStyle w:val="SingleTxtG"/>
        <w:rPr>
          <w:lang w:val="fr-FR"/>
        </w:rPr>
      </w:pPr>
      <w:r w:rsidRPr="0014263C">
        <w:rPr>
          <w:lang w:val="fr-FR"/>
        </w:rPr>
        <w:t>5.</w:t>
      </w:r>
      <w:r w:rsidRPr="0014263C">
        <w:rPr>
          <w:lang w:val="fr-FR"/>
        </w:rPr>
        <w:tab/>
      </w:r>
      <w:r>
        <w:rPr>
          <w:lang w:val="fr-FR"/>
        </w:rPr>
        <w:t>Les procédures claires réduisent les litiges et les coûts et favorisent l’égalité de traitement des clients, en particulier si le délai mesuré pour la descente en température est proche de la limite fixée pour l’homologation. Les détails techniques du fonctionnement des groupes frigorifiques aux températures proches du point de consigne doivent être pris en compte.</w:t>
      </w:r>
    </w:p>
    <w:p w14:paraId="316E78E9" w14:textId="77777777" w:rsidR="00C11678" w:rsidRPr="0014263C" w:rsidRDefault="00C11678" w:rsidP="00C11678">
      <w:pPr>
        <w:pStyle w:val="HChG"/>
        <w:rPr>
          <w:lang w:val="fr-FR"/>
        </w:rPr>
      </w:pPr>
      <w:r w:rsidRPr="0014263C">
        <w:rPr>
          <w:lang w:val="fr-FR"/>
        </w:rPr>
        <w:tab/>
      </w:r>
      <w:r w:rsidRPr="0014263C">
        <w:rPr>
          <w:lang w:val="fr-FR"/>
        </w:rPr>
        <w:tab/>
        <w:t>Co</w:t>
      </w:r>
      <w:r>
        <w:rPr>
          <w:lang w:val="fr-FR"/>
        </w:rPr>
        <w:t>û</w:t>
      </w:r>
      <w:r w:rsidRPr="0014263C">
        <w:rPr>
          <w:lang w:val="fr-FR"/>
        </w:rPr>
        <w:t>t</w:t>
      </w:r>
    </w:p>
    <w:p w14:paraId="76215D4E" w14:textId="77777777" w:rsidR="00C11678" w:rsidRPr="0014263C" w:rsidRDefault="00C11678" w:rsidP="00C11678">
      <w:pPr>
        <w:pStyle w:val="SingleTxtG"/>
        <w:rPr>
          <w:lang w:val="fr-FR"/>
        </w:rPr>
      </w:pPr>
      <w:r w:rsidRPr="0014263C">
        <w:rPr>
          <w:lang w:val="fr-FR"/>
        </w:rPr>
        <w:t>6.</w:t>
      </w:r>
      <w:r w:rsidRPr="0014263C">
        <w:rPr>
          <w:lang w:val="fr-FR"/>
        </w:rPr>
        <w:tab/>
      </w:r>
      <w:r>
        <w:rPr>
          <w:lang w:val="fr-FR"/>
        </w:rPr>
        <w:t>Il n’y a pas de coût supplémentaire à prévoir</w:t>
      </w:r>
      <w:r w:rsidRPr="0014263C">
        <w:rPr>
          <w:lang w:val="fr-FR"/>
        </w:rPr>
        <w:t>.</w:t>
      </w:r>
    </w:p>
    <w:p w14:paraId="7905714B" w14:textId="77777777" w:rsidR="00C11678" w:rsidRPr="00C11678" w:rsidRDefault="00C11678" w:rsidP="00C11678">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C11678" w:rsidRPr="00C11678" w:rsidSect="00C1167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7FF92" w14:textId="77777777" w:rsidR="00DB27D4" w:rsidRDefault="00DB27D4" w:rsidP="00F95C08">
      <w:pPr>
        <w:spacing w:line="240" w:lineRule="auto"/>
      </w:pPr>
    </w:p>
  </w:endnote>
  <w:endnote w:type="continuationSeparator" w:id="0">
    <w:p w14:paraId="6B68F61A" w14:textId="77777777" w:rsidR="00DB27D4" w:rsidRPr="00AC3823" w:rsidRDefault="00DB27D4" w:rsidP="00AC3823">
      <w:pPr>
        <w:pStyle w:val="Footer"/>
      </w:pPr>
    </w:p>
  </w:endnote>
  <w:endnote w:type="continuationNotice" w:id="1">
    <w:p w14:paraId="4D37611B" w14:textId="77777777" w:rsidR="00DB27D4" w:rsidRDefault="00DB27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5107B" w14:textId="77777777" w:rsidR="00C11678" w:rsidRPr="00C11678" w:rsidRDefault="00C11678" w:rsidP="00C11678">
    <w:pPr>
      <w:pStyle w:val="Footer"/>
      <w:tabs>
        <w:tab w:val="right" w:pos="9638"/>
      </w:tabs>
    </w:pPr>
    <w:r w:rsidRPr="00C11678">
      <w:rPr>
        <w:b/>
        <w:sz w:val="18"/>
      </w:rPr>
      <w:fldChar w:fldCharType="begin"/>
    </w:r>
    <w:r w:rsidRPr="00C11678">
      <w:rPr>
        <w:b/>
        <w:sz w:val="18"/>
      </w:rPr>
      <w:instrText xml:space="preserve"> PAGE  \* MERGEFORMAT </w:instrText>
    </w:r>
    <w:r w:rsidRPr="00C11678">
      <w:rPr>
        <w:b/>
        <w:sz w:val="18"/>
      </w:rPr>
      <w:fldChar w:fldCharType="separate"/>
    </w:r>
    <w:r w:rsidRPr="00C11678">
      <w:rPr>
        <w:b/>
        <w:noProof/>
        <w:sz w:val="18"/>
      </w:rPr>
      <w:t>2</w:t>
    </w:r>
    <w:r w:rsidRPr="00C11678">
      <w:rPr>
        <w:b/>
        <w:sz w:val="18"/>
      </w:rPr>
      <w:fldChar w:fldCharType="end"/>
    </w:r>
    <w:r>
      <w:rPr>
        <w:b/>
        <w:sz w:val="18"/>
      </w:rPr>
      <w:tab/>
    </w:r>
    <w:r>
      <w:t>GE.20-10048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4421A" w14:textId="77777777" w:rsidR="00C11678" w:rsidRPr="00C11678" w:rsidRDefault="00C11678" w:rsidP="00C11678">
    <w:pPr>
      <w:pStyle w:val="Footer"/>
      <w:tabs>
        <w:tab w:val="right" w:pos="9638"/>
      </w:tabs>
      <w:rPr>
        <w:b/>
        <w:sz w:val="18"/>
      </w:rPr>
    </w:pPr>
    <w:r>
      <w:t>GE.20-10048</w:t>
    </w:r>
    <w:r>
      <w:tab/>
    </w:r>
    <w:r w:rsidRPr="00C11678">
      <w:rPr>
        <w:b/>
        <w:sz w:val="18"/>
      </w:rPr>
      <w:fldChar w:fldCharType="begin"/>
    </w:r>
    <w:r w:rsidRPr="00C11678">
      <w:rPr>
        <w:b/>
        <w:sz w:val="18"/>
      </w:rPr>
      <w:instrText xml:space="preserve"> PAGE  \* MERGEFORMAT </w:instrText>
    </w:r>
    <w:r w:rsidRPr="00C11678">
      <w:rPr>
        <w:b/>
        <w:sz w:val="18"/>
      </w:rPr>
      <w:fldChar w:fldCharType="separate"/>
    </w:r>
    <w:r w:rsidRPr="00C11678">
      <w:rPr>
        <w:b/>
        <w:noProof/>
        <w:sz w:val="18"/>
      </w:rPr>
      <w:t>3</w:t>
    </w:r>
    <w:r w:rsidRPr="00C1167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15057" w14:textId="77777777" w:rsidR="007F20FA" w:rsidRPr="00C11678" w:rsidRDefault="00C11678" w:rsidP="00C11678">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E2F2BF" wp14:editId="1B8743D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10048  (</w:t>
    </w:r>
    <w:proofErr w:type="gramEnd"/>
    <w:r>
      <w:rPr>
        <w:sz w:val="20"/>
      </w:rPr>
      <w:t>F)    260820    260820</w:t>
    </w:r>
    <w:r>
      <w:rPr>
        <w:sz w:val="20"/>
      </w:rPr>
      <w:br/>
    </w:r>
    <w:r w:rsidRPr="00C11678">
      <w:rPr>
        <w:rFonts w:ascii="C39T30Lfz" w:hAnsi="C39T30Lfz"/>
        <w:sz w:val="56"/>
      </w:rPr>
      <w:t>*2010048*</w:t>
    </w:r>
    <w:r>
      <w:rPr>
        <w:noProof/>
        <w:sz w:val="20"/>
      </w:rPr>
      <w:drawing>
        <wp:anchor distT="0" distB="0" distL="114300" distR="114300" simplePos="0" relativeHeight="251658240" behindDoc="0" locked="0" layoutInCell="1" allowOverlap="1" wp14:anchorId="2F420FEE" wp14:editId="1469F73A">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93EC1" w14:textId="77777777" w:rsidR="00DB27D4" w:rsidRPr="00AC3823" w:rsidRDefault="00DB27D4" w:rsidP="00AC3823">
      <w:pPr>
        <w:pStyle w:val="Footer"/>
        <w:tabs>
          <w:tab w:val="right" w:pos="2155"/>
        </w:tabs>
        <w:spacing w:after="80" w:line="240" w:lineRule="atLeast"/>
        <w:ind w:left="680"/>
        <w:rPr>
          <w:u w:val="single"/>
        </w:rPr>
      </w:pPr>
      <w:r>
        <w:rPr>
          <w:u w:val="single"/>
        </w:rPr>
        <w:tab/>
      </w:r>
    </w:p>
  </w:footnote>
  <w:footnote w:type="continuationSeparator" w:id="0">
    <w:p w14:paraId="007739A1" w14:textId="77777777" w:rsidR="00DB27D4" w:rsidRPr="00AC3823" w:rsidRDefault="00DB27D4" w:rsidP="00AC3823">
      <w:pPr>
        <w:pStyle w:val="Footer"/>
        <w:tabs>
          <w:tab w:val="right" w:pos="2155"/>
        </w:tabs>
        <w:spacing w:after="80" w:line="240" w:lineRule="atLeast"/>
        <w:ind w:left="680"/>
        <w:rPr>
          <w:u w:val="single"/>
        </w:rPr>
      </w:pPr>
      <w:r>
        <w:rPr>
          <w:u w:val="single"/>
        </w:rPr>
        <w:tab/>
      </w:r>
    </w:p>
  </w:footnote>
  <w:footnote w:type="continuationNotice" w:id="1">
    <w:p w14:paraId="59A3713F" w14:textId="77777777" w:rsidR="00DB27D4" w:rsidRPr="00AC3823" w:rsidRDefault="00DB27D4">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C6204" w14:textId="77777777" w:rsidR="00C11678" w:rsidRPr="00C11678" w:rsidRDefault="00EB6E97">
    <w:pPr>
      <w:pStyle w:val="Header"/>
    </w:pPr>
    <w:r>
      <w:fldChar w:fldCharType="begin"/>
    </w:r>
    <w:r>
      <w:instrText xml:space="preserve"> TITLE  \* MERGEFORMAT </w:instrText>
    </w:r>
    <w:r>
      <w:fldChar w:fldCharType="separate"/>
    </w:r>
    <w:r w:rsidR="00C11678">
      <w:t>ECE/TRANS/WP.11/2020/9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EB875" w14:textId="77777777" w:rsidR="00C11678" w:rsidRPr="00C11678" w:rsidRDefault="00EB6E97" w:rsidP="00C11678">
    <w:pPr>
      <w:pStyle w:val="Header"/>
      <w:jc w:val="right"/>
    </w:pPr>
    <w:r>
      <w:fldChar w:fldCharType="begin"/>
    </w:r>
    <w:r>
      <w:instrText xml:space="preserve"> TITLE  \* MERGEFORMAT </w:instrText>
    </w:r>
    <w:r>
      <w:fldChar w:fldCharType="separate"/>
    </w:r>
    <w:r w:rsidR="00C11678">
      <w:t>ECE/TRANS/WP.11/2020/9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7D4"/>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601AF"/>
    <w:rsid w:val="003916DE"/>
    <w:rsid w:val="00421996"/>
    <w:rsid w:val="00441C3B"/>
    <w:rsid w:val="00446FE5"/>
    <w:rsid w:val="00452396"/>
    <w:rsid w:val="004837D8"/>
    <w:rsid w:val="004E2EED"/>
    <w:rsid w:val="004E468C"/>
    <w:rsid w:val="005505B7"/>
    <w:rsid w:val="00573BE5"/>
    <w:rsid w:val="00586ED3"/>
    <w:rsid w:val="00596AA9"/>
    <w:rsid w:val="0071601D"/>
    <w:rsid w:val="007A62E6"/>
    <w:rsid w:val="007D0541"/>
    <w:rsid w:val="007F20FA"/>
    <w:rsid w:val="0080684C"/>
    <w:rsid w:val="00871C75"/>
    <w:rsid w:val="008776DC"/>
    <w:rsid w:val="009446C0"/>
    <w:rsid w:val="009705C8"/>
    <w:rsid w:val="009C1CF4"/>
    <w:rsid w:val="009F6B74"/>
    <w:rsid w:val="00A3029F"/>
    <w:rsid w:val="00A30353"/>
    <w:rsid w:val="00AC3823"/>
    <w:rsid w:val="00AE323C"/>
    <w:rsid w:val="00AF0CB5"/>
    <w:rsid w:val="00B00181"/>
    <w:rsid w:val="00B00B0D"/>
    <w:rsid w:val="00B45F2E"/>
    <w:rsid w:val="00B765F7"/>
    <w:rsid w:val="00BA0CA9"/>
    <w:rsid w:val="00C02897"/>
    <w:rsid w:val="00C11678"/>
    <w:rsid w:val="00C24705"/>
    <w:rsid w:val="00C97039"/>
    <w:rsid w:val="00D3439C"/>
    <w:rsid w:val="00DB1831"/>
    <w:rsid w:val="00DB27D4"/>
    <w:rsid w:val="00DD3BFD"/>
    <w:rsid w:val="00DF6678"/>
    <w:rsid w:val="00E0299A"/>
    <w:rsid w:val="00E85C74"/>
    <w:rsid w:val="00EA6547"/>
    <w:rsid w:val="00EB6E9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C82771"/>
  <w15:docId w15:val="{D09FFC4B-EB30-43A8-BAC1-0B524B20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C11678"/>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06866-0025-411B-9DD1-587B5F0D0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ECE/TRANS/WP.11/2020/9</vt:lpstr>
    </vt:vector>
  </TitlesOfParts>
  <Company>DCM</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ECE/TRANS/WP.11/2020/9</dc:title>
  <dc:subject/>
  <dc:creator>Sandrine CLERE</dc:creator>
  <cp:keywords/>
  <cp:lastModifiedBy>Secretariat</cp:lastModifiedBy>
  <cp:revision>2</cp:revision>
  <cp:lastPrinted>2014-05-14T10:59:00Z</cp:lastPrinted>
  <dcterms:created xsi:type="dcterms:W3CDTF">2020-09-23T07:30:00Z</dcterms:created>
  <dcterms:modified xsi:type="dcterms:W3CDTF">2020-09-23T07:30:00Z</dcterms:modified>
</cp:coreProperties>
</file>