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516092" w14:textId="77777777" w:rsidTr="005F3E60">
        <w:trPr>
          <w:trHeight w:hRule="exact" w:val="851"/>
        </w:trPr>
        <w:tc>
          <w:tcPr>
            <w:tcW w:w="142" w:type="dxa"/>
            <w:tcBorders>
              <w:bottom w:val="single" w:sz="4" w:space="0" w:color="auto"/>
            </w:tcBorders>
          </w:tcPr>
          <w:p w14:paraId="219A870C" w14:textId="77777777" w:rsidR="002D5AAC" w:rsidRDefault="002D5AAC" w:rsidP="00A74AD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3BABF4" w14:textId="77777777" w:rsidR="002D5AAC" w:rsidRPr="00BD33EE" w:rsidRDefault="00DF71B9" w:rsidP="005F3E60">
            <w:pPr>
              <w:spacing w:after="80" w:line="300" w:lineRule="exact"/>
              <w:jc w:val="right"/>
              <w:rPr>
                <w:sz w:val="28"/>
              </w:rPr>
            </w:pPr>
            <w:r>
              <w:rPr>
                <w:sz w:val="28"/>
              </w:rPr>
              <w:t>Организация Объединенных Наций</w:t>
            </w:r>
          </w:p>
        </w:tc>
        <w:tc>
          <w:tcPr>
            <w:tcW w:w="4961" w:type="dxa"/>
            <w:gridSpan w:val="2"/>
            <w:tcBorders>
              <w:bottom w:val="single" w:sz="4" w:space="0" w:color="auto"/>
            </w:tcBorders>
            <w:vAlign w:val="bottom"/>
          </w:tcPr>
          <w:p w14:paraId="4C408C40" w14:textId="77777777" w:rsidR="002D5AAC" w:rsidRDefault="00A74AD3" w:rsidP="00A74AD3">
            <w:pPr>
              <w:jc w:val="right"/>
            </w:pPr>
            <w:r w:rsidRPr="00A74AD3">
              <w:rPr>
                <w:sz w:val="40"/>
              </w:rPr>
              <w:t>ECE</w:t>
            </w:r>
            <w:r>
              <w:t>/TRANS/WP.11/2020/5</w:t>
            </w:r>
          </w:p>
        </w:tc>
      </w:tr>
      <w:tr w:rsidR="002D5AAC" w:rsidRPr="00E01FBA" w14:paraId="0CD6F90B" w14:textId="77777777" w:rsidTr="00387CD4">
        <w:trPr>
          <w:trHeight w:hRule="exact" w:val="2835"/>
        </w:trPr>
        <w:tc>
          <w:tcPr>
            <w:tcW w:w="1280" w:type="dxa"/>
            <w:gridSpan w:val="2"/>
            <w:tcBorders>
              <w:top w:val="single" w:sz="4" w:space="0" w:color="auto"/>
              <w:bottom w:val="single" w:sz="12" w:space="0" w:color="auto"/>
            </w:tcBorders>
          </w:tcPr>
          <w:p w14:paraId="43F29B67" w14:textId="77777777" w:rsidR="002D5AAC" w:rsidRDefault="002E5067" w:rsidP="00387CD4">
            <w:pPr>
              <w:spacing w:before="120"/>
              <w:jc w:val="center"/>
            </w:pPr>
            <w:r>
              <w:rPr>
                <w:noProof/>
                <w:lang w:val="fr-CH" w:eastAsia="fr-CH"/>
              </w:rPr>
              <w:drawing>
                <wp:inline distT="0" distB="0" distL="0" distR="0" wp14:anchorId="148DFAFD" wp14:editId="25E271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409A8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27429C5" w14:textId="77777777" w:rsidR="002D5AAC" w:rsidRDefault="00A74AD3" w:rsidP="00387CD4">
            <w:pPr>
              <w:spacing w:before="240"/>
              <w:rPr>
                <w:lang w:val="en-US"/>
              </w:rPr>
            </w:pPr>
            <w:r>
              <w:rPr>
                <w:lang w:val="en-US"/>
              </w:rPr>
              <w:t>Distr.: General</w:t>
            </w:r>
          </w:p>
          <w:p w14:paraId="7D733B69" w14:textId="77777777" w:rsidR="00A74AD3" w:rsidRDefault="00A74AD3" w:rsidP="00A74AD3">
            <w:pPr>
              <w:spacing w:line="240" w:lineRule="exact"/>
              <w:rPr>
                <w:lang w:val="en-US"/>
              </w:rPr>
            </w:pPr>
            <w:r>
              <w:rPr>
                <w:lang w:val="en-US"/>
              </w:rPr>
              <w:t>24 January 2020</w:t>
            </w:r>
          </w:p>
          <w:p w14:paraId="48BB2AF9" w14:textId="77777777" w:rsidR="00A74AD3" w:rsidRDefault="00A74AD3" w:rsidP="00A74AD3">
            <w:pPr>
              <w:spacing w:line="240" w:lineRule="exact"/>
              <w:rPr>
                <w:lang w:val="en-US"/>
              </w:rPr>
            </w:pPr>
            <w:r>
              <w:rPr>
                <w:lang w:val="en-US"/>
              </w:rPr>
              <w:t>Russian</w:t>
            </w:r>
          </w:p>
          <w:p w14:paraId="4F6C67CD" w14:textId="77777777" w:rsidR="00A74AD3" w:rsidRPr="008D53B6" w:rsidRDefault="00A74AD3" w:rsidP="00A74AD3">
            <w:pPr>
              <w:spacing w:line="240" w:lineRule="exact"/>
              <w:rPr>
                <w:lang w:val="en-US"/>
              </w:rPr>
            </w:pPr>
            <w:r>
              <w:rPr>
                <w:lang w:val="en-US"/>
              </w:rPr>
              <w:t>Original: English</w:t>
            </w:r>
          </w:p>
        </w:tc>
      </w:tr>
    </w:tbl>
    <w:p w14:paraId="2E1CDF1B" w14:textId="77777777" w:rsidR="00A74AD3" w:rsidRDefault="008A37C8" w:rsidP="00255343">
      <w:pPr>
        <w:spacing w:before="120"/>
        <w:rPr>
          <w:b/>
          <w:sz w:val="28"/>
          <w:szCs w:val="28"/>
        </w:rPr>
      </w:pPr>
      <w:r w:rsidRPr="00245892">
        <w:rPr>
          <w:b/>
          <w:sz w:val="28"/>
          <w:szCs w:val="28"/>
        </w:rPr>
        <w:t>Европейская экономическая комиссия</w:t>
      </w:r>
    </w:p>
    <w:p w14:paraId="24A7ECEC" w14:textId="77777777" w:rsidR="00A74AD3" w:rsidRPr="006D3F9A" w:rsidRDefault="00A74AD3" w:rsidP="00A74AD3">
      <w:pPr>
        <w:spacing w:before="120"/>
        <w:rPr>
          <w:sz w:val="28"/>
          <w:szCs w:val="28"/>
        </w:rPr>
      </w:pPr>
      <w:r w:rsidRPr="006D3F9A">
        <w:rPr>
          <w:sz w:val="28"/>
          <w:szCs w:val="28"/>
        </w:rPr>
        <w:t>Комитет по внутреннему транспорту</w:t>
      </w:r>
    </w:p>
    <w:p w14:paraId="5938D29B" w14:textId="77777777" w:rsidR="00A74AD3" w:rsidRPr="006D3F9A" w:rsidRDefault="00A74AD3" w:rsidP="00A74AD3">
      <w:pPr>
        <w:spacing w:before="120"/>
        <w:rPr>
          <w:b/>
          <w:sz w:val="24"/>
          <w:szCs w:val="24"/>
        </w:rPr>
      </w:pPr>
      <w:r w:rsidRPr="006D3F9A">
        <w:rPr>
          <w:b/>
          <w:bCs/>
          <w:sz w:val="24"/>
          <w:szCs w:val="24"/>
        </w:rPr>
        <w:t xml:space="preserve">Рабочая группа по перевозкам скоропортящихся </w:t>
      </w:r>
      <w:r>
        <w:rPr>
          <w:b/>
          <w:bCs/>
          <w:sz w:val="24"/>
          <w:szCs w:val="24"/>
        </w:rPr>
        <w:br/>
      </w:r>
      <w:r w:rsidRPr="006D3F9A">
        <w:rPr>
          <w:b/>
          <w:bCs/>
          <w:sz w:val="24"/>
          <w:szCs w:val="24"/>
        </w:rPr>
        <w:t>пищевых продуктов</w:t>
      </w:r>
    </w:p>
    <w:p w14:paraId="73F458FA" w14:textId="77777777" w:rsidR="00A74AD3" w:rsidRPr="00157B00" w:rsidRDefault="00A74AD3" w:rsidP="00A74AD3">
      <w:pPr>
        <w:spacing w:before="120"/>
        <w:rPr>
          <w:b/>
        </w:rPr>
      </w:pPr>
      <w:r>
        <w:rPr>
          <w:b/>
          <w:bCs/>
        </w:rPr>
        <w:t>Семьдесят шестая сессия</w:t>
      </w:r>
    </w:p>
    <w:p w14:paraId="00065267" w14:textId="77777777" w:rsidR="00A74AD3" w:rsidRPr="00157B00" w:rsidRDefault="00A74AD3" w:rsidP="00A74AD3">
      <w:r>
        <w:t>Женева, 7−9 апреля 2020 года</w:t>
      </w:r>
    </w:p>
    <w:p w14:paraId="0D93FC55" w14:textId="77777777" w:rsidR="00A74AD3" w:rsidRPr="00157B00" w:rsidRDefault="00A74AD3" w:rsidP="00A74AD3">
      <w:r>
        <w:t>Пункт 6 a) предварительной повестки дня</w:t>
      </w:r>
    </w:p>
    <w:p w14:paraId="0144043A" w14:textId="77777777" w:rsidR="00A74AD3" w:rsidRPr="00157B00" w:rsidRDefault="00A74AD3" w:rsidP="00A74AD3">
      <w:pPr>
        <w:spacing w:line="276" w:lineRule="auto"/>
        <w:rPr>
          <w:b/>
        </w:rPr>
      </w:pPr>
      <w:r>
        <w:rPr>
          <w:b/>
          <w:bCs/>
        </w:rPr>
        <w:t>Предложения по поправкам к СПС:</w:t>
      </w:r>
      <w:r>
        <w:rPr>
          <w:b/>
          <w:bCs/>
        </w:rPr>
        <w:br/>
        <w:t>предложения, по которым еще не приняты решения</w:t>
      </w:r>
    </w:p>
    <w:p w14:paraId="2962E0CF" w14:textId="77777777" w:rsidR="00A74AD3" w:rsidRPr="00157B00" w:rsidRDefault="00A74AD3" w:rsidP="00A74AD3">
      <w:pPr>
        <w:pStyle w:val="HChG"/>
      </w:pPr>
      <w:r>
        <w:tab/>
      </w:r>
      <w:r>
        <w:tab/>
      </w:r>
      <w:r>
        <w:rPr>
          <w:bCs/>
        </w:rPr>
        <w:t xml:space="preserve">Поправки к пунктам 3.2.6 и 4.3.4 </w:t>
      </w:r>
      <w:proofErr w:type="spellStart"/>
      <w:r>
        <w:rPr>
          <w:bCs/>
        </w:rPr>
        <w:t>ii</w:t>
      </w:r>
      <w:proofErr w:type="spellEnd"/>
      <w:r>
        <w:rPr>
          <w:bCs/>
        </w:rPr>
        <w:t>) добавления 2 к</w:t>
      </w:r>
      <w:r>
        <w:rPr>
          <w:bCs/>
          <w:lang w:val="en-US"/>
        </w:rPr>
        <w:t> </w:t>
      </w:r>
      <w:r>
        <w:rPr>
          <w:bCs/>
        </w:rPr>
        <w:t xml:space="preserve">приложению 1, к добавлению 3 к приложению 1 </w:t>
      </w:r>
      <w:r>
        <w:rPr>
          <w:bCs/>
        </w:rPr>
        <w:br/>
        <w:t>и к Справочнику СПС</w:t>
      </w:r>
    </w:p>
    <w:p w14:paraId="51572E46" w14:textId="77777777" w:rsidR="00A74AD3" w:rsidRPr="00157B00" w:rsidRDefault="00A74AD3" w:rsidP="00A74AD3">
      <w:pPr>
        <w:pStyle w:val="H1G"/>
      </w:pPr>
      <w:r>
        <w:tab/>
      </w:r>
      <w:r>
        <w:tab/>
      </w:r>
      <w:r>
        <w:rPr>
          <w:bCs/>
        </w:rPr>
        <w:t>Передано правительством Соединенного Королевства</w:t>
      </w:r>
    </w:p>
    <w:p w14:paraId="189714BA" w14:textId="77777777" w:rsidR="00A74AD3" w:rsidRPr="00157B00" w:rsidRDefault="00A74AD3" w:rsidP="00A74AD3">
      <w:pPr>
        <w:pStyle w:val="HChG"/>
      </w:pPr>
      <w:r>
        <w:tab/>
      </w:r>
      <w:r>
        <w:tab/>
      </w:r>
      <w:r>
        <w:rPr>
          <w:bCs/>
        </w:rPr>
        <w:t>Введение</w:t>
      </w:r>
    </w:p>
    <w:p w14:paraId="7702E4E8" w14:textId="77777777" w:rsidR="00A74AD3" w:rsidRPr="00157B00" w:rsidRDefault="00A74AD3" w:rsidP="00A74AD3">
      <w:pPr>
        <w:pStyle w:val="SingleTxtG"/>
      </w:pPr>
      <w:r>
        <w:t>1.</w:t>
      </w:r>
      <w:r>
        <w:tab/>
        <w:t>Несмотря на то</w:t>
      </w:r>
      <w:r w:rsidR="00E01FBA">
        <w:t>,</w:t>
      </w:r>
      <w:r>
        <w:t xml:space="preserve"> что для безопасной перевозки скоропортящихся грузов в транспортных средствах-рефрижераторах</w:t>
      </w:r>
      <w:r w:rsidRPr="00EB206A">
        <w:t xml:space="preserve"> </w:t>
      </w:r>
      <w:r>
        <w:t>вторичный хладагент имеет важнейшее значение, тем не менее в настоящее время в СПС никаких требований в отношении расхода воздуха</w:t>
      </w:r>
      <w:r w:rsidRPr="00EB206A">
        <w:t xml:space="preserve"> </w:t>
      </w:r>
      <w:r>
        <w:t xml:space="preserve">не предусмотрено. </w:t>
      </w:r>
    </w:p>
    <w:p w14:paraId="4514811B" w14:textId="77777777" w:rsidR="00A74AD3" w:rsidRPr="00157B00" w:rsidRDefault="00A74AD3" w:rsidP="00A74AD3">
      <w:pPr>
        <w:pStyle w:val="SingleTxtG"/>
      </w:pPr>
      <w:r>
        <w:t>2.</w:t>
      </w:r>
      <w:r>
        <w:tab/>
        <w:t xml:space="preserve">Согласно существующему тексту, измерение расхода воздуха представляется факультативным. Первое предложение пункта 4.3.4 </w:t>
      </w:r>
      <w:proofErr w:type="spellStart"/>
      <w:r>
        <w:t>iii</w:t>
      </w:r>
      <w:proofErr w:type="spellEnd"/>
      <w:r>
        <w:t xml:space="preserve">) добавления 2 к приложению 1 сформулировано следующим образом: </w:t>
      </w:r>
    </w:p>
    <w:p w14:paraId="3EA9C725" w14:textId="77777777" w:rsidR="00A74AD3" w:rsidRPr="00A63B2B" w:rsidRDefault="00A74AD3" w:rsidP="00A74AD3">
      <w:pPr>
        <w:pStyle w:val="SingleTxtG"/>
        <w:ind w:left="1701"/>
      </w:pPr>
      <w:r>
        <w:t>«Для измерения расхода воздуха, рассеиваемого вентиляторами испарителя в холодильной установке, должны использоваться методы, позволяющие измерить общий объем подачи воздуха».</w:t>
      </w:r>
    </w:p>
    <w:p w14:paraId="1249A438" w14:textId="77777777" w:rsidR="00A74AD3" w:rsidRPr="00157B00" w:rsidRDefault="00A74AD3" w:rsidP="00A74AD3">
      <w:pPr>
        <w:pStyle w:val="SingleTxtG"/>
      </w:pPr>
      <w:r>
        <w:t>3.</w:t>
      </w:r>
      <w:r>
        <w:tab/>
        <w:t>Предложение Соединенного Королевства (ECE/TRANS/WP.11/2012/5), предусматривающее изменение редакции положений, регламентирующих измерение расхода воздуха, было представлено на шестьдесят восьмой сессии. Оно не было принято, поскольку проверка параметров потока воздуха, указанных изготовителями, не предусмотрена. Для разработки пересмотренного предложения в следующем году было предложено создать соответствующую рабочую группу.</w:t>
      </w:r>
    </w:p>
    <w:p w14:paraId="2E2DC0A7" w14:textId="77777777" w:rsidR="00A74AD3" w:rsidRPr="00157B00" w:rsidRDefault="00A74AD3" w:rsidP="00A74AD3">
      <w:pPr>
        <w:pStyle w:val="SingleTxtG"/>
      </w:pPr>
      <w:r>
        <w:t>4.</w:t>
      </w:r>
      <w:r>
        <w:tab/>
        <w:t>Соединенное Королевство представило неофициальный документ (INF.5) для его обсуждения на шестьдесят девятой сессии WP.11, в связи с чем ему было предложено сформировать соответствующую неофициальную рабочую группу.</w:t>
      </w:r>
    </w:p>
    <w:p w14:paraId="2C448503" w14:textId="77777777" w:rsidR="00A74AD3" w:rsidRPr="00157B00" w:rsidRDefault="00A74AD3" w:rsidP="00A74AD3">
      <w:pPr>
        <w:pStyle w:val="SingleTxtG"/>
      </w:pPr>
      <w:r>
        <w:lastRenderedPageBreak/>
        <w:t>5.</w:t>
      </w:r>
      <w:r>
        <w:tab/>
        <w:t>Впоследствии Соединенное Королевства представило рабочий документ (ECE/TRANS/WP.11/2014/15, часть А), который был принят на семидесятой сессии WP.11.</w:t>
      </w:r>
    </w:p>
    <w:p w14:paraId="5BAF7C5C" w14:textId="77777777" w:rsidR="00A74AD3" w:rsidRPr="00157B00" w:rsidRDefault="00A74AD3" w:rsidP="00A74AD3">
      <w:pPr>
        <w:pStyle w:val="SingleTxtG"/>
      </w:pPr>
      <w:r>
        <w:t>6.</w:t>
      </w:r>
      <w:r>
        <w:tab/>
        <w:t>17 сентября 2015 года правительство Финляндии высказало возражение против</w:t>
      </w:r>
      <w:r>
        <w:rPr>
          <w:lang w:val="en-US"/>
        </w:rPr>
        <w:t> </w:t>
      </w:r>
      <w:r>
        <w:t>предложенной поправки к пункту 2.3.6 добавления 2 к приложению 1 (C.N.</w:t>
      </w:r>
      <w:proofErr w:type="gramStart"/>
      <w:r>
        <w:t>481.2015.TREATIES</w:t>
      </w:r>
      <w:proofErr w:type="gramEnd"/>
      <w:r>
        <w:t xml:space="preserve">-X1.B.22) (предложение по поводу требования, касающегося расхода воздуха  на уровне 60-кратного воздухообмена). Возражение касалось только этого предложения и не затрагивало других. </w:t>
      </w:r>
    </w:p>
    <w:p w14:paraId="7642BF11" w14:textId="77777777" w:rsidR="00A74AD3" w:rsidRPr="00157B00" w:rsidRDefault="00A74AD3" w:rsidP="00A74AD3">
      <w:pPr>
        <w:pStyle w:val="SingleTxtG"/>
      </w:pPr>
      <w:r>
        <w:t>7.</w:t>
      </w:r>
      <w:r>
        <w:tab/>
        <w:t>На семьдесят пятой сессии WP</w:t>
      </w:r>
      <w:r w:rsidR="00E01FBA">
        <w:t>.</w:t>
      </w:r>
      <w:r>
        <w:t xml:space="preserve">11 был представлен обновленный вариант этого предложения, однако по нему были высказаны возражения со стороны Германии по поводу таблицы для Справочника СПС, со своей стороны Чешская Республика выразила озабоченность по поводу небольших испарителей с </w:t>
      </w:r>
      <w:proofErr w:type="spellStart"/>
      <w:r>
        <w:t>мультитемпературным</w:t>
      </w:r>
      <w:proofErr w:type="spellEnd"/>
      <w:r>
        <w:t xml:space="preserve"> режимом на прицепах, а Финляндия сообщила от имени финских производителей и промышленности, что она по-прежнему выражает озабоченность по поводу этого предложения. Делегация Великобритании приняла эти замечания к сведению и представила измененную версию, которая, как можно надеяться, удовлетворит все стороны.</w:t>
      </w:r>
    </w:p>
    <w:p w14:paraId="79A8F3B9" w14:textId="77777777" w:rsidR="00A74AD3" w:rsidRPr="00157B00" w:rsidRDefault="00A74AD3" w:rsidP="00A74AD3">
      <w:pPr>
        <w:pStyle w:val="SingleTxtG"/>
      </w:pPr>
      <w:r>
        <w:t>8.</w:t>
      </w:r>
      <w:r>
        <w:tab/>
        <w:t xml:space="preserve">Таблица для справочника была сокращена и сделана более подходящей для целей СПС, было представлено больше базовой информации о небольших испарителях в </w:t>
      </w:r>
      <w:proofErr w:type="spellStart"/>
      <w:r>
        <w:t>мультитемпературной</w:t>
      </w:r>
      <w:proofErr w:type="spellEnd"/>
      <w:r>
        <w:t xml:space="preserve"> установке, которые, как можно надеяться, найдут поддержку со стороны Чешской Республики, и были установлены контакты с финскими компетентными органами на предмет представления информации о причинах возражения со стороны представителей промышленности, однако на данный момент никакой дополнительной информации получено не было.</w:t>
      </w:r>
    </w:p>
    <w:p w14:paraId="619AE67C" w14:textId="77777777" w:rsidR="00A74AD3" w:rsidRPr="006830F4" w:rsidRDefault="00A74AD3" w:rsidP="00A74AD3">
      <w:pPr>
        <w:pStyle w:val="HChG"/>
      </w:pPr>
      <w:r>
        <w:tab/>
      </w:r>
      <w:r>
        <w:tab/>
      </w:r>
      <w:r>
        <w:rPr>
          <w:bCs/>
        </w:rPr>
        <w:t>Дополнительная информация по небольшим испарителям</w:t>
      </w:r>
    </w:p>
    <w:p w14:paraId="0E88FAA4" w14:textId="77777777" w:rsidR="00A74AD3" w:rsidRPr="00157B00" w:rsidRDefault="00A74AD3" w:rsidP="00A74AD3">
      <w:pPr>
        <w:pStyle w:val="SingleTxtG"/>
      </w:pPr>
      <w:r>
        <w:t>9.</w:t>
      </w:r>
      <w:r>
        <w:tab/>
        <w:t>Нижеследующий раздел имеет целью разъяснить замечание по поводу того, что предложенное Соединенным Королевством требование, касающееся минимального воздухообмена, может привести к введению ограничений на меньшие испарители. На</w:t>
      </w:r>
      <w:r>
        <w:rPr>
          <w:lang w:val="en-US"/>
        </w:rPr>
        <w:t> </w:t>
      </w:r>
      <w:r>
        <w:t xml:space="preserve">основе всех данных, доступных для </w:t>
      </w:r>
      <w:r w:rsidRPr="004F04B4">
        <w:t>СРТ</w:t>
      </w:r>
      <w:r>
        <w:t xml:space="preserve"> из протоколов испытаний СПС, выданных некоторыми испытательными станциями, были рассчитаны максимально допустимые объемы отделений для </w:t>
      </w:r>
      <w:proofErr w:type="spellStart"/>
      <w:r>
        <w:t>мультитемпературных</w:t>
      </w:r>
      <w:proofErr w:type="spellEnd"/>
      <w:r>
        <w:t xml:space="preserve"> испарителей. Предполагалось, что все такие устройства будут устанавливаться в прицепах, что служило бы соответствующим ограничением, которое позволило бы облегчить расчет потребности в мощности. </w:t>
      </w:r>
    </w:p>
    <w:p w14:paraId="38042604" w14:textId="77777777" w:rsidR="00A74AD3" w:rsidRDefault="00A74AD3" w:rsidP="00A74AD3">
      <w:pPr>
        <w:pStyle w:val="SingleTxtG"/>
      </w:pPr>
      <w:r>
        <w:t>10.</w:t>
      </w:r>
      <w:r>
        <w:tab/>
        <w:t xml:space="preserve">Изначально максимально допустимый объем для каждого испарителя рассчитывался путем деления потока воздуха, заявленного производителем, на 40, что является предлагаемым минимальным </w:t>
      </w:r>
      <w:r w:rsidRPr="005578E1">
        <w:t>числом циклов</w:t>
      </w:r>
      <w:r>
        <w:t xml:space="preserve"> воздухообмена в час. Площадь внутренней поверхности используется в части 7 добавления 2 к приложению 1 для определения требований к мощности. С учетом этого внутренняя длина была рассчитана на основе внутренней ширины и высоты 2,5 м и 2,6 м соответственно, что представляет собой типичные значения для рассматриваемого оборудования. В этой связи использовалась нижеследующая формула:</w:t>
      </w:r>
    </w:p>
    <w:p w14:paraId="12334963" w14:textId="77777777" w:rsidR="00A74AD3" w:rsidRDefault="0089750B" w:rsidP="00A74AD3">
      <w:pPr>
        <w:pStyle w:val="SingleTxtG"/>
      </w:pPr>
      <m:oMathPara>
        <m:oMath>
          <m:sSub>
            <m:sSubPr>
              <m:ctrlPr>
                <w:rPr>
                  <w:rFonts w:ascii="Cambria Math" w:hAnsi="Cambria Math"/>
                  <w:i/>
                </w:rPr>
              </m:ctrlPr>
            </m:sSubPr>
            <m:e>
              <m:r>
                <w:rPr>
                  <w:rFonts w:ascii="Cambria Math" w:hAnsi="Cambria Math"/>
                </w:rPr>
                <m:t>l</m:t>
              </m:r>
            </m:e>
            <m:sub>
              <m:r>
                <w:rPr>
                  <w:rFonts w:ascii="Cambria Math" w:hAnsi="Cambria Math"/>
                </w:rPr>
                <m:t>int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max</m:t>
                  </m:r>
                </m:sub>
              </m:sSub>
            </m:num>
            <m:den>
              <m:sSub>
                <m:sSubPr>
                  <m:ctrlPr>
                    <w:rPr>
                      <w:rFonts w:ascii="Cambria Math" w:hAnsi="Cambria Math"/>
                      <w:i/>
                    </w:rPr>
                  </m:ctrlPr>
                </m:sSubPr>
                <m:e>
                  <m:r>
                    <w:rPr>
                      <w:rFonts w:ascii="Cambria Math" w:hAnsi="Cambria Math"/>
                    </w:rPr>
                    <m:t>w</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int</m:t>
                  </m:r>
                </m:sub>
              </m:sSub>
            </m:den>
          </m:f>
          <m:r>
            <w:rPr>
              <w:rFonts w:ascii="Cambria Math" w:hAnsi="Cambria Math"/>
            </w:rPr>
            <m:t xml:space="preserve"> </m:t>
          </m:r>
        </m:oMath>
      </m:oMathPara>
    </w:p>
    <w:p w14:paraId="54931DF3" w14:textId="77777777" w:rsidR="00A74AD3" w:rsidRPr="00157B00" w:rsidRDefault="00A74AD3" w:rsidP="00A74AD3">
      <w:pPr>
        <w:pStyle w:val="SingleTxtG"/>
      </w:pPr>
      <w:r>
        <w:t>11.</w:t>
      </w:r>
      <w:r>
        <w:tab/>
        <w:t>Для определения потребности в мощности были сделаны следующие допущения:</w:t>
      </w:r>
    </w:p>
    <w:p w14:paraId="2AF0DBF4" w14:textId="77777777" w:rsidR="00A74AD3" w:rsidRPr="006241FC" w:rsidRDefault="00A74AD3" w:rsidP="00A74AD3">
      <w:pPr>
        <w:pStyle w:val="SingleTxtG"/>
        <w:ind w:firstLine="567"/>
      </w:pPr>
      <w:r>
        <w:t>a)</w:t>
      </w:r>
      <w:r>
        <w:tab/>
        <w:t>значение К кузова:</w:t>
      </w:r>
      <w:r w:rsidRPr="00557B00">
        <w:t xml:space="preserve"> </w:t>
      </w:r>
      <w:r w:rsidRPr="009442AF">
        <w:t>0,40 Вт·м-2·K-1</w:t>
      </w:r>
      <w:r>
        <w:t>;</w:t>
      </w:r>
    </w:p>
    <w:p w14:paraId="7532EFF6" w14:textId="77777777" w:rsidR="00A74AD3" w:rsidRPr="00157B00" w:rsidRDefault="00A74AD3" w:rsidP="00A74AD3">
      <w:pPr>
        <w:pStyle w:val="SingleTxtG"/>
        <w:ind w:firstLine="567"/>
      </w:pPr>
      <w:r>
        <w:t>b)</w:t>
      </w:r>
      <w:r>
        <w:tab/>
        <w:t>стационарная поперечная перегородка с днищем из АСП, значение</w:t>
      </w:r>
      <w:r>
        <w:rPr>
          <w:lang w:val="en-US"/>
        </w:rPr>
        <w:t> </w:t>
      </w:r>
      <w:r>
        <w:t>K: 1,5 </w:t>
      </w:r>
      <w:r w:rsidRPr="009442AF">
        <w:t>Вт·м-2·K-1</w:t>
      </w:r>
      <w:r w:rsidRPr="006241FC">
        <w:t xml:space="preserve"> </w:t>
      </w:r>
      <w:r>
        <w:t>в соответствии с таблицей, содержащейся в пункте 7.3.7 добавления 2 к приложению 1;</w:t>
      </w:r>
    </w:p>
    <w:p w14:paraId="3E2CA5C8" w14:textId="77777777" w:rsidR="00A74AD3" w:rsidRPr="00157B00" w:rsidRDefault="00A74AD3" w:rsidP="00A74AD3">
      <w:pPr>
        <w:pStyle w:val="SingleTxtG"/>
        <w:ind w:firstLine="567"/>
      </w:pPr>
      <w:bookmarkStart w:id="0" w:name="_GoBack"/>
      <w:bookmarkEnd w:id="0"/>
      <w:r>
        <w:lastRenderedPageBreak/>
        <w:t>c)</w:t>
      </w:r>
      <w:r>
        <w:tab/>
        <w:t>с</w:t>
      </w:r>
      <w:r w:rsidRPr="00557B00">
        <w:t xml:space="preserve">читается, что </w:t>
      </w:r>
      <w:r>
        <w:t xml:space="preserve">низкотемпературная </w:t>
      </w:r>
      <w:r w:rsidRPr="00557B00">
        <w:t>камера</w:t>
      </w:r>
      <w:r>
        <w:t xml:space="preserve"> имеет одну расположенную рядом охлаждаемую камеру.</w:t>
      </w:r>
    </w:p>
    <w:p w14:paraId="51E0B568" w14:textId="77777777" w:rsidR="00A74AD3" w:rsidRPr="00157B00" w:rsidRDefault="00A74AD3" w:rsidP="00A74AD3">
      <w:pPr>
        <w:pStyle w:val="SingleTxtG"/>
      </w:pPr>
      <w:r>
        <w:t>После этого была рассчитана вместимость при F = 1,75:</w:t>
      </w:r>
    </w:p>
    <w:p w14:paraId="349C491F" w14:textId="77777777" w:rsidR="00A74AD3" w:rsidRDefault="0089750B" w:rsidP="00A74AD3">
      <w:pPr>
        <w:pStyle w:val="SingleTxtG"/>
      </w:pPr>
      <m:oMathPara>
        <m:oMath>
          <m:sSub>
            <m:sSubPr>
              <m:ctrlPr>
                <w:rPr>
                  <w:rFonts w:ascii="Cambria Math" w:hAnsi="Cambria Math"/>
                  <w:i/>
                </w:rPr>
              </m:ctrlPr>
            </m:sSubPr>
            <m:e>
              <m:r>
                <w:rPr>
                  <w:rFonts w:ascii="Cambria Math" w:hAnsi="Cambria Math"/>
                </w:rPr>
                <m:t>Q</m:t>
              </m:r>
            </m:e>
            <m:sub>
              <m:r>
                <w:rPr>
                  <w:rFonts w:ascii="Cambria Math" w:hAnsi="Cambria Math"/>
                </w:rPr>
                <m:t>min</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ΔT</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m:t>
              </m:r>
              <m:sSub>
                <m:sSubPr>
                  <m:ctrlPr>
                    <w:rPr>
                      <w:rFonts w:ascii="Cambria Math" w:hAnsi="Cambria Math"/>
                      <w:i/>
                    </w:rPr>
                  </m:ctrlPr>
                </m:sSubPr>
                <m:e>
                  <m:r>
                    <w:rPr>
                      <w:rFonts w:ascii="Cambria Math" w:hAnsi="Cambria Math"/>
                    </w:rPr>
                    <m:t>ΔT</m:t>
                  </m:r>
                </m:e>
                <m:sub>
                  <m:r>
                    <w:rPr>
                      <w:rFonts w:ascii="Cambria Math" w:hAnsi="Cambria Math"/>
                    </w:rPr>
                    <m:t>body</m:t>
                  </m:r>
                </m:sub>
              </m:sSub>
            </m:e>
          </m:d>
        </m:oMath>
      </m:oMathPara>
    </w:p>
    <w:p w14:paraId="6AAE0B24" w14:textId="77777777" w:rsidR="00A74AD3" w:rsidRPr="00A63B2B" w:rsidRDefault="00A74AD3" w:rsidP="00A74AD3">
      <w:pPr>
        <w:pStyle w:val="SingleTxtG"/>
      </w:pPr>
      <w:r>
        <w:t>12.</w:t>
      </w:r>
      <w:r>
        <w:tab/>
        <w:t xml:space="preserve">Этот показатель считается минимальным идеальным тепловым потоком, поступающим в отделение, </w:t>
      </w:r>
      <w:proofErr w:type="gramStart"/>
      <w:r>
        <w:t>притом</w:t>
      </w:r>
      <w:proofErr w:type="gramEnd"/>
      <w:r>
        <w:t xml:space="preserve"> что все реальные показатели больше.</w:t>
      </w:r>
    </w:p>
    <w:p w14:paraId="31EE5EF6" w14:textId="77777777" w:rsidR="00A74AD3" w:rsidRPr="0098411F" w:rsidRDefault="00A74AD3" w:rsidP="00A74AD3">
      <w:pPr>
        <w:pStyle w:val="SingleTxtG"/>
      </w:pPr>
      <w:r>
        <w:t>13.</w:t>
      </w:r>
      <w:r>
        <w:tab/>
        <w:t xml:space="preserve">Было установлено, что в случае 82% испарителей ограничение будет определяться требованием, предъявляемым к мощности, а не предлагаемым требованием, предъявляемым к минимальному расходу воздуха. Было также установлено, что в том случае, когда ограничивающим фактором является расход воздуха, то это отрицательно сказывается на испарителях среднего размера, в то время как в случае систем меньшего размера и бортовых установок ограничивающим фактором являлось требование к минимальной мощности. </w:t>
      </w:r>
    </w:p>
    <w:p w14:paraId="20BDD903" w14:textId="77777777" w:rsidR="00A74AD3" w:rsidRPr="00A63B2B" w:rsidRDefault="00A74AD3" w:rsidP="00A74AD3">
      <w:pPr>
        <w:pStyle w:val="SingleTxtG"/>
      </w:pPr>
      <w:r>
        <w:t>14.</w:t>
      </w:r>
      <w:r>
        <w:tab/>
        <w:t>Там, где ограничивающим фактором была мощность, средняя заявленная мощность испарителей составляла 67% от минимальной мощности, требуемой для обеспечения максимального объема исходя из показателя расхода воздуха, заявленного изготовителем. В случае большинства испарителей мощность, требуемая СПС, значительно превышает предлагаемое минимальное требование к расходу воздуха для данного объема.</w:t>
      </w:r>
    </w:p>
    <w:p w14:paraId="2E3B132B" w14:textId="77777777" w:rsidR="00A74AD3" w:rsidRPr="00157B00" w:rsidRDefault="00A74AD3" w:rsidP="00A74AD3">
      <w:pPr>
        <w:pStyle w:val="HChG"/>
      </w:pPr>
      <w:r>
        <w:tab/>
      </w:r>
      <w:r>
        <w:tab/>
      </w:r>
      <w:r>
        <w:rPr>
          <w:bCs/>
        </w:rPr>
        <w:t>Предлагаемая поправка</w:t>
      </w:r>
    </w:p>
    <w:p w14:paraId="2B5B329D" w14:textId="77777777" w:rsidR="00A74AD3" w:rsidRPr="00157B00" w:rsidRDefault="00A74AD3" w:rsidP="00A74AD3">
      <w:pPr>
        <w:pStyle w:val="SingleTxtG"/>
      </w:pPr>
      <w:r>
        <w:t>15.</w:t>
      </w:r>
      <w:r>
        <w:tab/>
        <w:t>В этой связи предлагается изменить текст и добавить нижеследующее примечание.</w:t>
      </w:r>
    </w:p>
    <w:p w14:paraId="64B16A47" w14:textId="77777777" w:rsidR="00A74AD3" w:rsidRPr="00157B00" w:rsidRDefault="00A74AD3" w:rsidP="00A74AD3">
      <w:pPr>
        <w:pStyle w:val="SingleTxtG"/>
        <w:rPr>
          <w:bCs/>
        </w:rPr>
      </w:pPr>
      <w:r>
        <w:t>В пункт 3.2.6 добавлен новый абзац:</w:t>
      </w:r>
    </w:p>
    <w:p w14:paraId="05471D4F" w14:textId="77777777" w:rsidR="00A74AD3" w:rsidRPr="00157B00" w:rsidRDefault="00A74AD3" w:rsidP="00A74AD3">
      <w:pPr>
        <w:pStyle w:val="SingleTxtG"/>
      </w:pPr>
      <w:r>
        <w:t>«Требуемый расход воздуха для транспортных средств с внутренним объемом в пределах ≤2 и ≤100 м</w:t>
      </w:r>
      <w:r w:rsidRPr="0098411F">
        <w:rPr>
          <w:vertAlign w:val="superscript"/>
        </w:rPr>
        <w:t>3</w:t>
      </w:r>
      <w:r>
        <w:t xml:space="preserve"> рассчитывается по следующей формуле: </w:t>
      </w:r>
    </w:p>
    <w:p w14:paraId="143C0850" w14:textId="77777777" w:rsidR="00A74AD3" w:rsidRDefault="0089750B" w:rsidP="00A74AD3">
      <w:pPr>
        <w:pStyle w:val="SingleTxtG"/>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14:paraId="5E17A9C5" w14:textId="77777777" w:rsidR="00A74AD3" w:rsidRPr="00157B00" w:rsidRDefault="00A74AD3" w:rsidP="00A74AD3">
      <w:pPr>
        <w:pStyle w:val="SingleTxtG"/>
      </w:pPr>
      <w:r>
        <w:t xml:space="preserve">Расход воздуха </w:t>
      </w:r>
      <w:r>
        <w:rPr>
          <w:i/>
          <w:iCs/>
        </w:rPr>
        <w:t xml:space="preserve">N </w:t>
      </w:r>
      <w:r>
        <w:t xml:space="preserve">определяется как совокупный циркулирующий объем </w:t>
      </w:r>
      <w:r>
        <w:rPr>
          <w:i/>
          <w:iCs/>
        </w:rPr>
        <w:t>V</w:t>
      </w:r>
      <w:r>
        <w:t xml:space="preserve"> порожнего грузового пространства за каждый час,</w:t>
      </w:r>
    </w:p>
    <w:p w14:paraId="4CD8DA0F" w14:textId="77777777" w:rsidR="00A74AD3" w:rsidRPr="00157B00" w:rsidRDefault="00A74AD3" w:rsidP="00A74AD3">
      <w:pPr>
        <w:pStyle w:val="SingleTxtG"/>
      </w:pPr>
      <w:r>
        <w:t>где:</w:t>
      </w:r>
    </w:p>
    <w:p w14:paraId="36325614" w14:textId="77777777" w:rsidR="00A74AD3" w:rsidRPr="00157B00" w:rsidRDefault="00A74AD3" w:rsidP="00A74AD3">
      <w:pPr>
        <w:pStyle w:val="SingleTxtG"/>
      </w:pPr>
      <w:r>
        <w:t>V – объем грузового пространства в м</w:t>
      </w:r>
      <w:r>
        <w:rPr>
          <w:vertAlign w:val="superscript"/>
        </w:rPr>
        <w:t>3</w:t>
      </w:r>
      <w:r>
        <w:t>;</w:t>
      </w:r>
    </w:p>
    <w:p w14:paraId="441D14EF" w14:textId="77777777" w:rsidR="00A74AD3" w:rsidRPr="006830F4" w:rsidRDefault="0089750B" w:rsidP="00A74AD3">
      <w:pPr>
        <w:pStyle w:val="SingleTxtG"/>
        <w:rPr>
          <w:i/>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00A74AD3">
        <w:t xml:space="preserve"> – рекомендуемый характер воздушного потока, в </w:t>
      </w:r>
      <m:oMath>
        <m:sSup>
          <m:sSupPr>
            <m:ctrlPr>
              <w:rPr>
                <w:rFonts w:ascii="Cambria Math" w:hAnsi="Cambria Math"/>
                <w:i/>
              </w:rPr>
            </m:ctrlPr>
          </m:sSupPr>
          <m:e>
            <m:r>
              <w:rPr>
                <w:rFonts w:ascii="Cambria Math" w:hAnsi="Cambria Math"/>
              </w:rPr>
              <m:t xml:space="preserve"> м</m:t>
            </m:r>
          </m:e>
          <m:sup>
            <m:r>
              <w:rPr>
                <w:rFonts w:ascii="Cambria Math" w:hAnsi="Cambria Math"/>
              </w:rPr>
              <m:t>3</m:t>
            </m:r>
          </m:sup>
        </m:sSup>
        <m:r>
          <w:rPr>
            <w:rFonts w:ascii="Cambria Math" w:hAnsi="Cambria Math"/>
          </w:rPr>
          <m:t>/ч;</m:t>
        </m:r>
      </m:oMath>
    </w:p>
    <w:p w14:paraId="2AB8DC3C" w14:textId="77777777" w:rsidR="00A74AD3" w:rsidRPr="00A63B2B" w:rsidRDefault="00A74AD3" w:rsidP="00A74AD3">
      <w:pPr>
        <w:pStyle w:val="SingleTxtG"/>
      </w:pPr>
      <w:r>
        <w:t xml:space="preserve">N – расход воздуха в </w:t>
      </w:r>
      <w:r>
        <w:rPr>
          <w:i/>
          <w:iCs/>
        </w:rPr>
        <w:t>ч</w:t>
      </w:r>
      <w:r>
        <w:rPr>
          <w:i/>
          <w:iCs/>
          <w:vertAlign w:val="superscript"/>
        </w:rPr>
        <w:t>-1</w:t>
      </w:r>
      <w:r>
        <w:t>;</w:t>
      </w:r>
    </w:p>
    <w:p w14:paraId="10E5A13F" w14:textId="77777777" w:rsidR="00A74AD3" w:rsidRPr="00157B00" w:rsidRDefault="00A74AD3" w:rsidP="00A74AD3">
      <w:pPr>
        <w:pStyle w:val="SingleTxtG"/>
      </w:pPr>
      <w:r>
        <w:t>при этом:</w:t>
      </w:r>
    </w:p>
    <w:p w14:paraId="5467B13F" w14:textId="77777777" w:rsidR="00A74AD3" w:rsidRPr="00157B00" w:rsidRDefault="00A74AD3" w:rsidP="00E436E2">
      <w:pPr>
        <w:pStyle w:val="SingleTxtG"/>
        <w:jc w:val="left"/>
      </w:pPr>
      <m:oMath>
        <m:r>
          <w:rPr>
            <w:rFonts w:ascii="Cambria Math" w:hAnsi="Cambria Math"/>
          </w:rPr>
          <m:t>40 ≤N≤ 60</m:t>
        </m:r>
      </m:oMath>
      <w:r>
        <w:t xml:space="preserve"> в режиме замораживания или </w:t>
      </w:r>
      <w:r w:rsidR="00E436E2">
        <w:br/>
      </w:r>
      <m:oMath>
        <m:r>
          <w:rPr>
            <w:rFonts w:ascii="Cambria Math" w:hAnsi="Cambria Math"/>
          </w:rPr>
          <m:t>50 ≤N≤ 90</m:t>
        </m:r>
      </m:oMath>
      <w:r w:rsidRPr="0098411F">
        <w:t xml:space="preserve"> </w:t>
      </w:r>
      <w:r>
        <w:t>в режиме охлаждения/отопления.</w:t>
      </w:r>
    </w:p>
    <w:p w14:paraId="2907A30B" w14:textId="77777777" w:rsidR="00A74AD3" w:rsidRPr="00157B00" w:rsidRDefault="00A74AD3" w:rsidP="00A74AD3">
      <w:pPr>
        <w:pStyle w:val="SingleTxtG"/>
      </w:pPr>
      <w:r w:rsidRPr="00AB6D46">
        <w:t xml:space="preserve">В случае системы </w:t>
      </w:r>
      <w:r>
        <w:t>подачи</w:t>
      </w:r>
      <w:r w:rsidRPr="00AB6D46">
        <w:t xml:space="preserve">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w:t>
      </w:r>
      <w:proofErr w:type="gramStart"/>
      <w:r w:rsidRPr="00AB6D46">
        <w:t>притом</w:t>
      </w:r>
      <w:proofErr w:type="gramEnd"/>
      <w:r w:rsidRPr="00AB6D46">
        <w:t xml:space="preserve"> что она не должна работать непрерывно</w:t>
      </w:r>
      <w:r>
        <w:t>.</w:t>
      </w:r>
    </w:p>
    <w:p w14:paraId="250698B7" w14:textId="77777777" w:rsidR="00A74AD3" w:rsidRPr="00157B00" w:rsidRDefault="00A74AD3" w:rsidP="00A74AD3">
      <w:pPr>
        <w:pStyle w:val="SingleTxtG"/>
      </w:pPr>
      <w:r>
        <w:t>Если внутренний объем оборудования ≥100 м</w:t>
      </w:r>
      <w:r>
        <w:rPr>
          <w:vertAlign w:val="superscript"/>
        </w:rPr>
        <w:t>3</w:t>
      </w:r>
      <w:r>
        <w:t xml:space="preserve"> или ≤2 м</w:t>
      </w:r>
      <w:r>
        <w:rPr>
          <w:vertAlign w:val="superscript"/>
        </w:rPr>
        <w:t>3</w:t>
      </w:r>
      <w:r>
        <w:t>, то там, где зарегистрировано или принято на учет транспортное средство,</w:t>
      </w:r>
      <w:r w:rsidRPr="00376CEA">
        <w:t xml:space="preserve"> </w:t>
      </w:r>
      <w:r>
        <w:t>и там, где допускается его эксплуатация, компетентный орган устанавливает надлежащий расход воздуха на основе общей теплопередачи».</w:t>
      </w:r>
    </w:p>
    <w:p w14:paraId="091D7568" w14:textId="77777777" w:rsidR="00A74AD3" w:rsidRPr="00157B00" w:rsidRDefault="00A74AD3" w:rsidP="00A74AD3">
      <w:pPr>
        <w:pStyle w:val="HChG"/>
      </w:pPr>
      <w:r>
        <w:lastRenderedPageBreak/>
        <w:tab/>
      </w:r>
      <w:r>
        <w:tab/>
      </w:r>
      <w:r>
        <w:rPr>
          <w:bCs/>
        </w:rPr>
        <w:t>Приложение 1, добавление 3</w:t>
      </w:r>
    </w:p>
    <w:p w14:paraId="4A2DD0DA" w14:textId="77777777" w:rsidR="00A74AD3" w:rsidRPr="006830F4" w:rsidRDefault="00A74AD3" w:rsidP="00A74AD3">
      <w:pPr>
        <w:pStyle w:val="SingleTxtG"/>
        <w:rPr>
          <w:bCs/>
        </w:rPr>
      </w:pPr>
      <w:r>
        <w:t>16.</w:t>
      </w:r>
      <w:r>
        <w:tab/>
        <w:t>В свидетельство СПС необходимо будет внести поправки, включив в него новый раздел, приведенный ниже в добавлении 3 к приложению 1.</w:t>
      </w:r>
    </w:p>
    <w:p w14:paraId="5AB20C44" w14:textId="77777777" w:rsidR="00A74AD3" w:rsidRPr="006830F4" w:rsidRDefault="00A74AD3" w:rsidP="00A74AD3">
      <w:pPr>
        <w:pStyle w:val="SingleTxtG"/>
      </w:pPr>
      <w:r>
        <w:t>«7.2.6</w:t>
      </w:r>
      <w:r>
        <w:tab/>
        <w:t>XX циклов воздухообмена в час», где</w:t>
      </w:r>
    </w:p>
    <w:p w14:paraId="7B8D7B12" w14:textId="77777777" w:rsidR="00A74AD3" w:rsidRPr="00A63B2B" w:rsidRDefault="00A74AD3" w:rsidP="00A74AD3">
      <w:pPr>
        <w:pStyle w:val="SingleTxtG"/>
      </w:pPr>
      <w:r>
        <w:t>XX – количество циклов воздухообмена в час, рассчитываемое путем деления общего расхода воздуха, рассеиваемого вентиляторами испарителя, на полный внутренний объем установки.</w:t>
      </w:r>
    </w:p>
    <w:p w14:paraId="7DB750BB" w14:textId="77777777" w:rsidR="00A74AD3" w:rsidRPr="00157B00" w:rsidRDefault="00A74AD3" w:rsidP="00A74AD3">
      <w:pPr>
        <w:pStyle w:val="HChG"/>
      </w:pPr>
      <w:r>
        <w:tab/>
      </w:r>
      <w:r>
        <w:tab/>
      </w:r>
      <w:r>
        <w:rPr>
          <w:bCs/>
        </w:rPr>
        <w:t>Последствия</w:t>
      </w:r>
    </w:p>
    <w:p w14:paraId="7CA1050D" w14:textId="77777777" w:rsidR="00A74AD3" w:rsidRPr="00157B00" w:rsidRDefault="00A74AD3" w:rsidP="00A74AD3">
      <w:pPr>
        <w:pStyle w:val="SingleTxtG"/>
      </w:pPr>
      <w:r>
        <w:t>17.</w:t>
      </w:r>
      <w:r>
        <w:tab/>
        <w:t>Это изменение позволит привести СПС в соответствие с нынешними требованиями и обеспечит положительный эффект в плане повышения качества и безопасности пищевых продуктов. Финансовые последствия для отрасли могут заключаться в возникновении дополнительных расходов в тех случаях, когда проверка расхода воздуха еще не проведена.</w:t>
      </w:r>
    </w:p>
    <w:p w14:paraId="484BABF3" w14:textId="77777777" w:rsidR="00A74AD3" w:rsidRPr="00157B00" w:rsidRDefault="00A74AD3" w:rsidP="00A74AD3">
      <w:pPr>
        <w:pStyle w:val="SingleTxtG"/>
      </w:pPr>
      <w:r>
        <w:t>18.</w:t>
      </w:r>
      <w:r>
        <w:tab/>
        <w:t xml:space="preserve">Установленный расход воздуха в случае вторичных хладагентов позволит обеспечить соответствие всех продуктов в грузовом отделении требованиям приложений 2 и 3. </w:t>
      </w:r>
    </w:p>
    <w:p w14:paraId="1A10563B" w14:textId="77777777" w:rsidR="00A74AD3" w:rsidRPr="00157B00" w:rsidRDefault="00A74AD3" w:rsidP="00A74AD3">
      <w:pPr>
        <w:pStyle w:val="SingleTxtG"/>
      </w:pPr>
      <w:r>
        <w:t>19.</w:t>
      </w:r>
      <w:r>
        <w:tab/>
        <w:t>Вместе с тем результат проверки расхода воздуха необходимо указывать в протоколе испытания установки; таким образом, в настоящее время в этом плане наблюдается, судя по всему, некоторая непоследовательность.</w:t>
      </w:r>
    </w:p>
    <w:p w14:paraId="7FC8DDD0" w14:textId="77777777" w:rsidR="00A74AD3" w:rsidRPr="00157B00" w:rsidRDefault="00A74AD3" w:rsidP="00A74AD3">
      <w:pPr>
        <w:pStyle w:val="HChG"/>
      </w:pPr>
      <w:r>
        <w:tab/>
      </w:r>
      <w:r>
        <w:tab/>
      </w:r>
      <w:r>
        <w:rPr>
          <w:bCs/>
        </w:rPr>
        <w:t>Справочник</w:t>
      </w:r>
    </w:p>
    <w:p w14:paraId="57F2603C" w14:textId="77777777" w:rsidR="00A74AD3" w:rsidRPr="00157B00" w:rsidRDefault="00A74AD3" w:rsidP="00A74AD3">
      <w:pPr>
        <w:pStyle w:val="SingleTxtG"/>
      </w:pPr>
      <w:r>
        <w:t>20.</w:t>
      </w:r>
      <w:r>
        <w:tab/>
        <w:t>В Справочник можно было бы включить в порядке дополнительных разъяснений следующий текст.</w:t>
      </w:r>
    </w:p>
    <w:p w14:paraId="0862B864" w14:textId="77777777" w:rsidR="00A74AD3" w:rsidRPr="00A63B2B" w:rsidRDefault="00A74AD3" w:rsidP="00A74AD3">
      <w:pPr>
        <w:pStyle w:val="SingleTxtG"/>
      </w:pPr>
      <w:r>
        <w:t xml:space="preserve">«Расход воздуха является важным параметром в процессе перевозки в условиях контролируемой температуры. </w:t>
      </w:r>
    </w:p>
    <w:p w14:paraId="4E487898" w14:textId="77777777" w:rsidR="00A74AD3" w:rsidRPr="00A63B2B" w:rsidRDefault="00A74AD3" w:rsidP="00A74AD3">
      <w:pPr>
        <w:pStyle w:val="SingleTxtG"/>
      </w:pPr>
      <w:r>
        <w:t xml:space="preserve">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 этом приточный воздух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значительно отклоняться от заданной из-за замораживания или охлаждения. Некоторые охлажденные грузы являются </w:t>
      </w:r>
      <w:proofErr w:type="spellStart"/>
      <w:r>
        <w:t>метаболически</w:t>
      </w:r>
      <w:proofErr w:type="spellEnd"/>
      <w:r>
        <w:t xml:space="preserve"> активными и поэтому нуждаются в более существенном расходе воздуха для отвода тепла, выделяющегося в ходе этого процесса.</w:t>
      </w:r>
    </w:p>
    <w:p w14:paraId="4D4735C3" w14:textId="77777777" w:rsidR="00A74AD3" w:rsidRDefault="00A74AD3" w:rsidP="00A74AD3">
      <w:pPr>
        <w:pStyle w:val="SingleTxtG"/>
      </w:pPr>
      <w:r>
        <w:t xml:space="preserve">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запуска/выключения установки, когда вентиляторы испарителя/установка переводятся в циклический режим, должен использоваться только при транспортировке замороженных продуктов. </w:t>
      </w:r>
    </w:p>
    <w:p w14:paraId="3FE64BD0" w14:textId="77777777" w:rsidR="00A74AD3" w:rsidRPr="00A74AD3" w:rsidRDefault="00A74AD3" w:rsidP="00A74AD3">
      <w:pPr>
        <w:pStyle w:val="H23G"/>
      </w:pPr>
      <w:r w:rsidRPr="00A74AD3">
        <w:rPr>
          <w:b w:val="0"/>
        </w:rPr>
        <w:lastRenderedPageBreak/>
        <w:tab/>
      </w:r>
      <w:r w:rsidRPr="00A74AD3">
        <w:rPr>
          <w:b w:val="0"/>
        </w:rPr>
        <w:tab/>
        <w:t>Таблица 1</w:t>
      </w:r>
      <w:r w:rsidRPr="00A74AD3">
        <w:rPr>
          <w:b w:val="0"/>
        </w:rPr>
        <w:br/>
      </w:r>
      <w:r w:rsidRPr="00A74AD3">
        <w:t>Примеры требований к расходу воздуха для грузов, чувствительных к</w:t>
      </w:r>
      <w:r>
        <w:rPr>
          <w:lang w:val="en-US"/>
        </w:rPr>
        <w:t> </w:t>
      </w:r>
      <w:r w:rsidRPr="00A74AD3">
        <w:t>температуре</w:t>
      </w:r>
    </w:p>
    <w:tbl>
      <w:tblPr>
        <w:tblW w:w="7377" w:type="dxa"/>
        <w:tblInd w:w="1134" w:type="dxa"/>
        <w:tblLayout w:type="fixed"/>
        <w:tblCellMar>
          <w:left w:w="0" w:type="dxa"/>
          <w:right w:w="0" w:type="dxa"/>
        </w:tblCellMar>
        <w:tblLook w:val="04A0" w:firstRow="1" w:lastRow="0" w:firstColumn="1" w:lastColumn="0" w:noHBand="0" w:noVBand="1"/>
      </w:tblPr>
      <w:tblGrid>
        <w:gridCol w:w="1456"/>
        <w:gridCol w:w="280"/>
        <w:gridCol w:w="476"/>
        <w:gridCol w:w="1134"/>
        <w:gridCol w:w="490"/>
        <w:gridCol w:w="1371"/>
        <w:gridCol w:w="602"/>
        <w:gridCol w:w="1568"/>
      </w:tblGrid>
      <w:tr w:rsidR="00BE6763" w:rsidRPr="00EB206A" w14:paraId="57AEEF1F" w14:textId="77777777" w:rsidTr="0021642C">
        <w:trPr>
          <w:tblHeader/>
        </w:trPr>
        <w:tc>
          <w:tcPr>
            <w:tcW w:w="1736" w:type="dxa"/>
            <w:gridSpan w:val="2"/>
            <w:tcBorders>
              <w:top w:val="single" w:sz="4" w:space="0" w:color="auto"/>
              <w:bottom w:val="single" w:sz="12" w:space="0" w:color="auto"/>
            </w:tcBorders>
            <w:shd w:val="clear" w:color="auto" w:fill="auto"/>
            <w:tcMar>
              <w:left w:w="28" w:type="dxa"/>
              <w:right w:w="28" w:type="dxa"/>
            </w:tcMar>
            <w:vAlign w:val="bottom"/>
            <w:hideMark/>
          </w:tcPr>
          <w:p w14:paraId="00F73977" w14:textId="77777777" w:rsidR="00A74AD3" w:rsidRPr="00157B00" w:rsidRDefault="00A74AD3" w:rsidP="005F3E60">
            <w:pPr>
              <w:keepNext/>
              <w:keepLines/>
              <w:autoSpaceDE w:val="0"/>
              <w:autoSpaceDN w:val="0"/>
              <w:adjustRightInd w:val="0"/>
              <w:spacing w:before="80" w:after="80" w:line="200" w:lineRule="exact"/>
              <w:rPr>
                <w:bCs/>
                <w:i/>
                <w:sz w:val="16"/>
                <w:szCs w:val="16"/>
              </w:rPr>
            </w:pPr>
            <w:r w:rsidRPr="00157B00">
              <w:rPr>
                <w:i/>
                <w:iCs/>
                <w:sz w:val="16"/>
                <w:szCs w:val="16"/>
              </w:rPr>
              <w:t>Тип грузов</w:t>
            </w:r>
          </w:p>
        </w:tc>
        <w:tc>
          <w:tcPr>
            <w:tcW w:w="476" w:type="dxa"/>
            <w:tcBorders>
              <w:top w:val="single" w:sz="4" w:space="0" w:color="auto"/>
              <w:bottom w:val="single" w:sz="12" w:space="0" w:color="auto"/>
            </w:tcBorders>
            <w:shd w:val="clear" w:color="auto" w:fill="auto"/>
            <w:tcMar>
              <w:left w:w="28" w:type="dxa"/>
              <w:right w:w="28" w:type="dxa"/>
            </w:tcMar>
            <w:vAlign w:val="bottom"/>
            <w:hideMark/>
          </w:tcPr>
          <w:p w14:paraId="276447F9" w14:textId="77777777" w:rsidR="00A74AD3" w:rsidRPr="008250C8" w:rsidRDefault="00A74AD3" w:rsidP="005F3E60">
            <w:pPr>
              <w:keepNext/>
              <w:keepLines/>
              <w:autoSpaceDE w:val="0"/>
              <w:autoSpaceDN w:val="0"/>
              <w:adjustRightInd w:val="0"/>
              <w:spacing w:before="80" w:after="80" w:line="200" w:lineRule="exact"/>
              <w:jc w:val="right"/>
              <w:rPr>
                <w:bCs/>
                <w:i/>
                <w:sz w:val="16"/>
                <w:szCs w:val="16"/>
              </w:rPr>
            </w:pPr>
            <w:r w:rsidRPr="008250C8">
              <w:rPr>
                <w:i/>
                <w:noProof/>
                <w:sz w:val="16"/>
                <w:szCs w:val="16"/>
                <w:lang w:val="en-US"/>
              </w:rPr>
              <w:drawing>
                <wp:inline distT="0" distB="0" distL="0" distR="0" wp14:anchorId="6D27CD98" wp14:editId="2B0743B8">
                  <wp:extent cx="180975" cy="24765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134" w:type="dxa"/>
            <w:tcBorders>
              <w:top w:val="single" w:sz="4" w:space="0" w:color="auto"/>
              <w:bottom w:val="single" w:sz="12" w:space="0" w:color="auto"/>
            </w:tcBorders>
            <w:shd w:val="clear" w:color="auto" w:fill="auto"/>
            <w:tcMar>
              <w:left w:w="28" w:type="dxa"/>
              <w:right w:w="28" w:type="dxa"/>
            </w:tcMar>
            <w:vAlign w:val="bottom"/>
            <w:hideMark/>
          </w:tcPr>
          <w:p w14:paraId="4D29E8B5" w14:textId="77777777" w:rsidR="00A74AD3" w:rsidRPr="00FC7271" w:rsidRDefault="00A74AD3" w:rsidP="005F3E60">
            <w:pPr>
              <w:keepNext/>
              <w:keepLines/>
              <w:autoSpaceDE w:val="0"/>
              <w:autoSpaceDN w:val="0"/>
              <w:adjustRightInd w:val="0"/>
              <w:spacing w:before="80" w:after="80" w:line="200" w:lineRule="exact"/>
              <w:jc w:val="right"/>
              <w:rPr>
                <w:bCs/>
                <w:i/>
                <w:sz w:val="16"/>
                <w:szCs w:val="16"/>
              </w:rPr>
            </w:pPr>
            <w:proofErr w:type="spellStart"/>
            <w:r>
              <w:rPr>
                <w:i/>
                <w:iCs/>
                <w:sz w:val="16"/>
                <w:szCs w:val="16"/>
              </w:rPr>
              <w:t>Т</w:t>
            </w:r>
            <w:r w:rsidRPr="00157B00">
              <w:rPr>
                <w:i/>
                <w:iCs/>
                <w:sz w:val="16"/>
                <w:szCs w:val="16"/>
              </w:rPr>
              <w:t>емпературый</w:t>
            </w:r>
            <w:proofErr w:type="spellEnd"/>
            <w:r w:rsidRPr="00157B00">
              <w:rPr>
                <w:i/>
                <w:iCs/>
                <w:sz w:val="16"/>
                <w:szCs w:val="16"/>
              </w:rPr>
              <w:t xml:space="preserve"> режим</w:t>
            </w:r>
            <w:r w:rsidR="005F3E60">
              <w:rPr>
                <w:i/>
                <w:iCs/>
                <w:sz w:val="16"/>
                <w:szCs w:val="16"/>
              </w:rPr>
              <w:br/>
            </w:r>
            <w:r w:rsidRPr="00157B00">
              <w:rPr>
                <w:i/>
                <w:iCs/>
                <w:sz w:val="16"/>
                <w:szCs w:val="16"/>
              </w:rPr>
              <w:t>[°C]</w:t>
            </w:r>
          </w:p>
        </w:tc>
        <w:tc>
          <w:tcPr>
            <w:tcW w:w="490" w:type="dxa"/>
            <w:tcBorders>
              <w:top w:val="single" w:sz="4" w:space="0" w:color="auto"/>
              <w:bottom w:val="single" w:sz="12" w:space="0" w:color="auto"/>
            </w:tcBorders>
            <w:shd w:val="clear" w:color="auto" w:fill="auto"/>
            <w:tcMar>
              <w:left w:w="28" w:type="dxa"/>
              <w:right w:w="28" w:type="dxa"/>
            </w:tcMar>
            <w:vAlign w:val="bottom"/>
            <w:hideMark/>
          </w:tcPr>
          <w:p w14:paraId="5BD15782" w14:textId="77777777" w:rsidR="00A74AD3" w:rsidRPr="00157B00" w:rsidRDefault="00A74AD3" w:rsidP="005F3E60">
            <w:pPr>
              <w:keepNext/>
              <w:keepLines/>
              <w:autoSpaceDE w:val="0"/>
              <w:autoSpaceDN w:val="0"/>
              <w:adjustRightInd w:val="0"/>
              <w:spacing w:before="80" w:after="80" w:line="200" w:lineRule="exact"/>
              <w:jc w:val="right"/>
              <w:rPr>
                <w:bCs/>
                <w:i/>
                <w:sz w:val="16"/>
                <w:szCs w:val="16"/>
              </w:rPr>
            </w:pPr>
            <w:r w:rsidRPr="00157B00">
              <w:rPr>
                <w:i/>
                <w:noProof/>
                <w:sz w:val="16"/>
                <w:szCs w:val="16"/>
                <w:lang w:val="en-US"/>
              </w:rPr>
              <w:drawing>
                <wp:inline distT="0" distB="0" distL="0" distR="0" wp14:anchorId="50BDBB4A" wp14:editId="19C6F0BC">
                  <wp:extent cx="190800" cy="23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00" cy="234000"/>
                          </a:xfrm>
                          <a:prstGeom prst="rect">
                            <a:avLst/>
                          </a:prstGeom>
                          <a:noFill/>
                          <a:ln>
                            <a:noFill/>
                          </a:ln>
                        </pic:spPr>
                      </pic:pic>
                    </a:graphicData>
                  </a:graphic>
                </wp:inline>
              </w:drawing>
            </w:r>
          </w:p>
        </w:tc>
        <w:tc>
          <w:tcPr>
            <w:tcW w:w="1371" w:type="dxa"/>
            <w:tcBorders>
              <w:top w:val="single" w:sz="4" w:space="0" w:color="auto"/>
              <w:bottom w:val="single" w:sz="12" w:space="0" w:color="auto"/>
            </w:tcBorders>
            <w:shd w:val="clear" w:color="auto" w:fill="auto"/>
            <w:tcMar>
              <w:left w:w="28" w:type="dxa"/>
              <w:right w:w="28" w:type="dxa"/>
            </w:tcMar>
            <w:vAlign w:val="bottom"/>
            <w:hideMark/>
          </w:tcPr>
          <w:p w14:paraId="09170007" w14:textId="77777777" w:rsidR="00A74AD3" w:rsidRPr="00157B00" w:rsidRDefault="00A74AD3" w:rsidP="005F3E60">
            <w:pPr>
              <w:keepNext/>
              <w:keepLines/>
              <w:autoSpaceDE w:val="0"/>
              <w:autoSpaceDN w:val="0"/>
              <w:adjustRightInd w:val="0"/>
              <w:spacing w:before="80" w:after="80" w:line="200" w:lineRule="exact"/>
              <w:jc w:val="right"/>
              <w:rPr>
                <w:bCs/>
                <w:i/>
                <w:sz w:val="16"/>
                <w:szCs w:val="16"/>
              </w:rPr>
            </w:pPr>
            <w:proofErr w:type="spellStart"/>
            <w:r w:rsidRPr="00157B00">
              <w:rPr>
                <w:i/>
                <w:iCs/>
                <w:sz w:val="16"/>
                <w:szCs w:val="16"/>
              </w:rPr>
              <w:t>Чувствительость</w:t>
            </w:r>
            <w:proofErr w:type="spellEnd"/>
            <w:r w:rsidRPr="00157B00">
              <w:rPr>
                <w:i/>
                <w:iCs/>
                <w:sz w:val="16"/>
                <w:szCs w:val="16"/>
              </w:rPr>
              <w:t xml:space="preserve"> к влажности</w:t>
            </w:r>
          </w:p>
        </w:tc>
        <w:tc>
          <w:tcPr>
            <w:tcW w:w="602" w:type="dxa"/>
            <w:tcBorders>
              <w:top w:val="single" w:sz="4" w:space="0" w:color="auto"/>
              <w:bottom w:val="single" w:sz="12" w:space="0" w:color="auto"/>
            </w:tcBorders>
            <w:shd w:val="clear" w:color="auto" w:fill="auto"/>
            <w:tcMar>
              <w:left w:w="28" w:type="dxa"/>
              <w:right w:w="28" w:type="dxa"/>
            </w:tcMar>
            <w:vAlign w:val="bottom"/>
            <w:hideMark/>
          </w:tcPr>
          <w:p w14:paraId="5268D24D" w14:textId="77777777" w:rsidR="00A74AD3" w:rsidRPr="008250C8" w:rsidRDefault="00A74AD3" w:rsidP="005F3E60">
            <w:pPr>
              <w:keepNext/>
              <w:keepLines/>
              <w:autoSpaceDE w:val="0"/>
              <w:autoSpaceDN w:val="0"/>
              <w:adjustRightInd w:val="0"/>
              <w:spacing w:before="80" w:after="80" w:line="200" w:lineRule="exact"/>
              <w:jc w:val="right"/>
              <w:rPr>
                <w:bCs/>
                <w:i/>
                <w:sz w:val="16"/>
                <w:szCs w:val="16"/>
              </w:rPr>
            </w:pPr>
            <w:r w:rsidRPr="008250C8">
              <w:rPr>
                <w:i/>
                <w:noProof/>
                <w:sz w:val="16"/>
                <w:szCs w:val="16"/>
                <w:lang w:val="en-US"/>
              </w:rPr>
              <w:drawing>
                <wp:inline distT="0" distB="0" distL="0" distR="0" wp14:anchorId="000E1087" wp14:editId="369CAF4F">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568" w:type="dxa"/>
            <w:tcBorders>
              <w:top w:val="single" w:sz="4" w:space="0" w:color="auto"/>
              <w:bottom w:val="single" w:sz="12" w:space="0" w:color="auto"/>
            </w:tcBorders>
            <w:shd w:val="clear" w:color="auto" w:fill="auto"/>
            <w:tcMar>
              <w:left w:w="28" w:type="dxa"/>
              <w:right w:w="28" w:type="dxa"/>
            </w:tcMar>
            <w:vAlign w:val="bottom"/>
            <w:hideMark/>
          </w:tcPr>
          <w:p w14:paraId="1A58B1EF" w14:textId="77777777" w:rsidR="00A74AD3" w:rsidRPr="00157B00" w:rsidRDefault="00A74AD3" w:rsidP="005F3E60">
            <w:pPr>
              <w:keepNext/>
              <w:keepLines/>
              <w:autoSpaceDE w:val="0"/>
              <w:autoSpaceDN w:val="0"/>
              <w:adjustRightInd w:val="0"/>
              <w:spacing w:before="80" w:after="80" w:line="200" w:lineRule="exact"/>
              <w:jc w:val="right"/>
              <w:rPr>
                <w:bCs/>
                <w:i/>
                <w:sz w:val="16"/>
                <w:szCs w:val="16"/>
              </w:rPr>
            </w:pPr>
            <w:r w:rsidRPr="00157B00">
              <w:rPr>
                <w:i/>
                <w:iCs/>
                <w:sz w:val="16"/>
                <w:szCs w:val="16"/>
              </w:rPr>
              <w:t>Рекомендуемый показатель расхода воздуха [</w:t>
            </w:r>
            <w:r>
              <w:rPr>
                <w:i/>
                <w:iCs/>
                <w:sz w:val="16"/>
                <w:szCs w:val="16"/>
              </w:rPr>
              <w:t>кратность</w:t>
            </w:r>
            <w:r w:rsidRPr="00157B00">
              <w:rPr>
                <w:i/>
                <w:iCs/>
                <w:sz w:val="16"/>
                <w:szCs w:val="16"/>
              </w:rPr>
              <w:t>/</w:t>
            </w:r>
            <w:r>
              <w:rPr>
                <w:i/>
                <w:iCs/>
                <w:sz w:val="16"/>
                <w:szCs w:val="16"/>
              </w:rPr>
              <w:t xml:space="preserve"> </w:t>
            </w:r>
            <w:r w:rsidRPr="00157B00">
              <w:rPr>
                <w:i/>
                <w:iCs/>
                <w:sz w:val="16"/>
                <w:szCs w:val="16"/>
              </w:rPr>
              <w:t>порожний объем оборудования]</w:t>
            </w:r>
          </w:p>
        </w:tc>
      </w:tr>
      <w:tr w:rsidR="00A74AD3" w:rsidRPr="0021642C" w14:paraId="3C841671" w14:textId="77777777" w:rsidTr="0021642C">
        <w:tc>
          <w:tcPr>
            <w:tcW w:w="1456" w:type="dxa"/>
            <w:tcBorders>
              <w:top w:val="single" w:sz="12" w:space="0" w:color="auto"/>
            </w:tcBorders>
            <w:shd w:val="clear" w:color="auto" w:fill="auto"/>
            <w:tcMar>
              <w:left w:w="28" w:type="dxa"/>
              <w:right w:w="28" w:type="dxa"/>
            </w:tcMar>
            <w:hideMark/>
          </w:tcPr>
          <w:p w14:paraId="6D18552C" w14:textId="77777777" w:rsidR="00A74AD3" w:rsidRPr="0021642C" w:rsidRDefault="00A74AD3" w:rsidP="00A74AD3">
            <w:pPr>
              <w:keepNext/>
              <w:keepLines/>
              <w:autoSpaceDE w:val="0"/>
              <w:autoSpaceDN w:val="0"/>
              <w:adjustRightInd w:val="0"/>
              <w:spacing w:before="40" w:after="40" w:line="220" w:lineRule="exact"/>
              <w:rPr>
                <w:b/>
                <w:sz w:val="18"/>
                <w:szCs w:val="18"/>
              </w:rPr>
            </w:pPr>
            <w:r w:rsidRPr="0021642C">
              <w:rPr>
                <w:b/>
                <w:bCs/>
                <w:sz w:val="18"/>
                <w:szCs w:val="18"/>
              </w:rPr>
              <w:t>Подвешенное мясо</w:t>
            </w:r>
          </w:p>
        </w:tc>
        <w:tc>
          <w:tcPr>
            <w:tcW w:w="280" w:type="dxa"/>
            <w:tcBorders>
              <w:top w:val="single" w:sz="12" w:space="0" w:color="auto"/>
            </w:tcBorders>
            <w:shd w:val="clear" w:color="auto" w:fill="auto"/>
            <w:tcMar>
              <w:left w:w="28" w:type="dxa"/>
              <w:right w:w="28" w:type="dxa"/>
            </w:tcMar>
          </w:tcPr>
          <w:p w14:paraId="59885BD0" w14:textId="77777777" w:rsidR="00A74AD3" w:rsidRPr="0021642C" w:rsidRDefault="00A74AD3" w:rsidP="00A74AD3">
            <w:pPr>
              <w:keepNext/>
              <w:keepLines/>
              <w:autoSpaceDE w:val="0"/>
              <w:autoSpaceDN w:val="0"/>
              <w:adjustRightInd w:val="0"/>
              <w:spacing w:before="40" w:after="40" w:line="220" w:lineRule="exact"/>
              <w:rPr>
                <w:b/>
                <w:bCs/>
                <w:sz w:val="18"/>
                <w:szCs w:val="18"/>
                <w:u w:val="single"/>
              </w:rPr>
            </w:pPr>
          </w:p>
        </w:tc>
        <w:tc>
          <w:tcPr>
            <w:tcW w:w="1610" w:type="dxa"/>
            <w:gridSpan w:val="2"/>
            <w:tcBorders>
              <w:top w:val="single" w:sz="12" w:space="0" w:color="auto"/>
            </w:tcBorders>
            <w:shd w:val="clear" w:color="auto" w:fill="auto"/>
            <w:tcMar>
              <w:left w:w="28" w:type="dxa"/>
              <w:right w:w="28" w:type="dxa"/>
            </w:tcMar>
            <w:vAlign w:val="bottom"/>
            <w:hideMark/>
          </w:tcPr>
          <w:p w14:paraId="5F372AE1" w14:textId="77777777" w:rsidR="00A74AD3" w:rsidRPr="0021642C" w:rsidRDefault="005F3E60" w:rsidP="00A74AD3">
            <w:pPr>
              <w:keepNext/>
              <w:keepLines/>
              <w:autoSpaceDE w:val="0"/>
              <w:autoSpaceDN w:val="0"/>
              <w:adjustRightInd w:val="0"/>
              <w:spacing w:before="40" w:after="40" w:line="220" w:lineRule="exact"/>
              <w:jc w:val="right"/>
              <w:rPr>
                <w:bCs/>
                <w:sz w:val="18"/>
                <w:szCs w:val="18"/>
              </w:rPr>
            </w:pPr>
            <w:r w:rsidRPr="0021642C">
              <w:rPr>
                <w:sz w:val="18"/>
                <w:szCs w:val="18"/>
                <w:lang w:val="en-US"/>
              </w:rPr>
              <w:t>–</w:t>
            </w:r>
            <w:r w:rsidR="00A74AD3" w:rsidRPr="0021642C">
              <w:rPr>
                <w:sz w:val="18"/>
                <w:szCs w:val="18"/>
              </w:rPr>
              <w:t>1/+1</w:t>
            </w:r>
            <w:r w:rsidRPr="0021642C">
              <w:rPr>
                <w:sz w:val="18"/>
                <w:szCs w:val="18"/>
                <w:lang w:val="en-US"/>
              </w:rPr>
              <w:t xml:space="preserve"> </w:t>
            </w:r>
            <w:r w:rsidR="00A74AD3" w:rsidRPr="0021642C">
              <w:rPr>
                <w:sz w:val="18"/>
                <w:szCs w:val="18"/>
              </w:rPr>
              <w:t>°C</w:t>
            </w:r>
          </w:p>
        </w:tc>
        <w:tc>
          <w:tcPr>
            <w:tcW w:w="1861" w:type="dxa"/>
            <w:gridSpan w:val="2"/>
            <w:tcBorders>
              <w:top w:val="single" w:sz="12" w:space="0" w:color="auto"/>
            </w:tcBorders>
            <w:shd w:val="clear" w:color="auto" w:fill="auto"/>
            <w:tcMar>
              <w:left w:w="28" w:type="dxa"/>
              <w:right w:w="28" w:type="dxa"/>
            </w:tcMar>
            <w:vAlign w:val="bottom"/>
            <w:hideMark/>
          </w:tcPr>
          <w:p w14:paraId="6274DE4A"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Да</w:t>
            </w:r>
          </w:p>
        </w:tc>
        <w:tc>
          <w:tcPr>
            <w:tcW w:w="2170" w:type="dxa"/>
            <w:gridSpan w:val="2"/>
            <w:tcBorders>
              <w:top w:val="single" w:sz="12" w:space="0" w:color="auto"/>
            </w:tcBorders>
            <w:shd w:val="clear" w:color="auto" w:fill="auto"/>
            <w:tcMar>
              <w:left w:w="28" w:type="dxa"/>
              <w:right w:w="28" w:type="dxa"/>
            </w:tcMar>
            <w:vAlign w:val="bottom"/>
            <w:hideMark/>
          </w:tcPr>
          <w:p w14:paraId="3880B3F2"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 xml:space="preserve">50–90 </w:t>
            </w:r>
          </w:p>
        </w:tc>
      </w:tr>
      <w:tr w:rsidR="00A74AD3" w:rsidRPr="0021642C" w14:paraId="02611199" w14:textId="77777777" w:rsidTr="0021642C">
        <w:tc>
          <w:tcPr>
            <w:tcW w:w="1456" w:type="dxa"/>
            <w:shd w:val="clear" w:color="auto" w:fill="auto"/>
            <w:tcMar>
              <w:left w:w="28" w:type="dxa"/>
              <w:right w:w="28" w:type="dxa"/>
            </w:tcMar>
            <w:hideMark/>
          </w:tcPr>
          <w:p w14:paraId="325DCA7D" w14:textId="77777777" w:rsidR="00A74AD3" w:rsidRPr="0021642C" w:rsidRDefault="00A74AD3" w:rsidP="00A74AD3">
            <w:pPr>
              <w:keepNext/>
              <w:keepLines/>
              <w:autoSpaceDE w:val="0"/>
              <w:autoSpaceDN w:val="0"/>
              <w:adjustRightInd w:val="0"/>
              <w:spacing w:before="40" w:after="40" w:line="220" w:lineRule="exact"/>
              <w:rPr>
                <w:b/>
                <w:sz w:val="18"/>
                <w:szCs w:val="18"/>
              </w:rPr>
            </w:pPr>
            <w:r w:rsidRPr="0021642C">
              <w:rPr>
                <w:b/>
                <w:bCs/>
                <w:sz w:val="18"/>
                <w:szCs w:val="18"/>
              </w:rPr>
              <w:t>Охлажденные продукты</w:t>
            </w:r>
          </w:p>
        </w:tc>
        <w:tc>
          <w:tcPr>
            <w:tcW w:w="280" w:type="dxa"/>
            <w:shd w:val="clear" w:color="auto" w:fill="auto"/>
            <w:tcMar>
              <w:left w:w="28" w:type="dxa"/>
              <w:right w:w="28" w:type="dxa"/>
            </w:tcMar>
          </w:tcPr>
          <w:p w14:paraId="532DE44B" w14:textId="77777777" w:rsidR="00A74AD3" w:rsidRPr="0021642C" w:rsidRDefault="00A74AD3" w:rsidP="00A74AD3">
            <w:pPr>
              <w:keepNext/>
              <w:keepLines/>
              <w:autoSpaceDE w:val="0"/>
              <w:autoSpaceDN w:val="0"/>
              <w:adjustRightInd w:val="0"/>
              <w:spacing w:before="40" w:after="40" w:line="220" w:lineRule="exact"/>
              <w:rPr>
                <w:b/>
                <w:bCs/>
                <w:sz w:val="18"/>
                <w:szCs w:val="18"/>
                <w:u w:val="single"/>
              </w:rPr>
            </w:pPr>
          </w:p>
        </w:tc>
        <w:tc>
          <w:tcPr>
            <w:tcW w:w="1610" w:type="dxa"/>
            <w:gridSpan w:val="2"/>
            <w:shd w:val="clear" w:color="auto" w:fill="auto"/>
            <w:tcMar>
              <w:left w:w="28" w:type="dxa"/>
              <w:right w:w="28" w:type="dxa"/>
            </w:tcMar>
            <w:vAlign w:val="bottom"/>
            <w:hideMark/>
          </w:tcPr>
          <w:p w14:paraId="229BE4A5" w14:textId="77777777" w:rsidR="00A74AD3" w:rsidRPr="0021642C" w:rsidRDefault="005F3E60" w:rsidP="00A74AD3">
            <w:pPr>
              <w:keepNext/>
              <w:keepLines/>
              <w:autoSpaceDE w:val="0"/>
              <w:autoSpaceDN w:val="0"/>
              <w:adjustRightInd w:val="0"/>
              <w:spacing w:before="40" w:after="40" w:line="220" w:lineRule="exact"/>
              <w:jc w:val="right"/>
              <w:rPr>
                <w:bCs/>
                <w:sz w:val="18"/>
                <w:szCs w:val="18"/>
              </w:rPr>
            </w:pPr>
            <w:r w:rsidRPr="0021642C">
              <w:rPr>
                <w:sz w:val="18"/>
                <w:szCs w:val="18"/>
                <w:lang w:val="en-US"/>
              </w:rPr>
              <w:t>–</w:t>
            </w:r>
            <w:r w:rsidR="00A74AD3" w:rsidRPr="0021642C">
              <w:rPr>
                <w:sz w:val="18"/>
                <w:szCs w:val="18"/>
              </w:rPr>
              <w:t>1/+6</w:t>
            </w:r>
            <w:r w:rsidRPr="0021642C">
              <w:rPr>
                <w:sz w:val="18"/>
                <w:szCs w:val="18"/>
                <w:lang w:val="en-US"/>
              </w:rPr>
              <w:t xml:space="preserve"> </w:t>
            </w:r>
            <w:r w:rsidR="00A74AD3" w:rsidRPr="0021642C">
              <w:rPr>
                <w:sz w:val="18"/>
                <w:szCs w:val="18"/>
              </w:rPr>
              <w:t>°C</w:t>
            </w:r>
          </w:p>
        </w:tc>
        <w:tc>
          <w:tcPr>
            <w:tcW w:w="1861" w:type="dxa"/>
            <w:gridSpan w:val="2"/>
            <w:shd w:val="clear" w:color="auto" w:fill="auto"/>
            <w:tcMar>
              <w:left w:w="28" w:type="dxa"/>
              <w:right w:w="28" w:type="dxa"/>
            </w:tcMar>
            <w:vAlign w:val="bottom"/>
            <w:hideMark/>
          </w:tcPr>
          <w:p w14:paraId="519F47C9"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Да</w:t>
            </w:r>
          </w:p>
        </w:tc>
        <w:tc>
          <w:tcPr>
            <w:tcW w:w="2170" w:type="dxa"/>
            <w:gridSpan w:val="2"/>
            <w:shd w:val="clear" w:color="auto" w:fill="auto"/>
            <w:tcMar>
              <w:left w:w="28" w:type="dxa"/>
              <w:right w:w="28" w:type="dxa"/>
            </w:tcMar>
            <w:vAlign w:val="bottom"/>
            <w:hideMark/>
          </w:tcPr>
          <w:p w14:paraId="6691CC8C"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 xml:space="preserve">50–90 </w:t>
            </w:r>
          </w:p>
        </w:tc>
      </w:tr>
      <w:tr w:rsidR="00A74AD3" w:rsidRPr="0021642C" w14:paraId="3D817F90" w14:textId="77777777" w:rsidTr="0021642C">
        <w:tc>
          <w:tcPr>
            <w:tcW w:w="1456" w:type="dxa"/>
            <w:shd w:val="clear" w:color="auto" w:fill="auto"/>
            <w:tcMar>
              <w:left w:w="28" w:type="dxa"/>
              <w:right w:w="28" w:type="dxa"/>
            </w:tcMar>
          </w:tcPr>
          <w:p w14:paraId="60ECBBEC" w14:textId="77777777" w:rsidR="00A74AD3" w:rsidRPr="0021642C" w:rsidRDefault="00A74AD3" w:rsidP="00A74AD3">
            <w:pPr>
              <w:keepNext/>
              <w:keepLines/>
              <w:autoSpaceDE w:val="0"/>
              <w:autoSpaceDN w:val="0"/>
              <w:adjustRightInd w:val="0"/>
              <w:spacing w:before="40" w:after="40" w:line="220" w:lineRule="exact"/>
              <w:rPr>
                <w:b/>
                <w:sz w:val="18"/>
                <w:szCs w:val="18"/>
              </w:rPr>
            </w:pPr>
          </w:p>
        </w:tc>
        <w:tc>
          <w:tcPr>
            <w:tcW w:w="280" w:type="dxa"/>
            <w:shd w:val="clear" w:color="auto" w:fill="auto"/>
            <w:tcMar>
              <w:left w:w="28" w:type="dxa"/>
              <w:right w:w="28" w:type="dxa"/>
            </w:tcMar>
          </w:tcPr>
          <w:p w14:paraId="74F2466B" w14:textId="77777777" w:rsidR="00A74AD3" w:rsidRPr="0021642C" w:rsidRDefault="00A74AD3" w:rsidP="00A74AD3">
            <w:pPr>
              <w:keepNext/>
              <w:keepLines/>
              <w:autoSpaceDE w:val="0"/>
              <w:autoSpaceDN w:val="0"/>
              <w:adjustRightInd w:val="0"/>
              <w:spacing w:before="40" w:after="40" w:line="220" w:lineRule="exact"/>
              <w:rPr>
                <w:b/>
                <w:bCs/>
                <w:sz w:val="18"/>
                <w:szCs w:val="18"/>
                <w:u w:val="single"/>
              </w:rPr>
            </w:pPr>
          </w:p>
        </w:tc>
        <w:tc>
          <w:tcPr>
            <w:tcW w:w="1610" w:type="dxa"/>
            <w:gridSpan w:val="2"/>
            <w:shd w:val="clear" w:color="auto" w:fill="auto"/>
            <w:tcMar>
              <w:left w:w="28" w:type="dxa"/>
              <w:right w:w="28" w:type="dxa"/>
            </w:tcMar>
            <w:vAlign w:val="bottom"/>
          </w:tcPr>
          <w:p w14:paraId="0D84671E"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p>
        </w:tc>
        <w:tc>
          <w:tcPr>
            <w:tcW w:w="1861" w:type="dxa"/>
            <w:gridSpan w:val="2"/>
            <w:shd w:val="clear" w:color="auto" w:fill="auto"/>
            <w:tcMar>
              <w:left w:w="28" w:type="dxa"/>
              <w:right w:w="28" w:type="dxa"/>
            </w:tcMar>
            <w:vAlign w:val="bottom"/>
          </w:tcPr>
          <w:p w14:paraId="2B74A146"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p>
        </w:tc>
        <w:tc>
          <w:tcPr>
            <w:tcW w:w="2170" w:type="dxa"/>
            <w:gridSpan w:val="2"/>
            <w:shd w:val="clear" w:color="auto" w:fill="auto"/>
            <w:tcMar>
              <w:left w:w="28" w:type="dxa"/>
              <w:right w:w="28" w:type="dxa"/>
            </w:tcMar>
            <w:vAlign w:val="bottom"/>
          </w:tcPr>
          <w:p w14:paraId="345BB6D3"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p>
        </w:tc>
      </w:tr>
      <w:tr w:rsidR="00A74AD3" w:rsidRPr="0021642C" w14:paraId="70696B49" w14:textId="77777777" w:rsidTr="0021642C">
        <w:tc>
          <w:tcPr>
            <w:tcW w:w="1456" w:type="dxa"/>
            <w:shd w:val="clear" w:color="auto" w:fill="auto"/>
            <w:tcMar>
              <w:left w:w="28" w:type="dxa"/>
              <w:right w:w="28" w:type="dxa"/>
            </w:tcMar>
            <w:hideMark/>
          </w:tcPr>
          <w:p w14:paraId="2C079905" w14:textId="77777777" w:rsidR="00A74AD3" w:rsidRPr="0021642C" w:rsidRDefault="00A74AD3" w:rsidP="00A74AD3">
            <w:pPr>
              <w:keepNext/>
              <w:keepLines/>
              <w:autoSpaceDE w:val="0"/>
              <w:autoSpaceDN w:val="0"/>
              <w:adjustRightInd w:val="0"/>
              <w:spacing w:before="40" w:after="40" w:line="220" w:lineRule="exact"/>
              <w:rPr>
                <w:b/>
                <w:sz w:val="18"/>
                <w:szCs w:val="18"/>
              </w:rPr>
            </w:pPr>
            <w:r w:rsidRPr="0021642C">
              <w:rPr>
                <w:b/>
                <w:bCs/>
                <w:sz w:val="18"/>
                <w:szCs w:val="18"/>
              </w:rPr>
              <w:t>Замороженные продукты</w:t>
            </w:r>
          </w:p>
        </w:tc>
        <w:tc>
          <w:tcPr>
            <w:tcW w:w="280" w:type="dxa"/>
            <w:shd w:val="clear" w:color="auto" w:fill="auto"/>
            <w:tcMar>
              <w:left w:w="28" w:type="dxa"/>
              <w:right w:w="28" w:type="dxa"/>
            </w:tcMar>
          </w:tcPr>
          <w:p w14:paraId="3A862943" w14:textId="77777777" w:rsidR="00A74AD3" w:rsidRPr="0021642C" w:rsidRDefault="00A74AD3" w:rsidP="00A74AD3">
            <w:pPr>
              <w:keepNext/>
              <w:keepLines/>
              <w:autoSpaceDE w:val="0"/>
              <w:autoSpaceDN w:val="0"/>
              <w:adjustRightInd w:val="0"/>
              <w:spacing w:before="40" w:after="40" w:line="220" w:lineRule="exact"/>
              <w:rPr>
                <w:b/>
                <w:bCs/>
                <w:sz w:val="18"/>
                <w:szCs w:val="18"/>
                <w:u w:val="single"/>
              </w:rPr>
            </w:pPr>
          </w:p>
        </w:tc>
        <w:tc>
          <w:tcPr>
            <w:tcW w:w="1610" w:type="dxa"/>
            <w:gridSpan w:val="2"/>
            <w:shd w:val="clear" w:color="auto" w:fill="auto"/>
            <w:tcMar>
              <w:left w:w="28" w:type="dxa"/>
              <w:right w:w="28" w:type="dxa"/>
            </w:tcMar>
            <w:vAlign w:val="bottom"/>
            <w:hideMark/>
          </w:tcPr>
          <w:p w14:paraId="47E9BE04"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&lt;</w:t>
            </w:r>
            <w:r w:rsidR="005F3E60" w:rsidRPr="0021642C">
              <w:rPr>
                <w:sz w:val="18"/>
                <w:szCs w:val="18"/>
                <w:lang w:val="en-US"/>
              </w:rPr>
              <w:t>–</w:t>
            </w:r>
            <w:r w:rsidRPr="0021642C">
              <w:rPr>
                <w:sz w:val="18"/>
                <w:szCs w:val="18"/>
              </w:rPr>
              <w:t>18</w:t>
            </w:r>
            <w:r w:rsidR="005F3E60" w:rsidRPr="0021642C">
              <w:rPr>
                <w:sz w:val="18"/>
                <w:szCs w:val="18"/>
                <w:lang w:val="en-US"/>
              </w:rPr>
              <w:t xml:space="preserve"> </w:t>
            </w:r>
            <w:r w:rsidRPr="0021642C">
              <w:rPr>
                <w:sz w:val="18"/>
                <w:szCs w:val="18"/>
              </w:rPr>
              <w:t>°C</w:t>
            </w:r>
          </w:p>
        </w:tc>
        <w:tc>
          <w:tcPr>
            <w:tcW w:w="1861" w:type="dxa"/>
            <w:gridSpan w:val="2"/>
            <w:shd w:val="clear" w:color="auto" w:fill="auto"/>
            <w:tcMar>
              <w:left w:w="28" w:type="dxa"/>
              <w:right w:w="28" w:type="dxa"/>
            </w:tcMar>
            <w:vAlign w:val="bottom"/>
            <w:hideMark/>
          </w:tcPr>
          <w:p w14:paraId="6D2B6EA6"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Нет</w:t>
            </w:r>
          </w:p>
        </w:tc>
        <w:tc>
          <w:tcPr>
            <w:tcW w:w="2170" w:type="dxa"/>
            <w:gridSpan w:val="2"/>
            <w:shd w:val="clear" w:color="auto" w:fill="auto"/>
            <w:tcMar>
              <w:left w:w="28" w:type="dxa"/>
              <w:right w:w="28" w:type="dxa"/>
            </w:tcMar>
            <w:vAlign w:val="bottom"/>
            <w:hideMark/>
          </w:tcPr>
          <w:p w14:paraId="3640D648"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 xml:space="preserve">40–60 </w:t>
            </w:r>
          </w:p>
        </w:tc>
      </w:tr>
      <w:tr w:rsidR="00A74AD3" w:rsidRPr="0021642C" w14:paraId="0E868C0B" w14:textId="77777777" w:rsidTr="0021642C">
        <w:tc>
          <w:tcPr>
            <w:tcW w:w="1456" w:type="dxa"/>
            <w:tcBorders>
              <w:bottom w:val="single" w:sz="12" w:space="0" w:color="auto"/>
            </w:tcBorders>
            <w:shd w:val="clear" w:color="auto" w:fill="auto"/>
            <w:tcMar>
              <w:left w:w="28" w:type="dxa"/>
              <w:right w:w="28" w:type="dxa"/>
            </w:tcMar>
            <w:hideMark/>
          </w:tcPr>
          <w:p w14:paraId="1745B546" w14:textId="77777777" w:rsidR="00A74AD3" w:rsidRPr="0021642C" w:rsidRDefault="00A74AD3" w:rsidP="00A74AD3">
            <w:pPr>
              <w:keepNext/>
              <w:keepLines/>
              <w:autoSpaceDE w:val="0"/>
              <w:autoSpaceDN w:val="0"/>
              <w:adjustRightInd w:val="0"/>
              <w:spacing w:before="40" w:after="40" w:line="220" w:lineRule="exact"/>
              <w:rPr>
                <w:b/>
                <w:sz w:val="18"/>
                <w:szCs w:val="18"/>
              </w:rPr>
            </w:pPr>
            <w:r w:rsidRPr="0021642C">
              <w:rPr>
                <w:b/>
                <w:bCs/>
                <w:sz w:val="18"/>
                <w:szCs w:val="18"/>
              </w:rPr>
              <w:t>Мороженое</w:t>
            </w:r>
            <w:r w:rsidRPr="0021642C">
              <w:rPr>
                <w:sz w:val="18"/>
                <w:szCs w:val="18"/>
              </w:rPr>
              <w:t xml:space="preserve"> </w:t>
            </w:r>
          </w:p>
        </w:tc>
        <w:tc>
          <w:tcPr>
            <w:tcW w:w="280" w:type="dxa"/>
            <w:tcBorders>
              <w:bottom w:val="single" w:sz="12" w:space="0" w:color="auto"/>
            </w:tcBorders>
            <w:shd w:val="clear" w:color="auto" w:fill="auto"/>
            <w:tcMar>
              <w:left w:w="28" w:type="dxa"/>
              <w:right w:w="28" w:type="dxa"/>
            </w:tcMar>
          </w:tcPr>
          <w:p w14:paraId="68480BAE" w14:textId="77777777" w:rsidR="00A74AD3" w:rsidRPr="0021642C" w:rsidRDefault="00A74AD3" w:rsidP="00A74AD3">
            <w:pPr>
              <w:keepNext/>
              <w:keepLines/>
              <w:autoSpaceDE w:val="0"/>
              <w:autoSpaceDN w:val="0"/>
              <w:adjustRightInd w:val="0"/>
              <w:spacing w:before="40" w:after="40" w:line="220" w:lineRule="exact"/>
              <w:rPr>
                <w:b/>
                <w:bCs/>
                <w:sz w:val="18"/>
                <w:szCs w:val="18"/>
                <w:u w:val="single"/>
              </w:rPr>
            </w:pPr>
          </w:p>
        </w:tc>
        <w:tc>
          <w:tcPr>
            <w:tcW w:w="1610" w:type="dxa"/>
            <w:gridSpan w:val="2"/>
            <w:tcBorders>
              <w:bottom w:val="single" w:sz="12" w:space="0" w:color="auto"/>
            </w:tcBorders>
            <w:shd w:val="clear" w:color="auto" w:fill="auto"/>
            <w:tcMar>
              <w:left w:w="28" w:type="dxa"/>
              <w:right w:w="28" w:type="dxa"/>
            </w:tcMar>
            <w:vAlign w:val="bottom"/>
            <w:hideMark/>
          </w:tcPr>
          <w:p w14:paraId="2EF4F677"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&lt;</w:t>
            </w:r>
            <w:r w:rsidR="005F3E60" w:rsidRPr="0021642C">
              <w:rPr>
                <w:sz w:val="18"/>
                <w:szCs w:val="18"/>
                <w:lang w:val="en-US"/>
              </w:rPr>
              <w:t>–</w:t>
            </w:r>
            <w:r w:rsidRPr="0021642C">
              <w:rPr>
                <w:sz w:val="18"/>
                <w:szCs w:val="18"/>
              </w:rPr>
              <w:t xml:space="preserve">20 °C </w:t>
            </w:r>
          </w:p>
        </w:tc>
        <w:tc>
          <w:tcPr>
            <w:tcW w:w="1861" w:type="dxa"/>
            <w:gridSpan w:val="2"/>
            <w:tcBorders>
              <w:bottom w:val="single" w:sz="12" w:space="0" w:color="auto"/>
            </w:tcBorders>
            <w:shd w:val="clear" w:color="auto" w:fill="auto"/>
            <w:tcMar>
              <w:left w:w="28" w:type="dxa"/>
              <w:right w:w="28" w:type="dxa"/>
            </w:tcMar>
            <w:vAlign w:val="bottom"/>
            <w:hideMark/>
          </w:tcPr>
          <w:p w14:paraId="06A00E6C"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Низкая</w:t>
            </w:r>
          </w:p>
        </w:tc>
        <w:tc>
          <w:tcPr>
            <w:tcW w:w="2170" w:type="dxa"/>
            <w:gridSpan w:val="2"/>
            <w:tcBorders>
              <w:bottom w:val="single" w:sz="12" w:space="0" w:color="auto"/>
            </w:tcBorders>
            <w:shd w:val="clear" w:color="auto" w:fill="auto"/>
            <w:tcMar>
              <w:left w:w="28" w:type="dxa"/>
              <w:right w:w="28" w:type="dxa"/>
            </w:tcMar>
            <w:vAlign w:val="bottom"/>
            <w:hideMark/>
          </w:tcPr>
          <w:p w14:paraId="4555FAE2" w14:textId="77777777" w:rsidR="00A74AD3" w:rsidRPr="0021642C" w:rsidRDefault="00A74AD3" w:rsidP="00A74AD3">
            <w:pPr>
              <w:keepNext/>
              <w:keepLines/>
              <w:autoSpaceDE w:val="0"/>
              <w:autoSpaceDN w:val="0"/>
              <w:adjustRightInd w:val="0"/>
              <w:spacing w:before="40" w:after="40" w:line="220" w:lineRule="exact"/>
              <w:jc w:val="right"/>
              <w:rPr>
                <w:bCs/>
                <w:sz w:val="18"/>
                <w:szCs w:val="18"/>
              </w:rPr>
            </w:pPr>
            <w:r w:rsidRPr="0021642C">
              <w:rPr>
                <w:sz w:val="18"/>
                <w:szCs w:val="18"/>
              </w:rPr>
              <w:t>40–60</w:t>
            </w:r>
          </w:p>
        </w:tc>
      </w:tr>
    </w:tbl>
    <w:p w14:paraId="5AB7309A" w14:textId="77777777" w:rsidR="00A74AD3" w:rsidRDefault="00A74AD3" w:rsidP="00BE6763">
      <w:pPr>
        <w:pStyle w:val="SingleTxtG"/>
        <w:jc w:val="right"/>
      </w:pPr>
      <w:r w:rsidRPr="00B03944">
        <w:t>»</w:t>
      </w:r>
    </w:p>
    <w:p w14:paraId="40D05D09" w14:textId="77777777" w:rsidR="00E12C5F" w:rsidRPr="00A74AD3" w:rsidRDefault="00A74AD3" w:rsidP="00A74AD3">
      <w:pPr>
        <w:pStyle w:val="SingleTxtG"/>
        <w:spacing w:before="240" w:after="0"/>
        <w:jc w:val="center"/>
        <w:rPr>
          <w:u w:val="single"/>
        </w:rPr>
      </w:pPr>
      <w:r>
        <w:rPr>
          <w:u w:val="single"/>
        </w:rPr>
        <w:tab/>
      </w:r>
      <w:r>
        <w:rPr>
          <w:u w:val="single"/>
        </w:rPr>
        <w:tab/>
      </w:r>
      <w:r>
        <w:rPr>
          <w:u w:val="single"/>
        </w:rPr>
        <w:tab/>
      </w:r>
      <w:r>
        <w:rPr>
          <w:u w:val="single"/>
        </w:rPr>
        <w:tab/>
      </w:r>
    </w:p>
    <w:sectPr w:rsidR="00E12C5F" w:rsidRPr="00A74AD3" w:rsidSect="00A74A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F908" w14:textId="77777777" w:rsidR="009C3502" w:rsidRPr="00A312BC" w:rsidRDefault="009C3502" w:rsidP="00A312BC"/>
  </w:endnote>
  <w:endnote w:type="continuationSeparator" w:id="0">
    <w:p w14:paraId="365F2AC5" w14:textId="77777777" w:rsidR="009C3502" w:rsidRPr="00A312BC" w:rsidRDefault="009C35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7A04" w14:textId="77777777" w:rsidR="00A74AD3" w:rsidRPr="00A74AD3" w:rsidRDefault="00A74AD3">
    <w:pPr>
      <w:pStyle w:val="Footer"/>
    </w:pPr>
    <w:r w:rsidRPr="00A74AD3">
      <w:rPr>
        <w:b/>
        <w:sz w:val="18"/>
      </w:rPr>
      <w:fldChar w:fldCharType="begin"/>
    </w:r>
    <w:r w:rsidRPr="00A74AD3">
      <w:rPr>
        <w:b/>
        <w:sz w:val="18"/>
      </w:rPr>
      <w:instrText xml:space="preserve"> PAGE  \* MERGEFORMAT </w:instrText>
    </w:r>
    <w:r w:rsidRPr="00A74AD3">
      <w:rPr>
        <w:b/>
        <w:sz w:val="18"/>
      </w:rPr>
      <w:fldChar w:fldCharType="separate"/>
    </w:r>
    <w:r w:rsidRPr="00A74AD3">
      <w:rPr>
        <w:b/>
        <w:noProof/>
        <w:sz w:val="18"/>
      </w:rPr>
      <w:t>2</w:t>
    </w:r>
    <w:r w:rsidRPr="00A74AD3">
      <w:rPr>
        <w:b/>
        <w:sz w:val="18"/>
      </w:rPr>
      <w:fldChar w:fldCharType="end"/>
    </w:r>
    <w:r>
      <w:rPr>
        <w:b/>
        <w:sz w:val="18"/>
      </w:rPr>
      <w:tab/>
    </w:r>
    <w:r>
      <w:t>GE.20-01079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947A" w14:textId="77777777" w:rsidR="00A74AD3" w:rsidRPr="00A74AD3" w:rsidRDefault="00A74AD3" w:rsidP="00A74AD3">
    <w:pPr>
      <w:pStyle w:val="Footer"/>
      <w:tabs>
        <w:tab w:val="clear" w:pos="9639"/>
        <w:tab w:val="right" w:pos="9638"/>
      </w:tabs>
      <w:rPr>
        <w:b/>
        <w:sz w:val="18"/>
      </w:rPr>
    </w:pPr>
    <w:r>
      <w:t>GE.20-01079</w:t>
    </w:r>
    <w:r>
      <w:tab/>
    </w:r>
    <w:r w:rsidRPr="00A74AD3">
      <w:rPr>
        <w:b/>
        <w:sz w:val="18"/>
      </w:rPr>
      <w:fldChar w:fldCharType="begin"/>
    </w:r>
    <w:r w:rsidRPr="00A74AD3">
      <w:rPr>
        <w:b/>
        <w:sz w:val="18"/>
      </w:rPr>
      <w:instrText xml:space="preserve"> PAGE  \* MERGEFORMAT </w:instrText>
    </w:r>
    <w:r w:rsidRPr="00A74AD3">
      <w:rPr>
        <w:b/>
        <w:sz w:val="18"/>
      </w:rPr>
      <w:fldChar w:fldCharType="separate"/>
    </w:r>
    <w:r w:rsidRPr="00A74AD3">
      <w:rPr>
        <w:b/>
        <w:noProof/>
        <w:sz w:val="18"/>
      </w:rPr>
      <w:t>3</w:t>
    </w:r>
    <w:r w:rsidRPr="00A74A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F519" w14:textId="77777777" w:rsidR="00042B72" w:rsidRPr="00A74AD3" w:rsidRDefault="00A74AD3" w:rsidP="00A74AD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E825672" wp14:editId="393B033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01079  (</w:t>
    </w:r>
    <w:proofErr w:type="gramEnd"/>
    <w:r>
      <w:t>R)</w:t>
    </w:r>
    <w:r>
      <w:rPr>
        <w:lang w:val="en-US"/>
      </w:rPr>
      <w:t xml:space="preserve">  130120  130120</w:t>
    </w:r>
    <w:r>
      <w:br/>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sidRPr="00A74AD3">
      <w:rPr>
        <w:rFonts w:ascii="C39T30Lfz" w:hAnsi="C39T30Lfz"/>
        <w:kern w:val="14"/>
        <w:sz w:val="56"/>
      </w:rPr>
      <w:t></w:t>
    </w:r>
    <w:r>
      <w:rPr>
        <w:noProof/>
      </w:rPr>
      <w:drawing>
        <wp:anchor distT="0" distB="0" distL="114300" distR="114300" simplePos="0" relativeHeight="251659264" behindDoc="0" locked="0" layoutInCell="1" allowOverlap="1" wp14:anchorId="27F750D7" wp14:editId="55E5053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2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403E" w14:textId="77777777" w:rsidR="009C3502" w:rsidRPr="001075E9" w:rsidRDefault="009C3502" w:rsidP="001075E9">
      <w:pPr>
        <w:tabs>
          <w:tab w:val="right" w:pos="2155"/>
        </w:tabs>
        <w:spacing w:after="80" w:line="240" w:lineRule="auto"/>
        <w:ind w:left="680"/>
        <w:rPr>
          <w:u w:val="single"/>
        </w:rPr>
      </w:pPr>
      <w:r>
        <w:rPr>
          <w:u w:val="single"/>
        </w:rPr>
        <w:tab/>
      </w:r>
    </w:p>
  </w:footnote>
  <w:footnote w:type="continuationSeparator" w:id="0">
    <w:p w14:paraId="043B6B81" w14:textId="77777777" w:rsidR="009C3502" w:rsidRDefault="009C350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6F52" w14:textId="14E8F62C" w:rsidR="00A74AD3" w:rsidRPr="00A74AD3" w:rsidRDefault="00756DAA">
    <w:pPr>
      <w:pStyle w:val="Header"/>
    </w:pPr>
    <w:fldSimple w:instr=" TITLE  \* MERGEFORMAT ">
      <w:r>
        <w:t>ECE/TRANS/WP.11/2020/5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1157" w14:textId="41008315" w:rsidR="00A74AD3" w:rsidRPr="00A74AD3" w:rsidRDefault="00756DAA" w:rsidP="00A74AD3">
    <w:pPr>
      <w:pStyle w:val="Header"/>
      <w:jc w:val="right"/>
    </w:pPr>
    <w:fldSimple w:instr=" TITLE  \* MERGEFORMAT ">
      <w:r>
        <w:t>ECE/TRANS/WP.11/2020/5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DDFA" w14:textId="77777777" w:rsidR="00A74AD3" w:rsidRDefault="00A74AD3" w:rsidP="00A74AD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0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1642C"/>
    <w:rsid w:val="00255343"/>
    <w:rsid w:val="0027151D"/>
    <w:rsid w:val="002A2EFC"/>
    <w:rsid w:val="002B0106"/>
    <w:rsid w:val="002B74B1"/>
    <w:rsid w:val="002C0E18"/>
    <w:rsid w:val="002D5AAC"/>
    <w:rsid w:val="002E5067"/>
    <w:rsid w:val="002F3A74"/>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D313F"/>
    <w:rsid w:val="004E05B7"/>
    <w:rsid w:val="0050108D"/>
    <w:rsid w:val="00513081"/>
    <w:rsid w:val="00517901"/>
    <w:rsid w:val="00526683"/>
    <w:rsid w:val="00527D14"/>
    <w:rsid w:val="005639C1"/>
    <w:rsid w:val="005709E0"/>
    <w:rsid w:val="00572E19"/>
    <w:rsid w:val="005961C8"/>
    <w:rsid w:val="005966F1"/>
    <w:rsid w:val="005D7914"/>
    <w:rsid w:val="005E2B41"/>
    <w:rsid w:val="005F0B42"/>
    <w:rsid w:val="005F3E60"/>
    <w:rsid w:val="00617A43"/>
    <w:rsid w:val="006345DB"/>
    <w:rsid w:val="00640F49"/>
    <w:rsid w:val="00680D03"/>
    <w:rsid w:val="00681A10"/>
    <w:rsid w:val="006A1ED8"/>
    <w:rsid w:val="006C2031"/>
    <w:rsid w:val="006D461A"/>
    <w:rsid w:val="006F35EE"/>
    <w:rsid w:val="007021FF"/>
    <w:rsid w:val="00712895"/>
    <w:rsid w:val="00734ACB"/>
    <w:rsid w:val="00756DAA"/>
    <w:rsid w:val="00757357"/>
    <w:rsid w:val="00792497"/>
    <w:rsid w:val="00806737"/>
    <w:rsid w:val="00825F8D"/>
    <w:rsid w:val="00834B71"/>
    <w:rsid w:val="0086445C"/>
    <w:rsid w:val="00894693"/>
    <w:rsid w:val="0089750B"/>
    <w:rsid w:val="008A08D7"/>
    <w:rsid w:val="008A37C8"/>
    <w:rsid w:val="008B6909"/>
    <w:rsid w:val="008D53B6"/>
    <w:rsid w:val="008F7609"/>
    <w:rsid w:val="00906890"/>
    <w:rsid w:val="00911BE4"/>
    <w:rsid w:val="00951972"/>
    <w:rsid w:val="009608F3"/>
    <w:rsid w:val="009A24AC"/>
    <w:rsid w:val="009C3502"/>
    <w:rsid w:val="009C59D7"/>
    <w:rsid w:val="009C6FE6"/>
    <w:rsid w:val="009D7E7D"/>
    <w:rsid w:val="009E1AA2"/>
    <w:rsid w:val="00A14DA8"/>
    <w:rsid w:val="00A312BC"/>
    <w:rsid w:val="00A74AD3"/>
    <w:rsid w:val="00A84021"/>
    <w:rsid w:val="00A84D35"/>
    <w:rsid w:val="00A917B3"/>
    <w:rsid w:val="00AB4B51"/>
    <w:rsid w:val="00B10CC7"/>
    <w:rsid w:val="00B36DF7"/>
    <w:rsid w:val="00B539E7"/>
    <w:rsid w:val="00B62458"/>
    <w:rsid w:val="00B95A15"/>
    <w:rsid w:val="00BC18B2"/>
    <w:rsid w:val="00BD33EE"/>
    <w:rsid w:val="00BE1CC7"/>
    <w:rsid w:val="00BE6763"/>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1FBA"/>
    <w:rsid w:val="00E12C5F"/>
    <w:rsid w:val="00E436E2"/>
    <w:rsid w:val="00E60091"/>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171C3"/>
  <w15:docId w15:val="{6EA37C65-E90E-4696-B7F3-EC00276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A74AD3"/>
    <w:rPr>
      <w:lang w:val="ru-RU" w:eastAsia="en-US"/>
    </w:rPr>
  </w:style>
  <w:style w:type="paragraph" w:customStyle="1" w:styleId="ParNoG">
    <w:name w:val="_ParNo_G"/>
    <w:basedOn w:val="SingleTxtG"/>
    <w:qFormat/>
    <w:rsid w:val="00A74AD3"/>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8780</Characters>
  <Application>Microsoft Office Word</Application>
  <DocSecurity>0</DocSecurity>
  <Lines>73</Lines>
  <Paragraphs>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ECE/TRANS/WP.11/2020/5</vt:lpstr>
      <vt:lpstr>ECE/TRANS/WP.11/2020/5</vt:lpstr>
      <vt:lpstr>A/</vt:lpstr>
    </vt:vector>
  </TitlesOfParts>
  <Company>DCM</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
  <dc:creator>Shuvalova NATALIA</dc:creator>
  <cp:keywords/>
  <cp:lastModifiedBy>Lucille Caillot</cp:lastModifiedBy>
  <cp:revision>2</cp:revision>
  <cp:lastPrinted>2020-02-13T08:46:00Z</cp:lastPrinted>
  <dcterms:created xsi:type="dcterms:W3CDTF">2020-02-19T09:45:00Z</dcterms:created>
  <dcterms:modified xsi:type="dcterms:W3CDTF">2020-02-19T09:45:00Z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