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32E5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32E57" w:rsidP="00832E57">
            <w:pPr>
              <w:jc w:val="right"/>
            </w:pPr>
            <w:r w:rsidRPr="00832E57">
              <w:rPr>
                <w:sz w:val="40"/>
              </w:rPr>
              <w:t>ECE</w:t>
            </w:r>
            <w:r>
              <w:t>/TRANS/WP.11/2020/5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32E57" w:rsidP="00C97039">
            <w:pPr>
              <w:spacing w:before="240"/>
            </w:pPr>
            <w:r>
              <w:t>Distr. générale</w:t>
            </w:r>
          </w:p>
          <w:p w:rsidR="00832E57" w:rsidRDefault="00832E57" w:rsidP="00832E57">
            <w:pPr>
              <w:spacing w:line="240" w:lineRule="exact"/>
            </w:pPr>
            <w:r>
              <w:t>24 janvier 2020</w:t>
            </w:r>
          </w:p>
          <w:p w:rsidR="00832E57" w:rsidRDefault="00832E57" w:rsidP="00832E57">
            <w:pPr>
              <w:spacing w:line="240" w:lineRule="exact"/>
            </w:pPr>
            <w:r>
              <w:t>Français</w:t>
            </w:r>
          </w:p>
          <w:p w:rsidR="00832E57" w:rsidRPr="00DB58B5" w:rsidRDefault="00832E57" w:rsidP="00832E5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32E5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32E57" w:rsidRPr="00685843" w:rsidRDefault="00832E57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832E57" w:rsidRPr="00F30D47" w:rsidRDefault="00832E57" w:rsidP="00305801">
      <w:pPr>
        <w:spacing w:before="120"/>
        <w:rPr>
          <w:b/>
        </w:rPr>
      </w:pPr>
      <w:r w:rsidRPr="003E351B">
        <w:rPr>
          <w:b/>
          <w:bCs/>
          <w:lang w:val="fr-FR"/>
        </w:rPr>
        <w:t>Soixante-seizième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:rsidR="00832E57" w:rsidRDefault="00832E57" w:rsidP="00305801">
      <w:r>
        <w:t xml:space="preserve">Genève, </w:t>
      </w:r>
      <w:r w:rsidRPr="003E351B">
        <w:rPr>
          <w:lang w:val="fr-FR"/>
        </w:rPr>
        <w:t>7-9</w:t>
      </w:r>
      <w:r>
        <w:rPr>
          <w:lang w:val="fr-FR"/>
        </w:rPr>
        <w:t> </w:t>
      </w:r>
      <w:r w:rsidRPr="003E351B">
        <w:rPr>
          <w:lang w:val="fr-FR"/>
        </w:rPr>
        <w:t>avril 2020</w:t>
      </w:r>
    </w:p>
    <w:p w:rsidR="00832E57" w:rsidRDefault="00832E57" w:rsidP="00305801">
      <w:r>
        <w:t>Point 6 a) de l’ordre du jour provisoire</w:t>
      </w:r>
    </w:p>
    <w:p w:rsidR="00F9573C" w:rsidRDefault="00832E57" w:rsidP="00AF0CB5">
      <w:pPr>
        <w:rPr>
          <w:b/>
          <w:bCs/>
          <w:iCs/>
          <w:lang w:val="fr-FR"/>
        </w:rPr>
      </w:pPr>
      <w:r w:rsidRPr="003E351B">
        <w:rPr>
          <w:b/>
          <w:bCs/>
          <w:iCs/>
          <w:lang w:val="fr-FR"/>
        </w:rPr>
        <w:t>Propositions d</w:t>
      </w:r>
      <w:r>
        <w:rPr>
          <w:b/>
          <w:bCs/>
          <w:iCs/>
          <w:lang w:val="fr-FR"/>
        </w:rPr>
        <w:t>’</w:t>
      </w:r>
      <w:r w:rsidRPr="003E351B">
        <w:rPr>
          <w:b/>
          <w:bCs/>
          <w:iCs/>
          <w:lang w:val="fr-FR"/>
        </w:rPr>
        <w:t>amendements à l</w:t>
      </w:r>
      <w:r>
        <w:rPr>
          <w:b/>
          <w:bCs/>
          <w:iCs/>
          <w:lang w:val="fr-FR"/>
        </w:rPr>
        <w:t>’</w:t>
      </w:r>
      <w:r w:rsidRPr="003E351B">
        <w:rPr>
          <w:b/>
          <w:bCs/>
          <w:iCs/>
          <w:lang w:val="fr-FR"/>
        </w:rPr>
        <w:t>ATP</w:t>
      </w:r>
      <w:r>
        <w:rPr>
          <w:b/>
          <w:bCs/>
          <w:iCs/>
          <w:lang w:val="fr-FR"/>
        </w:rPr>
        <w:t> </w:t>
      </w:r>
      <w:r w:rsidRPr="003E351B">
        <w:rPr>
          <w:b/>
          <w:bCs/>
          <w:iCs/>
          <w:lang w:val="fr-FR"/>
        </w:rPr>
        <w:t>:</w:t>
      </w:r>
      <w:r>
        <w:rPr>
          <w:b/>
          <w:bCs/>
          <w:iCs/>
          <w:lang w:val="fr-FR"/>
        </w:rPr>
        <w:br/>
      </w:r>
      <w:r w:rsidRPr="003E351B">
        <w:rPr>
          <w:b/>
          <w:bCs/>
          <w:iCs/>
          <w:lang w:val="fr-FR"/>
        </w:rPr>
        <w:t>propositions en suspens</w:t>
      </w:r>
    </w:p>
    <w:p w:rsidR="00832E57" w:rsidRPr="003E351B" w:rsidRDefault="00832E57" w:rsidP="00832E57">
      <w:pPr>
        <w:pStyle w:val="HChG"/>
        <w:rPr>
          <w:lang w:val="fr-FR"/>
        </w:rPr>
      </w:pPr>
      <w:r w:rsidRPr="003E351B">
        <w:rPr>
          <w:lang w:val="fr-FR"/>
        </w:rPr>
        <w:tab/>
      </w:r>
      <w:r w:rsidRPr="003E351B">
        <w:rPr>
          <w:lang w:val="fr-FR"/>
        </w:rPr>
        <w:tab/>
        <w:t>Amendement</w:t>
      </w:r>
      <w:r>
        <w:rPr>
          <w:lang w:val="fr-FR"/>
        </w:rPr>
        <w:t>s</w:t>
      </w:r>
      <w:r w:rsidRPr="003E351B">
        <w:rPr>
          <w:lang w:val="fr-FR"/>
        </w:rPr>
        <w:t xml:space="preserve"> aux paragraphes 3.2.6 et 4.3.4 ii) </w:t>
      </w:r>
      <w:r>
        <w:rPr>
          <w:lang w:val="fr-FR"/>
        </w:rPr>
        <w:br/>
      </w:r>
      <w:r w:rsidRPr="003E351B">
        <w:rPr>
          <w:lang w:val="fr-FR"/>
        </w:rPr>
        <w:t>de l</w:t>
      </w:r>
      <w:r>
        <w:rPr>
          <w:lang w:val="fr-FR"/>
        </w:rPr>
        <w:t>’</w:t>
      </w:r>
      <w:r w:rsidRPr="003E351B">
        <w:rPr>
          <w:lang w:val="fr-FR"/>
        </w:rPr>
        <w:t>appendice 2 de l</w:t>
      </w:r>
      <w:r>
        <w:rPr>
          <w:lang w:val="fr-FR"/>
        </w:rPr>
        <w:t>’</w:t>
      </w:r>
      <w:r w:rsidRPr="003E351B">
        <w:rPr>
          <w:lang w:val="fr-FR"/>
        </w:rPr>
        <w:t>annexe 1, à l</w:t>
      </w:r>
      <w:r>
        <w:rPr>
          <w:lang w:val="fr-FR"/>
        </w:rPr>
        <w:t>’</w:t>
      </w:r>
      <w:r w:rsidRPr="003E351B">
        <w:rPr>
          <w:lang w:val="fr-FR"/>
        </w:rPr>
        <w:t>appendice 3</w:t>
      </w:r>
      <w:r>
        <w:rPr>
          <w:lang w:val="fr-FR"/>
        </w:rPr>
        <w:br/>
      </w:r>
      <w:r w:rsidRPr="003E351B">
        <w:rPr>
          <w:lang w:val="fr-FR"/>
        </w:rPr>
        <w:t>de l</w:t>
      </w:r>
      <w:r>
        <w:rPr>
          <w:lang w:val="fr-FR"/>
        </w:rPr>
        <w:t>’</w:t>
      </w:r>
      <w:r w:rsidRPr="003E351B">
        <w:rPr>
          <w:lang w:val="fr-FR"/>
        </w:rPr>
        <w:t>annexe 1 et au Manuel ATP</w:t>
      </w:r>
    </w:p>
    <w:p w:rsidR="00832E57" w:rsidRPr="003E351B" w:rsidRDefault="00832E57" w:rsidP="00832E57">
      <w:pPr>
        <w:pStyle w:val="H1G"/>
        <w:rPr>
          <w:lang w:val="fr-FR"/>
        </w:rPr>
      </w:pPr>
      <w:r w:rsidRPr="003E351B">
        <w:rPr>
          <w:lang w:val="fr-FR"/>
        </w:rPr>
        <w:tab/>
      </w:r>
      <w:r w:rsidRPr="003E351B">
        <w:rPr>
          <w:lang w:val="fr-FR"/>
        </w:rPr>
        <w:tab/>
        <w:t>Communication du Gouvernement du Royaume-Uni</w:t>
      </w:r>
    </w:p>
    <w:p w:rsidR="00832E57" w:rsidRDefault="00832E57" w:rsidP="00832E57">
      <w:pPr>
        <w:pStyle w:val="HChG"/>
        <w:rPr>
          <w:iCs/>
          <w:lang w:val="fr-FR"/>
        </w:rPr>
      </w:pPr>
      <w:r w:rsidRPr="003E351B">
        <w:rPr>
          <w:lang w:val="fr-FR"/>
        </w:rPr>
        <w:tab/>
      </w:r>
      <w:r w:rsidRPr="003E351B">
        <w:rPr>
          <w:lang w:val="fr-FR"/>
        </w:rPr>
        <w:tab/>
        <w:t>Introduction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FA44CA">
        <w:rPr>
          <w:lang w:val="fr-FR"/>
        </w:rPr>
        <w:t>1</w:t>
      </w:r>
      <w:r w:rsidRPr="003E351B">
        <w:rPr>
          <w:lang w:val="fr-FR"/>
        </w:rPr>
        <w:t>.</w:t>
      </w:r>
      <w:r w:rsidRPr="003E351B">
        <w:rPr>
          <w:lang w:val="fr-FR"/>
        </w:rPr>
        <w:tab/>
        <w:t>Il n</w:t>
      </w:r>
      <w:r>
        <w:rPr>
          <w:lang w:val="fr-FR"/>
        </w:rPr>
        <w:t>’</w:t>
      </w:r>
      <w:r w:rsidRPr="003E351B">
        <w:rPr>
          <w:lang w:val="fr-FR"/>
        </w:rPr>
        <w:t>existe actuellement aucune prescription concernant le débit d</w:t>
      </w:r>
      <w:r>
        <w:rPr>
          <w:lang w:val="fr-FR"/>
        </w:rPr>
        <w:t>’</w:t>
      </w:r>
      <w:r w:rsidRPr="003E351B">
        <w:rPr>
          <w:lang w:val="fr-FR"/>
        </w:rPr>
        <w:t>air alors que le réfrigérant secondaire est indispensable pour la sécurité du transport de</w:t>
      </w:r>
      <w:r>
        <w:rPr>
          <w:lang w:val="fr-FR"/>
        </w:rPr>
        <w:t>s</w:t>
      </w:r>
      <w:r w:rsidRPr="003E351B">
        <w:rPr>
          <w:lang w:val="fr-FR"/>
        </w:rPr>
        <w:t xml:space="preserve"> chargements de denrées périssables dans </w:t>
      </w:r>
      <w:r>
        <w:rPr>
          <w:lang w:val="fr-FR"/>
        </w:rPr>
        <w:t>l</w:t>
      </w:r>
      <w:r w:rsidRPr="003E351B">
        <w:rPr>
          <w:lang w:val="fr-FR"/>
        </w:rPr>
        <w:t xml:space="preserve">es véhicules frigorifiques. 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244B90">
        <w:rPr>
          <w:lang w:val="fr-FR"/>
        </w:rPr>
        <w:t>2</w:t>
      </w:r>
      <w:r w:rsidRPr="003E351B">
        <w:rPr>
          <w:lang w:val="fr-FR"/>
        </w:rPr>
        <w:t>.</w:t>
      </w:r>
      <w:r w:rsidRPr="003E351B">
        <w:rPr>
          <w:lang w:val="fr-FR"/>
        </w:rPr>
        <w:tab/>
        <w:t>Selon le texte actuel, la mesure du débit d</w:t>
      </w:r>
      <w:r>
        <w:rPr>
          <w:lang w:val="fr-FR"/>
        </w:rPr>
        <w:t>’</w:t>
      </w:r>
      <w:r w:rsidRPr="003E351B">
        <w:rPr>
          <w:lang w:val="fr-FR"/>
        </w:rPr>
        <w:t>air n</w:t>
      </w:r>
      <w:r>
        <w:rPr>
          <w:lang w:val="fr-FR"/>
        </w:rPr>
        <w:t>’</w:t>
      </w:r>
      <w:r w:rsidRPr="003E351B">
        <w:rPr>
          <w:lang w:val="fr-FR"/>
        </w:rPr>
        <w:t>est que facultative. Le paragraphe 4.3.4 iii) de l</w:t>
      </w:r>
      <w:r>
        <w:rPr>
          <w:lang w:val="fr-FR"/>
        </w:rPr>
        <w:t>’</w:t>
      </w:r>
      <w:r w:rsidRPr="003E351B">
        <w:rPr>
          <w:lang w:val="fr-FR"/>
        </w:rPr>
        <w:t>appendice 2 de l</w:t>
      </w:r>
      <w:r>
        <w:rPr>
          <w:lang w:val="fr-FR"/>
        </w:rPr>
        <w:t>’</w:t>
      </w:r>
      <w:r w:rsidRPr="003E351B">
        <w:rPr>
          <w:lang w:val="fr-FR"/>
        </w:rPr>
        <w:t>annexe 1 est libellé comme suit</w:t>
      </w:r>
      <w:r>
        <w:rPr>
          <w:lang w:val="fr-FR"/>
        </w:rPr>
        <w:t> </w:t>
      </w:r>
      <w:r w:rsidRPr="003E351B">
        <w:rPr>
          <w:lang w:val="fr-FR"/>
        </w:rPr>
        <w:t>:</w:t>
      </w:r>
    </w:p>
    <w:p w:rsidR="00832E57" w:rsidRPr="003E351B" w:rsidRDefault="00832E57" w:rsidP="00832E57">
      <w:pPr>
        <w:pStyle w:val="SingleTxtG"/>
        <w:ind w:left="1701"/>
        <w:rPr>
          <w:lang w:val="fr-FR"/>
        </w:rPr>
      </w:pPr>
      <w:r w:rsidRPr="003E351B">
        <w:rPr>
          <w:lang w:val="fr-FR"/>
        </w:rPr>
        <w:t>«</w:t>
      </w:r>
      <w:r>
        <w:rPr>
          <w:lang w:val="fr-FR"/>
        </w:rPr>
        <w:t> </w:t>
      </w:r>
      <w:r w:rsidRPr="003E351B">
        <w:rPr>
          <w:lang w:val="fr-FR"/>
        </w:rPr>
        <w:t>Si l</w:t>
      </w:r>
      <w:r>
        <w:rPr>
          <w:lang w:val="fr-FR"/>
        </w:rPr>
        <w:t>’</w:t>
      </w:r>
      <w:r w:rsidRPr="003E351B">
        <w:rPr>
          <w:lang w:val="fr-FR"/>
        </w:rPr>
        <w:t>on se propose de mesurer le débit d</w:t>
      </w:r>
      <w:r>
        <w:rPr>
          <w:lang w:val="fr-FR"/>
        </w:rPr>
        <w:t>’</w:t>
      </w:r>
      <w:r w:rsidRPr="003E351B">
        <w:rPr>
          <w:lang w:val="fr-FR"/>
        </w:rPr>
        <w:t>air déplacé par les ventilateurs de l</w:t>
      </w:r>
      <w:r>
        <w:rPr>
          <w:lang w:val="fr-FR"/>
        </w:rPr>
        <w:t>’</w:t>
      </w:r>
      <w:r w:rsidRPr="003E351B">
        <w:rPr>
          <w:lang w:val="fr-FR"/>
        </w:rPr>
        <w:t>évaporateur d</w:t>
      </w:r>
      <w:r>
        <w:rPr>
          <w:lang w:val="fr-FR"/>
        </w:rPr>
        <w:t>’</w:t>
      </w:r>
      <w:r w:rsidRPr="003E351B">
        <w:rPr>
          <w:lang w:val="fr-FR"/>
        </w:rPr>
        <w:t>un groupe frigorifique, on utilise des méthodes capables de mesurer le volume total déplacé.</w:t>
      </w:r>
      <w:r>
        <w:rPr>
          <w:lang w:val="fr-FR"/>
        </w:rPr>
        <w:t> ».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3.</w:t>
      </w:r>
      <w:r w:rsidRPr="003E351B">
        <w:rPr>
          <w:lang w:val="fr-FR"/>
        </w:rPr>
        <w:tab/>
        <w:t>Une proposition du Royaume-Uni (ECE/TRANS/WP.11/2012/5) visant à modifier le texte en ce qui concerne la mesure du débit d</w:t>
      </w:r>
      <w:r>
        <w:rPr>
          <w:lang w:val="fr-FR"/>
        </w:rPr>
        <w:t>’</w:t>
      </w:r>
      <w:r w:rsidRPr="003E351B">
        <w:rPr>
          <w:lang w:val="fr-FR"/>
        </w:rPr>
        <w:t>air a été présentée à la soixante-huitième session. Elle n</w:t>
      </w:r>
      <w:r>
        <w:rPr>
          <w:lang w:val="fr-FR"/>
        </w:rPr>
        <w:t>’</w:t>
      </w:r>
      <w:r w:rsidRPr="003E351B">
        <w:rPr>
          <w:lang w:val="fr-FR"/>
        </w:rPr>
        <w:t>a pas été acceptée, car la vérification des chiffres déclarés par les fabricants n</w:t>
      </w:r>
      <w:r>
        <w:rPr>
          <w:lang w:val="fr-FR"/>
        </w:rPr>
        <w:t>’</w:t>
      </w:r>
      <w:r w:rsidRPr="003E351B">
        <w:rPr>
          <w:lang w:val="fr-FR"/>
        </w:rPr>
        <w:t>est pas obligatoire. Il a été suggéré qu</w:t>
      </w:r>
      <w:r>
        <w:rPr>
          <w:lang w:val="fr-FR"/>
        </w:rPr>
        <w:t>’</w:t>
      </w:r>
      <w:r w:rsidRPr="003E351B">
        <w:rPr>
          <w:lang w:val="fr-FR"/>
        </w:rPr>
        <w:t>un groupe de travail établisse une nouvelle proposition, modifiée, pour l</w:t>
      </w:r>
      <w:r>
        <w:rPr>
          <w:lang w:val="fr-FR"/>
        </w:rPr>
        <w:t>’</w:t>
      </w:r>
      <w:r w:rsidRPr="003E351B">
        <w:rPr>
          <w:lang w:val="fr-FR"/>
        </w:rPr>
        <w:t>année suivante.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4.</w:t>
      </w:r>
      <w:r w:rsidRPr="003E351B">
        <w:rPr>
          <w:lang w:val="fr-FR"/>
        </w:rPr>
        <w:tab/>
        <w:t>Le Royaume-Uni a soumis un document informel (INF.5) pour examen à la soixante-neuvième session du WP.11 et il a été suggéré qu</w:t>
      </w:r>
      <w:r>
        <w:rPr>
          <w:lang w:val="fr-FR"/>
        </w:rPr>
        <w:t>’</w:t>
      </w:r>
      <w:r w:rsidRPr="003E351B">
        <w:rPr>
          <w:lang w:val="fr-FR"/>
        </w:rPr>
        <w:t>un groupe de travail informel soit créé.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5.</w:t>
      </w:r>
      <w:r w:rsidRPr="003E351B">
        <w:rPr>
          <w:lang w:val="fr-FR"/>
        </w:rPr>
        <w:tab/>
        <w:t>Le Royaume-Uni a ensuite soumis un document de travail (ECE/TRANS/</w:t>
      </w:r>
      <w:r>
        <w:rPr>
          <w:lang w:val="fr-FR"/>
        </w:rPr>
        <w:t xml:space="preserve"> </w:t>
      </w:r>
      <w:r w:rsidRPr="003E351B">
        <w:rPr>
          <w:lang w:val="fr-FR"/>
        </w:rPr>
        <w:t>WP.11/2014/15, partie A), qui a été adopté à la soixante-dixième session du WP.11.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6.</w:t>
      </w:r>
      <w:r w:rsidRPr="003E351B">
        <w:rPr>
          <w:lang w:val="fr-FR"/>
        </w:rPr>
        <w:tab/>
        <w:t>Le 17</w:t>
      </w:r>
      <w:r>
        <w:rPr>
          <w:lang w:val="fr-FR"/>
        </w:rPr>
        <w:t> </w:t>
      </w:r>
      <w:r w:rsidRPr="003E351B">
        <w:rPr>
          <w:lang w:val="fr-FR"/>
        </w:rPr>
        <w:t>septembre 2015, le Gouvernement finlandais a formulé une objection au sujet de la proposition d</w:t>
      </w:r>
      <w:r>
        <w:rPr>
          <w:lang w:val="fr-FR"/>
        </w:rPr>
        <w:t>’</w:t>
      </w:r>
      <w:r w:rsidRPr="003E351B">
        <w:rPr>
          <w:lang w:val="fr-FR"/>
        </w:rPr>
        <w:t>amendement au paragraphe 2.3.6 de l</w:t>
      </w:r>
      <w:r>
        <w:rPr>
          <w:lang w:val="fr-FR"/>
        </w:rPr>
        <w:t>’</w:t>
      </w:r>
      <w:r w:rsidRPr="003E351B">
        <w:rPr>
          <w:lang w:val="fr-FR"/>
        </w:rPr>
        <w:t>appendice 2 de l</w:t>
      </w:r>
      <w:r>
        <w:rPr>
          <w:lang w:val="fr-FR"/>
        </w:rPr>
        <w:t>’</w:t>
      </w:r>
      <w:r w:rsidRPr="003E351B">
        <w:rPr>
          <w:lang w:val="fr-FR"/>
        </w:rPr>
        <w:t>annexe 1 (C.N.481.2015.TREATIES-X1.B.22) (proposition de prescription du débit d</w:t>
      </w:r>
      <w:r>
        <w:rPr>
          <w:lang w:val="fr-FR"/>
        </w:rPr>
        <w:t>’</w:t>
      </w:r>
      <w:r w:rsidRPr="003E351B">
        <w:rPr>
          <w:lang w:val="fr-FR"/>
        </w:rPr>
        <w:t xml:space="preserve">air à </w:t>
      </w:r>
      <w:r w:rsidRPr="003E351B">
        <w:rPr>
          <w:lang w:val="fr-FR"/>
        </w:rPr>
        <w:lastRenderedPageBreak/>
        <w:t>60</w:t>
      </w:r>
      <w:r w:rsidR="009E6A52">
        <w:rPr>
          <w:lang w:val="fr-FR"/>
        </w:rPr>
        <w:t> </w:t>
      </w:r>
      <w:r w:rsidRPr="003E351B">
        <w:rPr>
          <w:lang w:val="fr-FR"/>
        </w:rPr>
        <w:t>changements d</w:t>
      </w:r>
      <w:r>
        <w:rPr>
          <w:lang w:val="fr-FR"/>
        </w:rPr>
        <w:t>’</w:t>
      </w:r>
      <w:r w:rsidRPr="003E351B">
        <w:rPr>
          <w:lang w:val="fr-FR"/>
        </w:rPr>
        <w:t>air à l</w:t>
      </w:r>
      <w:r>
        <w:rPr>
          <w:lang w:val="fr-FR"/>
        </w:rPr>
        <w:t>’</w:t>
      </w:r>
      <w:r w:rsidRPr="003E351B">
        <w:rPr>
          <w:lang w:val="fr-FR"/>
        </w:rPr>
        <w:t xml:space="preserve">heure). </w:t>
      </w:r>
      <w:r w:rsidRPr="003E351B">
        <w:rPr>
          <w:iCs/>
          <w:lang w:val="fr-FR"/>
        </w:rPr>
        <w:t>Cette objection s</w:t>
      </w:r>
      <w:r>
        <w:rPr>
          <w:iCs/>
          <w:lang w:val="fr-FR"/>
        </w:rPr>
        <w:t>’</w:t>
      </w:r>
      <w:r w:rsidRPr="003E351B">
        <w:rPr>
          <w:iCs/>
          <w:lang w:val="fr-FR"/>
        </w:rPr>
        <w:t>appliquait à une seule proposition et n</w:t>
      </w:r>
      <w:r>
        <w:rPr>
          <w:iCs/>
          <w:lang w:val="fr-FR"/>
        </w:rPr>
        <w:t>’</w:t>
      </w:r>
      <w:r w:rsidRPr="003E351B">
        <w:rPr>
          <w:iCs/>
          <w:lang w:val="fr-FR"/>
        </w:rPr>
        <w:t>a donc pas eu d</w:t>
      </w:r>
      <w:r>
        <w:rPr>
          <w:iCs/>
          <w:lang w:val="fr-FR"/>
        </w:rPr>
        <w:t>’</w:t>
      </w:r>
      <w:r w:rsidRPr="003E351B">
        <w:rPr>
          <w:iCs/>
          <w:lang w:val="fr-FR"/>
        </w:rPr>
        <w:t>influence sur les autres propositions.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7.</w:t>
      </w:r>
      <w:r w:rsidRPr="003E351B">
        <w:rPr>
          <w:lang w:val="fr-FR"/>
        </w:rPr>
        <w:tab/>
      </w:r>
      <w:r>
        <w:rPr>
          <w:lang w:val="fr-FR"/>
        </w:rPr>
        <w:t>À</w:t>
      </w:r>
      <w:r w:rsidRPr="003E351B">
        <w:rPr>
          <w:lang w:val="fr-FR"/>
        </w:rPr>
        <w:t xml:space="preserve"> la </w:t>
      </w:r>
      <w:r w:rsidRPr="003E351B">
        <w:rPr>
          <w:iCs/>
          <w:lang w:val="fr-FR"/>
        </w:rPr>
        <w:t>soixante-quinzième session du WP.11</w:t>
      </w:r>
      <w:r w:rsidRPr="003E351B">
        <w:rPr>
          <w:lang w:val="fr-FR"/>
        </w:rPr>
        <w:t>, une version mise à jour de cette proposition a été présentée</w:t>
      </w:r>
      <w:r>
        <w:rPr>
          <w:lang w:val="fr-FR"/>
        </w:rPr>
        <w:t>.</w:t>
      </w:r>
      <w:r w:rsidRPr="003E351B">
        <w:rPr>
          <w:lang w:val="fr-FR"/>
        </w:rPr>
        <w:t xml:space="preserve"> </w:t>
      </w:r>
      <w:r>
        <w:rPr>
          <w:lang w:val="fr-FR"/>
        </w:rPr>
        <w:t>L’</w:t>
      </w:r>
      <w:r w:rsidRPr="003E351B">
        <w:rPr>
          <w:lang w:val="fr-FR"/>
        </w:rPr>
        <w:t>Allemagne a émis des objections concernant le tableau du Manuel ATP, la Tchéquie a exprimé des préoccupations concernant les petits évaporateurs dans les remorques multitempératures et la Finlande a continué d</w:t>
      </w:r>
      <w:r>
        <w:rPr>
          <w:lang w:val="fr-FR"/>
        </w:rPr>
        <w:t>’</w:t>
      </w:r>
      <w:r w:rsidRPr="003E351B">
        <w:rPr>
          <w:lang w:val="fr-FR"/>
        </w:rPr>
        <w:t>exprimer des préoccupations de la part des fabricants et du secteur industriel finlandais. La délégation du Royaume-Uni a tenu compte de ces observations et a présenté une version modifiée qui, espérons-le, satisfera toutes les parties.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8.</w:t>
      </w:r>
      <w:r w:rsidRPr="003E351B">
        <w:rPr>
          <w:lang w:val="fr-FR"/>
        </w:rPr>
        <w:tab/>
        <w:t>Le tableau du Manuel a été réduit et adapté de manière plus précise aux objectifs de l</w:t>
      </w:r>
      <w:r>
        <w:rPr>
          <w:lang w:val="fr-FR"/>
        </w:rPr>
        <w:t>’</w:t>
      </w:r>
      <w:r w:rsidRPr="003E351B">
        <w:rPr>
          <w:lang w:val="fr-FR"/>
        </w:rPr>
        <w:t>ATP</w:t>
      </w:r>
      <w:r>
        <w:rPr>
          <w:lang w:val="fr-FR"/>
        </w:rPr>
        <w:t>.</w:t>
      </w:r>
      <w:r w:rsidRPr="003E351B">
        <w:rPr>
          <w:lang w:val="fr-FR"/>
        </w:rPr>
        <w:t xml:space="preserve"> </w:t>
      </w:r>
      <w:r>
        <w:rPr>
          <w:lang w:val="fr-FR"/>
        </w:rPr>
        <w:t>N</w:t>
      </w:r>
      <w:r w:rsidRPr="003E351B">
        <w:rPr>
          <w:lang w:val="fr-FR"/>
        </w:rPr>
        <w:t>ous avons fourni davantage d</w:t>
      </w:r>
      <w:r>
        <w:rPr>
          <w:lang w:val="fr-FR"/>
        </w:rPr>
        <w:t>’</w:t>
      </w:r>
      <w:r w:rsidRPr="003E351B">
        <w:rPr>
          <w:lang w:val="fr-FR"/>
        </w:rPr>
        <w:t>informations sur les évaporateurs de plus petite taille dans les unités multitempératures, qui, nous l</w:t>
      </w:r>
      <w:r>
        <w:rPr>
          <w:lang w:val="fr-FR"/>
        </w:rPr>
        <w:t>’</w:t>
      </w:r>
      <w:r w:rsidRPr="003E351B">
        <w:rPr>
          <w:lang w:val="fr-FR"/>
        </w:rPr>
        <w:t>espérons, donneront satisfaction à la Tchéquie, et nous avons contacté les autorités finlandaises compétentes pour connaître les raisons pour lesquelles le secteur industriel émettait des objections, mais nous n</w:t>
      </w:r>
      <w:r>
        <w:rPr>
          <w:lang w:val="fr-FR"/>
        </w:rPr>
        <w:t>’</w:t>
      </w:r>
      <w:r w:rsidRPr="003E351B">
        <w:rPr>
          <w:lang w:val="fr-FR"/>
        </w:rPr>
        <w:t>avons pas reçu de renseignement</w:t>
      </w:r>
      <w:r>
        <w:rPr>
          <w:lang w:val="fr-FR"/>
        </w:rPr>
        <w:t>s</w:t>
      </w:r>
      <w:r w:rsidRPr="003E351B">
        <w:rPr>
          <w:lang w:val="fr-FR"/>
        </w:rPr>
        <w:t xml:space="preserve"> complémentaires pour le moment.</w:t>
      </w:r>
    </w:p>
    <w:p w:rsidR="00832E57" w:rsidRPr="003E351B" w:rsidRDefault="00832E57" w:rsidP="00832E57">
      <w:pPr>
        <w:pStyle w:val="HChG"/>
        <w:rPr>
          <w:lang w:val="fr-FR"/>
        </w:rPr>
      </w:pPr>
      <w:r w:rsidRPr="003E351B">
        <w:rPr>
          <w:lang w:val="fr-FR"/>
        </w:rPr>
        <w:tab/>
      </w:r>
      <w:r w:rsidRPr="003E351B">
        <w:rPr>
          <w:lang w:val="fr-FR"/>
        </w:rPr>
        <w:tab/>
        <w:t>Renseignements complémentaires pour les petits évaporateurs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9.</w:t>
      </w:r>
      <w:r w:rsidRPr="003E351B">
        <w:rPr>
          <w:lang w:val="fr-FR"/>
        </w:rPr>
        <w:tab/>
        <w:t>La présente section a pour objet de fournir des précisions concernant une observation relative à la possibilité que les petits évaporateurs fassent l</w:t>
      </w:r>
      <w:r>
        <w:rPr>
          <w:lang w:val="fr-FR"/>
        </w:rPr>
        <w:t>’</w:t>
      </w:r>
      <w:r w:rsidRPr="003E351B">
        <w:rPr>
          <w:lang w:val="fr-FR"/>
        </w:rPr>
        <w:t xml:space="preserve">objet de restrictions en raison de la prescription minimale concernant </w:t>
      </w:r>
      <w:r w:rsidRPr="003E351B">
        <w:rPr>
          <w:iCs/>
          <w:lang w:val="fr-FR"/>
        </w:rPr>
        <w:t>les changements d</w:t>
      </w:r>
      <w:r>
        <w:rPr>
          <w:iCs/>
          <w:lang w:val="fr-FR"/>
        </w:rPr>
        <w:t>’</w:t>
      </w:r>
      <w:r w:rsidRPr="003E351B">
        <w:rPr>
          <w:iCs/>
          <w:lang w:val="fr-FR"/>
        </w:rPr>
        <w:t xml:space="preserve">air </w:t>
      </w:r>
      <w:r w:rsidRPr="003E351B">
        <w:rPr>
          <w:lang w:val="fr-FR"/>
        </w:rPr>
        <w:t>proposée par le Royaume-Uni. Les volumes maxim</w:t>
      </w:r>
      <w:r>
        <w:rPr>
          <w:lang w:val="fr-FR"/>
        </w:rPr>
        <w:t>aux</w:t>
      </w:r>
      <w:r w:rsidRPr="003E351B">
        <w:rPr>
          <w:lang w:val="fr-FR"/>
        </w:rPr>
        <w:t xml:space="preserve"> autorisés </w:t>
      </w:r>
      <w:r w:rsidRPr="003E351B">
        <w:rPr>
          <w:bCs/>
          <w:lang w:val="fr-FR"/>
        </w:rPr>
        <w:t>des compartiments</w:t>
      </w:r>
      <w:r w:rsidRPr="003E351B">
        <w:rPr>
          <w:lang w:val="fr-FR"/>
        </w:rPr>
        <w:t xml:space="preserve"> pour les évaporateurs multitempératures ont été calculés en utilisant toutes les données dont dispos</w:t>
      </w:r>
      <w:r>
        <w:rPr>
          <w:lang w:val="fr-FR"/>
        </w:rPr>
        <w:t>ait</w:t>
      </w:r>
      <w:r w:rsidRPr="003E351B">
        <w:rPr>
          <w:lang w:val="fr-FR"/>
        </w:rPr>
        <w:t xml:space="preserve"> </w:t>
      </w:r>
      <w:r w:rsidRPr="003E351B">
        <w:rPr>
          <w:bCs/>
          <w:lang w:val="fr-FR"/>
        </w:rPr>
        <w:t xml:space="preserve">CRT </w:t>
      </w:r>
      <w:r w:rsidRPr="003E351B">
        <w:rPr>
          <w:lang w:val="fr-FR"/>
        </w:rPr>
        <w:t>à partir des procès-verbaux d</w:t>
      </w:r>
      <w:r>
        <w:rPr>
          <w:lang w:val="fr-FR"/>
        </w:rPr>
        <w:t>’</w:t>
      </w:r>
      <w:r w:rsidRPr="003E351B">
        <w:rPr>
          <w:lang w:val="fr-FR"/>
        </w:rPr>
        <w:t xml:space="preserve">essai </w:t>
      </w:r>
      <w:r w:rsidRPr="003E351B">
        <w:rPr>
          <w:bCs/>
          <w:lang w:val="fr-FR"/>
        </w:rPr>
        <w:t>ATP</w:t>
      </w:r>
      <w:r w:rsidRPr="003E351B">
        <w:rPr>
          <w:b/>
          <w:bCs/>
          <w:lang w:val="fr-FR"/>
        </w:rPr>
        <w:t xml:space="preserve"> </w:t>
      </w:r>
      <w:r w:rsidRPr="003E351B">
        <w:rPr>
          <w:lang w:val="fr-FR"/>
        </w:rPr>
        <w:t xml:space="preserve">émis par plusieurs </w:t>
      </w:r>
      <w:r w:rsidRPr="003E351B">
        <w:rPr>
          <w:bCs/>
          <w:lang w:val="fr-FR"/>
        </w:rPr>
        <w:t>stations d</w:t>
      </w:r>
      <w:r>
        <w:rPr>
          <w:bCs/>
          <w:lang w:val="fr-FR"/>
        </w:rPr>
        <w:t>’</w:t>
      </w:r>
      <w:r w:rsidRPr="003E351B">
        <w:rPr>
          <w:bCs/>
          <w:lang w:val="fr-FR"/>
        </w:rPr>
        <w:t>essai</w:t>
      </w:r>
      <w:r w:rsidRPr="003E351B">
        <w:rPr>
          <w:lang w:val="fr-FR"/>
        </w:rPr>
        <w:t xml:space="preserve">. Il a été supposé que tous les engins de ce type seraient installés dans des remorques afin de définir une limite facilitant le calcul de la capacité requise. 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10.</w:t>
      </w:r>
      <w:r w:rsidRPr="003E351B">
        <w:rPr>
          <w:lang w:val="fr-FR"/>
        </w:rPr>
        <w:tab/>
        <w:t xml:space="preserve">Initialement, le volume maximal admissible pour chaque évaporateur </w:t>
      </w:r>
      <w:r>
        <w:rPr>
          <w:lang w:val="fr-FR"/>
        </w:rPr>
        <w:t xml:space="preserve">a été </w:t>
      </w:r>
      <w:r w:rsidRPr="003E351B">
        <w:rPr>
          <w:lang w:val="fr-FR"/>
        </w:rPr>
        <w:t>calculé en divisant par 40 le débit d</w:t>
      </w:r>
      <w:r>
        <w:rPr>
          <w:lang w:val="fr-FR"/>
        </w:rPr>
        <w:t>’</w:t>
      </w:r>
      <w:r w:rsidRPr="003E351B">
        <w:rPr>
          <w:lang w:val="fr-FR"/>
        </w:rPr>
        <w:t xml:space="preserve">air déclaré par le fabricant, ce qui correspond au nombre minimal proposé de </w:t>
      </w:r>
      <w:r w:rsidRPr="003E351B">
        <w:rPr>
          <w:iCs/>
          <w:lang w:val="fr-FR"/>
        </w:rPr>
        <w:t>changements d</w:t>
      </w:r>
      <w:r>
        <w:rPr>
          <w:iCs/>
          <w:lang w:val="fr-FR"/>
        </w:rPr>
        <w:t>’</w:t>
      </w:r>
      <w:r w:rsidRPr="003E351B">
        <w:rPr>
          <w:iCs/>
          <w:lang w:val="fr-FR"/>
        </w:rPr>
        <w:t>air à l</w:t>
      </w:r>
      <w:r>
        <w:rPr>
          <w:iCs/>
          <w:lang w:val="fr-FR"/>
        </w:rPr>
        <w:t>’</w:t>
      </w:r>
      <w:r w:rsidRPr="003E351B">
        <w:rPr>
          <w:iCs/>
          <w:lang w:val="fr-FR"/>
        </w:rPr>
        <w:t>heure</w:t>
      </w:r>
      <w:r w:rsidRPr="003E351B">
        <w:rPr>
          <w:lang w:val="fr-FR"/>
        </w:rPr>
        <w:t>. Dans la partie 7 de l</w:t>
      </w:r>
      <w:r>
        <w:rPr>
          <w:lang w:val="fr-FR"/>
        </w:rPr>
        <w:t>’</w:t>
      </w:r>
      <w:r w:rsidRPr="003E351B">
        <w:rPr>
          <w:lang w:val="fr-FR"/>
        </w:rPr>
        <w:t>appendice 2 de l</w:t>
      </w:r>
      <w:r>
        <w:rPr>
          <w:lang w:val="fr-FR"/>
        </w:rPr>
        <w:t>’</w:t>
      </w:r>
      <w:r w:rsidRPr="003E351B">
        <w:rPr>
          <w:lang w:val="fr-FR"/>
        </w:rPr>
        <w:t xml:space="preserve">annexe 1, la surface interne est utilisée pour déterminer </w:t>
      </w:r>
      <w:r>
        <w:rPr>
          <w:lang w:val="fr-FR"/>
        </w:rPr>
        <w:t xml:space="preserve">la </w:t>
      </w:r>
      <w:r w:rsidRPr="003E351B">
        <w:rPr>
          <w:lang w:val="fr-FR"/>
        </w:rPr>
        <w:t>capacité requise. Dans cette optique, la longueur interne a été calculée en se basant sur une largeur et une hauteur internes de 2,5</w:t>
      </w:r>
      <w:r>
        <w:rPr>
          <w:lang w:val="fr-FR"/>
        </w:rPr>
        <w:t> </w:t>
      </w:r>
      <w:r w:rsidRPr="003E351B">
        <w:rPr>
          <w:lang w:val="fr-FR"/>
        </w:rPr>
        <w:t>m et 2,6</w:t>
      </w:r>
      <w:r>
        <w:rPr>
          <w:lang w:val="fr-FR"/>
        </w:rPr>
        <w:t> </w:t>
      </w:r>
      <w:r w:rsidRPr="003E351B">
        <w:rPr>
          <w:lang w:val="fr-FR"/>
        </w:rPr>
        <w:t>m respectivement, qui sont des valeurs habituelles pour l</w:t>
      </w:r>
      <w:r>
        <w:rPr>
          <w:lang w:val="fr-FR"/>
        </w:rPr>
        <w:t>’</w:t>
      </w:r>
      <w:r w:rsidRPr="003E351B">
        <w:rPr>
          <w:lang w:val="fr-FR"/>
        </w:rPr>
        <w:t>engin considéré. La formule suivante a été utilisée</w:t>
      </w:r>
      <w:r>
        <w:rPr>
          <w:lang w:val="fr-FR"/>
        </w:rPr>
        <w:t> </w:t>
      </w:r>
      <w:r w:rsidRPr="003E351B">
        <w:rPr>
          <w:lang w:val="fr-FR"/>
        </w:rPr>
        <w:t>:</w:t>
      </w:r>
    </w:p>
    <w:p w:rsidR="00832E57" w:rsidRPr="003E351B" w:rsidRDefault="00795553" w:rsidP="00832E57">
      <w:pPr>
        <w:pStyle w:val="SingleTxtG"/>
        <w:spacing w:after="240" w:line="276" w:lineRule="auto"/>
        <w:rPr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l</m:t>
              </m:r>
            </m:e>
            <m:sub>
              <m:r>
                <w:rPr>
                  <w:rFonts w:ascii="Cambria Math" w:hAnsi="Cambria Math"/>
                  <w:lang w:val="fr-FR"/>
                </w:rPr>
                <m:t>int</m:t>
              </m:r>
            </m:sub>
          </m:sSub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int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int</m:t>
                  </m:r>
                </m:sub>
              </m:sSub>
            </m:den>
          </m:f>
          <m:r>
            <w:rPr>
              <w:rFonts w:ascii="Cambria Math" w:hAnsi="Cambria Math"/>
              <w:lang w:val="fr-FR"/>
            </w:rPr>
            <m:t xml:space="preserve"> </m:t>
          </m:r>
        </m:oMath>
      </m:oMathPara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11.</w:t>
      </w:r>
      <w:r w:rsidRPr="003E351B">
        <w:rPr>
          <w:lang w:val="fr-FR"/>
        </w:rPr>
        <w:tab/>
        <w:t>Pour déterminer la capacité requise, les hypothèses suivantes ont été faites</w:t>
      </w:r>
      <w:r>
        <w:rPr>
          <w:lang w:val="fr-FR"/>
        </w:rPr>
        <w:t> </w:t>
      </w:r>
      <w:r w:rsidRPr="003E351B">
        <w:rPr>
          <w:lang w:val="fr-FR"/>
        </w:rPr>
        <w:t>:</w:t>
      </w:r>
    </w:p>
    <w:p w:rsidR="00832E57" w:rsidRPr="003E351B" w:rsidRDefault="00832E57" w:rsidP="00832E57">
      <w:pPr>
        <w:pStyle w:val="SingleTxtG"/>
        <w:ind w:firstLine="567"/>
        <w:rPr>
          <w:lang w:val="fr-FR"/>
        </w:rPr>
      </w:pPr>
      <w:r w:rsidRPr="003E351B">
        <w:rPr>
          <w:lang w:val="fr-FR"/>
        </w:rPr>
        <w:t>a)</w:t>
      </w:r>
      <w:r w:rsidRPr="003E351B">
        <w:rPr>
          <w:lang w:val="fr-FR"/>
        </w:rPr>
        <w:tab/>
        <w:t>Valeur K</w:t>
      </w:r>
      <w:r w:rsidRPr="003E351B">
        <w:rPr>
          <w:i/>
          <w:lang w:val="fr-FR"/>
        </w:rPr>
        <w:t>body</w:t>
      </w:r>
      <w:r w:rsidRPr="003E351B">
        <w:rPr>
          <w:lang w:val="fr-FR"/>
        </w:rPr>
        <w:t xml:space="preserve"> de 0,40 W·m-2·K-1</w:t>
      </w:r>
    </w:p>
    <w:p w:rsidR="00832E57" w:rsidRPr="003E351B" w:rsidRDefault="00832E57" w:rsidP="00832E57">
      <w:pPr>
        <w:pStyle w:val="SingleTxtG"/>
        <w:ind w:firstLine="567"/>
        <w:rPr>
          <w:lang w:val="fr-FR"/>
        </w:rPr>
      </w:pPr>
      <w:r w:rsidRPr="003E351B">
        <w:rPr>
          <w:lang w:val="fr-FR"/>
        </w:rPr>
        <w:t>b)</w:t>
      </w:r>
      <w:r w:rsidRPr="003E351B">
        <w:rPr>
          <w:lang w:val="fr-FR"/>
        </w:rPr>
        <w:tab/>
        <w:t>Cloison transversale fixe avec socle</w:t>
      </w:r>
      <w:r w:rsidRPr="003E351B">
        <w:rPr>
          <w:b/>
          <w:lang w:val="fr-FR"/>
        </w:rPr>
        <w:t xml:space="preserve"> </w:t>
      </w:r>
      <w:r w:rsidRPr="003E351B">
        <w:rPr>
          <w:lang w:val="fr-FR"/>
        </w:rPr>
        <w:t>en composite verre-résine, valeur K de 1</w:t>
      </w:r>
      <w:r>
        <w:rPr>
          <w:lang w:val="fr-FR"/>
        </w:rPr>
        <w:t>,</w:t>
      </w:r>
      <w:r w:rsidRPr="003E351B">
        <w:rPr>
          <w:lang w:val="fr-FR"/>
        </w:rPr>
        <w:t>5W·m-2·K-1 comme indiqué dans le tableau de la partie 7.3.7 de l</w:t>
      </w:r>
      <w:r>
        <w:rPr>
          <w:lang w:val="fr-FR"/>
        </w:rPr>
        <w:t>’</w:t>
      </w:r>
      <w:r w:rsidRPr="003E351B">
        <w:rPr>
          <w:lang w:val="fr-FR"/>
        </w:rPr>
        <w:t>appendice 2 de l</w:t>
      </w:r>
      <w:r>
        <w:rPr>
          <w:lang w:val="fr-FR"/>
        </w:rPr>
        <w:t>’</w:t>
      </w:r>
      <w:r w:rsidRPr="003E351B">
        <w:rPr>
          <w:lang w:val="fr-FR"/>
        </w:rPr>
        <w:t>annexe 1</w:t>
      </w:r>
    </w:p>
    <w:p w:rsidR="00832E57" w:rsidRPr="003E351B" w:rsidRDefault="00832E57" w:rsidP="00832E57">
      <w:pPr>
        <w:pStyle w:val="SingleTxtG"/>
        <w:ind w:firstLine="567"/>
        <w:rPr>
          <w:lang w:val="fr-FR"/>
        </w:rPr>
      </w:pPr>
      <w:r w:rsidRPr="003E351B">
        <w:rPr>
          <w:lang w:val="fr-FR"/>
        </w:rPr>
        <w:t>c)</w:t>
      </w:r>
      <w:r w:rsidRPr="003E351B">
        <w:rPr>
          <w:lang w:val="fr-FR"/>
        </w:rPr>
        <w:tab/>
        <w:t xml:space="preserve">Compartiment </w:t>
      </w:r>
      <w:r>
        <w:rPr>
          <w:lang w:val="fr-FR"/>
        </w:rPr>
        <w:t xml:space="preserve">de </w:t>
      </w:r>
      <w:r w:rsidRPr="003E351B">
        <w:rPr>
          <w:lang w:val="fr-FR"/>
        </w:rPr>
        <w:t>congé</w:t>
      </w:r>
      <w:r>
        <w:rPr>
          <w:lang w:val="fr-FR"/>
        </w:rPr>
        <w:t>lation</w:t>
      </w:r>
      <w:r w:rsidRPr="003E351B">
        <w:rPr>
          <w:lang w:val="fr-FR"/>
        </w:rPr>
        <w:t xml:space="preserve"> considéré avec un seul compartiment </w:t>
      </w:r>
      <w:r>
        <w:rPr>
          <w:lang w:val="fr-FR"/>
        </w:rPr>
        <w:t xml:space="preserve">de </w:t>
      </w:r>
      <w:r w:rsidRPr="003E351B">
        <w:rPr>
          <w:lang w:val="fr-FR"/>
        </w:rPr>
        <w:t>réfrigér</w:t>
      </w:r>
      <w:r>
        <w:rPr>
          <w:lang w:val="fr-FR"/>
        </w:rPr>
        <w:t>ation</w:t>
      </w:r>
      <w:r w:rsidRPr="003E351B">
        <w:rPr>
          <w:lang w:val="fr-FR"/>
        </w:rPr>
        <w:t xml:space="preserve"> voisin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La capacité a ensuite été calculée avec F = 1,75</w:t>
      </w:r>
      <w:r>
        <w:rPr>
          <w:lang w:val="fr-FR"/>
        </w:rPr>
        <w:t> </w:t>
      </w:r>
      <w:r w:rsidRPr="003E351B">
        <w:rPr>
          <w:lang w:val="fr-FR"/>
        </w:rPr>
        <w:t>:</w:t>
      </w:r>
    </w:p>
    <w:p w:rsidR="00832E57" w:rsidRPr="003E351B" w:rsidRDefault="00795553" w:rsidP="00832E57">
      <w:pPr>
        <w:pStyle w:val="SingleTxtG"/>
        <w:spacing w:after="240" w:line="276" w:lineRule="auto"/>
        <w:rPr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=F·</m:t>
          </m:r>
          <m:d>
            <m:dPr>
              <m:ctrlPr>
                <w:rPr>
                  <w:rFonts w:ascii="Cambria Math" w:hAnsi="Cambria Math"/>
                  <w:lang w:val="fr-F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bulk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bulk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ΔT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bulk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body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body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ΔT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body</m:t>
                  </m:r>
                </m:sub>
              </m:sSub>
            </m:e>
          </m:d>
        </m:oMath>
      </m:oMathPara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12.</w:t>
      </w:r>
      <w:r w:rsidRPr="003E351B">
        <w:rPr>
          <w:lang w:val="fr-FR"/>
        </w:rPr>
        <w:tab/>
        <w:t>On considère qu</w:t>
      </w:r>
      <w:r>
        <w:rPr>
          <w:lang w:val="fr-FR"/>
        </w:rPr>
        <w:t>’</w:t>
      </w:r>
      <w:r w:rsidRPr="003E351B">
        <w:rPr>
          <w:lang w:val="fr-FR"/>
        </w:rPr>
        <w:t>il s</w:t>
      </w:r>
      <w:r>
        <w:rPr>
          <w:lang w:val="fr-FR"/>
        </w:rPr>
        <w:t>’</w:t>
      </w:r>
      <w:r w:rsidRPr="003E351B">
        <w:rPr>
          <w:lang w:val="fr-FR"/>
        </w:rPr>
        <w:t xml:space="preserve">agit du flux thermique minimum idéal </w:t>
      </w:r>
      <w:r>
        <w:rPr>
          <w:lang w:val="fr-FR"/>
        </w:rPr>
        <w:t xml:space="preserve">entrant </w:t>
      </w:r>
      <w:r w:rsidRPr="003E351B">
        <w:rPr>
          <w:lang w:val="fr-FR"/>
        </w:rPr>
        <w:t>dans un compartiment, tous les chiffres réels étant supérieurs.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13.</w:t>
      </w:r>
      <w:r w:rsidRPr="003E351B">
        <w:rPr>
          <w:lang w:val="fr-FR"/>
        </w:rPr>
        <w:tab/>
        <w:t>Il a été constaté que 82</w:t>
      </w:r>
      <w:r>
        <w:rPr>
          <w:lang w:val="fr-FR"/>
        </w:rPr>
        <w:t> </w:t>
      </w:r>
      <w:r w:rsidRPr="003E351B">
        <w:rPr>
          <w:lang w:val="fr-FR"/>
        </w:rPr>
        <w:t>% des évaporateurs seraient limités par la capacité requise plutôt que par le débit d</w:t>
      </w:r>
      <w:r>
        <w:rPr>
          <w:lang w:val="fr-FR"/>
        </w:rPr>
        <w:t>’</w:t>
      </w:r>
      <w:r w:rsidRPr="003E351B">
        <w:rPr>
          <w:lang w:val="fr-FR"/>
        </w:rPr>
        <w:t>air minimum proposé. Il a également été constaté que les évaporateurs de taille moyenne étaient limités par le facteur du débit d</w:t>
      </w:r>
      <w:r>
        <w:rPr>
          <w:lang w:val="fr-FR"/>
        </w:rPr>
        <w:t>’</w:t>
      </w:r>
      <w:r w:rsidRPr="003E351B">
        <w:rPr>
          <w:lang w:val="fr-FR"/>
        </w:rPr>
        <w:t xml:space="preserve">air minimum, tandis </w:t>
      </w:r>
      <w:bookmarkStart w:id="0" w:name="_GoBack"/>
      <w:bookmarkEnd w:id="0"/>
      <w:r w:rsidRPr="003E351B">
        <w:rPr>
          <w:lang w:val="fr-FR"/>
        </w:rPr>
        <w:lastRenderedPageBreak/>
        <w:t xml:space="preserve">que les systèmes et les unités hôtes de plus petite taille étaient limités par la capacité minimale requise. 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14.</w:t>
      </w:r>
      <w:r w:rsidRPr="003E351B">
        <w:rPr>
          <w:lang w:val="fr-FR"/>
        </w:rPr>
        <w:tab/>
        <w:t>Lorsque la capacité était le facteur limitant, la capacité moyenne déclarée des évaporateurs correspondait à 67</w:t>
      </w:r>
      <w:r>
        <w:rPr>
          <w:lang w:val="fr-FR"/>
        </w:rPr>
        <w:t> </w:t>
      </w:r>
      <w:r w:rsidRPr="003E351B">
        <w:rPr>
          <w:lang w:val="fr-FR"/>
        </w:rPr>
        <w:t>% de la capacité minimum requise en maximisant le volume sur la base du débit d</w:t>
      </w:r>
      <w:r>
        <w:rPr>
          <w:lang w:val="fr-FR"/>
        </w:rPr>
        <w:t>’</w:t>
      </w:r>
      <w:r w:rsidRPr="003E351B">
        <w:rPr>
          <w:lang w:val="fr-FR"/>
        </w:rPr>
        <w:t>air déclaré par le fabricant. Pour la majorité des évaporateurs, la capacité requise par l</w:t>
      </w:r>
      <w:r>
        <w:rPr>
          <w:lang w:val="fr-FR"/>
        </w:rPr>
        <w:t>’</w:t>
      </w:r>
      <w:r w:rsidRPr="003E351B">
        <w:rPr>
          <w:lang w:val="fr-FR"/>
        </w:rPr>
        <w:t>ATP est nettement supérieure au débit d</w:t>
      </w:r>
      <w:r>
        <w:rPr>
          <w:lang w:val="fr-FR"/>
        </w:rPr>
        <w:t>’</w:t>
      </w:r>
      <w:r w:rsidRPr="003E351B">
        <w:rPr>
          <w:lang w:val="fr-FR"/>
        </w:rPr>
        <w:t>air minimum proposé pour un volume donné.</w:t>
      </w:r>
    </w:p>
    <w:p w:rsidR="00832E57" w:rsidRPr="003E351B" w:rsidRDefault="00832E57" w:rsidP="00832E57">
      <w:pPr>
        <w:pStyle w:val="HChG"/>
        <w:rPr>
          <w:lang w:val="fr-FR"/>
        </w:rPr>
      </w:pPr>
      <w:r w:rsidRPr="003E351B">
        <w:rPr>
          <w:lang w:val="fr-FR"/>
        </w:rPr>
        <w:tab/>
      </w:r>
      <w:r w:rsidRPr="003E351B">
        <w:rPr>
          <w:lang w:val="fr-FR"/>
        </w:rPr>
        <w:tab/>
        <w:t>Proposition d</w:t>
      </w:r>
      <w:r>
        <w:rPr>
          <w:lang w:val="fr-FR"/>
        </w:rPr>
        <w:t>’</w:t>
      </w:r>
      <w:r w:rsidRPr="003E351B">
        <w:rPr>
          <w:lang w:val="fr-FR"/>
        </w:rPr>
        <w:t>amendement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15.</w:t>
      </w:r>
      <w:r w:rsidRPr="003E351B">
        <w:rPr>
          <w:lang w:val="fr-FR"/>
        </w:rPr>
        <w:tab/>
        <w:t>Il est proposé de modifier le texte comme suit, avec une note de bas de page.</w:t>
      </w:r>
    </w:p>
    <w:p w:rsidR="00832E57" w:rsidRPr="003E351B" w:rsidRDefault="00832E57" w:rsidP="00832E57">
      <w:pPr>
        <w:pStyle w:val="SingleTxtG"/>
        <w:rPr>
          <w:bCs/>
          <w:lang w:val="fr-FR"/>
        </w:rPr>
      </w:pPr>
      <w:r w:rsidRPr="003E351B">
        <w:rPr>
          <w:lang w:val="fr-FR"/>
        </w:rPr>
        <w:t>Ajouter un nouveau paragraphe au point 3.2.6</w:t>
      </w:r>
      <w:r>
        <w:rPr>
          <w:lang w:val="fr-FR"/>
        </w:rPr>
        <w:t> </w:t>
      </w:r>
      <w:r w:rsidRPr="003E351B">
        <w:rPr>
          <w:lang w:val="fr-FR"/>
        </w:rPr>
        <w:t>: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«</w:t>
      </w:r>
      <w:r>
        <w:rPr>
          <w:lang w:val="fr-FR"/>
        </w:rPr>
        <w:t> </w:t>
      </w:r>
      <w:r w:rsidRPr="003E351B">
        <w:rPr>
          <w:lang w:val="fr-FR"/>
        </w:rPr>
        <w:t xml:space="preserve">Le </w:t>
      </w:r>
      <w:r w:rsidRPr="005777B4">
        <w:rPr>
          <w:spacing w:val="-2"/>
          <w:lang w:val="fr-FR"/>
        </w:rPr>
        <w:t>débit d’air prescrit pour un engin dont le volume intérieur est compris entre 2</w:t>
      </w:r>
      <w:r w:rsidRPr="003E351B">
        <w:rPr>
          <w:lang w:val="fr-FR"/>
        </w:rPr>
        <w:t xml:space="preserve"> et 100</w:t>
      </w:r>
      <w:r w:rsidR="005777B4">
        <w:rPr>
          <w:lang w:val="fr-FR"/>
        </w:rPr>
        <w:t> </w:t>
      </w:r>
      <w:r w:rsidRPr="003E351B">
        <w:rPr>
          <w:lang w:val="fr-FR"/>
        </w:rPr>
        <w:t>m</w:t>
      </w:r>
      <w:r w:rsidRPr="00D5337F">
        <w:rPr>
          <w:vertAlign w:val="superscript"/>
          <w:lang w:val="fr-FR"/>
        </w:rPr>
        <w:t>3</w:t>
      </w:r>
      <w:r w:rsidRPr="003E351B">
        <w:rPr>
          <w:lang w:val="fr-FR"/>
        </w:rPr>
        <w:t xml:space="preserve"> est calculé à l</w:t>
      </w:r>
      <w:r>
        <w:rPr>
          <w:lang w:val="fr-FR"/>
        </w:rPr>
        <w:t>’</w:t>
      </w:r>
      <w:r w:rsidRPr="003E351B">
        <w:rPr>
          <w:lang w:val="fr-FR"/>
        </w:rPr>
        <w:t>aide de la formule suivante</w:t>
      </w:r>
      <w:r>
        <w:rPr>
          <w:lang w:val="fr-FR"/>
        </w:rPr>
        <w:t> </w:t>
      </w:r>
      <w:r w:rsidRPr="003E351B">
        <w:rPr>
          <w:lang w:val="fr-FR"/>
        </w:rPr>
        <w:t xml:space="preserve">: </w:t>
      </w:r>
    </w:p>
    <w:p w:rsidR="00832E57" w:rsidRPr="003E351B" w:rsidRDefault="00795553" w:rsidP="00832E57">
      <w:pPr>
        <w:pStyle w:val="SingleTxtG"/>
        <w:spacing w:after="240" w:line="276" w:lineRule="auto"/>
        <w:rPr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=N·V  </m:t>
          </m:r>
        </m:oMath>
      </m:oMathPara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Le débit d</w:t>
      </w:r>
      <w:r>
        <w:rPr>
          <w:lang w:val="fr-FR"/>
        </w:rPr>
        <w:t>’</w:t>
      </w:r>
      <w:r w:rsidRPr="003E351B">
        <w:rPr>
          <w:lang w:val="fr-FR"/>
        </w:rPr>
        <w:t>air N est défini comme le nombre de fois où le volume V de l</w:t>
      </w:r>
      <w:r>
        <w:rPr>
          <w:lang w:val="fr-FR"/>
        </w:rPr>
        <w:t>’</w:t>
      </w:r>
      <w:r w:rsidRPr="003E351B">
        <w:rPr>
          <w:lang w:val="fr-FR"/>
        </w:rPr>
        <w:t>espace de chargement vide est brassé chaque heure.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Où</w:t>
      </w:r>
      <w:r w:rsidR="00A317E5">
        <w:rPr>
          <w:lang w:val="fr-FR"/>
        </w:rPr>
        <w:t> </w:t>
      </w:r>
      <w:r w:rsidRPr="003E351B">
        <w:rPr>
          <w:lang w:val="fr-FR"/>
        </w:rPr>
        <w:t>: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V est le volume de l</w:t>
      </w:r>
      <w:r>
        <w:rPr>
          <w:lang w:val="fr-FR"/>
        </w:rPr>
        <w:t>’</w:t>
      </w:r>
      <w:r w:rsidRPr="003E351B">
        <w:rPr>
          <w:lang w:val="fr-FR"/>
        </w:rPr>
        <w:t>espace de chargement, en m</w:t>
      </w:r>
      <w:r w:rsidRPr="00D5337F">
        <w:rPr>
          <w:vertAlign w:val="superscript"/>
          <w:lang w:val="fr-FR"/>
        </w:rPr>
        <w:t>3</w:t>
      </w:r>
      <w:r w:rsidR="00A317E5">
        <w:rPr>
          <w:lang w:val="fr-FR"/>
        </w:rPr>
        <w:t> </w:t>
      </w:r>
      <w:r w:rsidRPr="003E351B">
        <w:rPr>
          <w:lang w:val="fr-FR"/>
        </w:rPr>
        <w:t>;</w:t>
      </w:r>
    </w:p>
    <w:p w:rsidR="00832E57" w:rsidRPr="003E351B" w:rsidRDefault="00795553" w:rsidP="00832E57">
      <w:pPr>
        <w:pStyle w:val="SingleTxtG"/>
        <w:rPr>
          <w:lang w:val="fr-FR"/>
        </w:rPr>
      </w:pPr>
      <m:oMath>
        <m:sSub>
          <m:sSubPr>
            <m:ctrlPr>
              <w:rPr>
                <w:rFonts w:ascii="Cambria Math" w:hAnsi="Cambria Math"/>
                <w:lang w:val="fr-F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lang w:val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L</m:t>
            </m:r>
          </m:sub>
        </m:sSub>
      </m:oMath>
      <w:r w:rsidR="00832E57" w:rsidRPr="003E351B">
        <w:rPr>
          <w:lang w:val="fr-FR"/>
        </w:rPr>
        <w:t xml:space="preserve"> est le débit d</w:t>
      </w:r>
      <w:r w:rsidR="00832E57">
        <w:rPr>
          <w:lang w:val="fr-FR"/>
        </w:rPr>
        <w:t>’</w:t>
      </w:r>
      <w:r w:rsidR="00832E57" w:rsidRPr="003E351B">
        <w:rPr>
          <w:lang w:val="fr-FR"/>
        </w:rPr>
        <w:t xml:space="preserve">air de conception recommandé, en </w:t>
      </w:r>
      <m:oMath>
        <m:sSup>
          <m:sSupPr>
            <m:ctrlPr>
              <w:rPr>
                <w:rFonts w:ascii="Cambria Math" w:hAnsi="Cambria Math"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fr-FR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fr-FR"/>
          </w:rPr>
          <m:t>/h</m:t>
        </m:r>
      </m:oMath>
      <w:r w:rsidR="00A317E5">
        <w:rPr>
          <w:lang w:val="fr-FR"/>
        </w:rPr>
        <w:t> </w:t>
      </w:r>
      <w:r w:rsidR="00832E57" w:rsidRPr="003E351B">
        <w:rPr>
          <w:lang w:val="fr-FR"/>
        </w:rPr>
        <w:t>;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N est le débit d</w:t>
      </w:r>
      <w:r>
        <w:rPr>
          <w:lang w:val="fr-FR"/>
        </w:rPr>
        <w:t>’</w:t>
      </w:r>
      <w:r w:rsidRPr="003E351B">
        <w:rPr>
          <w:lang w:val="fr-FR"/>
        </w:rPr>
        <w:t>air, en h</w:t>
      </w:r>
      <w:r w:rsidRPr="00D5337F">
        <w:rPr>
          <w:vertAlign w:val="superscript"/>
          <w:lang w:val="fr-FR"/>
        </w:rPr>
        <w:t>-1</w:t>
      </w:r>
      <w:r w:rsidRPr="003E351B">
        <w:rPr>
          <w:lang w:val="fr-FR"/>
        </w:rPr>
        <w:t>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avec</w:t>
      </w:r>
      <w:r>
        <w:rPr>
          <w:lang w:val="fr-FR"/>
        </w:rPr>
        <w:t> :</w:t>
      </w:r>
    </w:p>
    <w:p w:rsidR="00832E57" w:rsidRPr="003E351B" w:rsidRDefault="00832E57" w:rsidP="00832E57">
      <w:pPr>
        <w:pStyle w:val="SingleTxtG"/>
        <w:rPr>
          <w:lang w:val="fr-FR"/>
        </w:rPr>
      </w:pPr>
      <m:oMath>
        <m:r>
          <m:rPr>
            <m:sty m:val="p"/>
          </m:rPr>
          <w:rPr>
            <w:rFonts w:ascii="Cambria Math" w:hAnsi="Cambria Math"/>
            <w:lang w:val="fr-FR"/>
          </w:rPr>
          <m:t>40 ≤N≤ 60</m:t>
        </m:r>
      </m:oMath>
      <w:r w:rsidRPr="003E351B">
        <w:rPr>
          <w:lang w:val="fr-FR"/>
        </w:rPr>
        <w:t xml:space="preserve"> pour le mode congélation</w:t>
      </w:r>
      <w:r w:rsidRPr="003E351B">
        <w:rPr>
          <w:lang w:val="fr-FR"/>
        </w:rPr>
        <w:tab/>
        <w:t>ou</w:t>
      </w:r>
    </w:p>
    <w:p w:rsidR="00832E57" w:rsidRPr="003E351B" w:rsidRDefault="00832E57" w:rsidP="00832E57">
      <w:pPr>
        <w:pStyle w:val="SingleTxtG"/>
        <w:rPr>
          <w:lang w:val="fr-FR"/>
        </w:rPr>
      </w:pPr>
      <m:oMath>
        <m:r>
          <m:rPr>
            <m:sty m:val="p"/>
          </m:rPr>
          <w:rPr>
            <w:rFonts w:ascii="Cambria Math" w:hAnsi="Cambria Math"/>
            <w:lang w:val="fr-FR"/>
          </w:rPr>
          <m:t>50 ≤N≤ 90</m:t>
        </m:r>
      </m:oMath>
      <w:r w:rsidRPr="003E351B">
        <w:rPr>
          <w:lang w:val="fr-FR"/>
        </w:rPr>
        <w:t xml:space="preserve"> pour le mode frigorifique/calorifique.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Le système d</w:t>
      </w:r>
      <w:r>
        <w:rPr>
          <w:lang w:val="fr-FR"/>
        </w:rPr>
        <w:t>’</w:t>
      </w:r>
      <w:r w:rsidRPr="003E351B">
        <w:rPr>
          <w:lang w:val="fr-FR"/>
        </w:rPr>
        <w:t>aération ne doit pas nécessairement fonctionner de manière continue, et toute perte de débit d</w:t>
      </w:r>
      <w:r>
        <w:rPr>
          <w:lang w:val="fr-FR"/>
        </w:rPr>
        <w:t>’</w:t>
      </w:r>
      <w:r w:rsidRPr="003E351B">
        <w:rPr>
          <w:lang w:val="fr-FR"/>
        </w:rPr>
        <w:t>air dans le système provoquée par des équipements intérieurs tels que des conduites d</w:t>
      </w:r>
      <w:r>
        <w:rPr>
          <w:lang w:val="fr-FR"/>
        </w:rPr>
        <w:t>’</w:t>
      </w:r>
      <w:r w:rsidRPr="003E351B">
        <w:rPr>
          <w:lang w:val="fr-FR"/>
        </w:rPr>
        <w:t>air et par le givrage des évaporateurs doit être compensée.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Si le volume intérieur de l</w:t>
      </w:r>
      <w:r>
        <w:rPr>
          <w:lang w:val="fr-FR"/>
        </w:rPr>
        <w:t>’</w:t>
      </w:r>
      <w:r w:rsidRPr="003E351B">
        <w:rPr>
          <w:lang w:val="fr-FR"/>
        </w:rPr>
        <w:t>engin est supérieur ou égal à 100</w:t>
      </w:r>
      <w:r w:rsidR="00A317E5">
        <w:rPr>
          <w:lang w:val="fr-FR"/>
        </w:rPr>
        <w:t> </w:t>
      </w:r>
      <w:r w:rsidRPr="003E351B">
        <w:rPr>
          <w:lang w:val="fr-FR"/>
        </w:rPr>
        <w:t>m</w:t>
      </w:r>
      <w:r w:rsidRPr="00A317E5">
        <w:rPr>
          <w:vertAlign w:val="superscript"/>
          <w:lang w:val="fr-FR"/>
        </w:rPr>
        <w:t>3</w:t>
      </w:r>
      <w:r w:rsidRPr="003E351B">
        <w:rPr>
          <w:lang w:val="fr-FR"/>
        </w:rPr>
        <w:t xml:space="preserve"> ou inférieur ou égal à 2</w:t>
      </w:r>
      <w:r w:rsidR="00A317E5">
        <w:rPr>
          <w:lang w:val="fr-FR"/>
        </w:rPr>
        <w:t> </w:t>
      </w:r>
      <w:r w:rsidRPr="003E351B">
        <w:rPr>
          <w:lang w:val="fr-FR"/>
        </w:rPr>
        <w:t>m</w:t>
      </w:r>
      <w:r w:rsidRPr="00A317E5">
        <w:rPr>
          <w:vertAlign w:val="superscript"/>
          <w:lang w:val="fr-FR"/>
        </w:rPr>
        <w:t>3</w:t>
      </w:r>
      <w:r w:rsidRPr="003E351B">
        <w:rPr>
          <w:lang w:val="fr-FR"/>
        </w:rPr>
        <w:t>, l</w:t>
      </w:r>
      <w:r>
        <w:rPr>
          <w:lang w:val="fr-FR"/>
        </w:rPr>
        <w:t>’</w:t>
      </w:r>
      <w:r w:rsidRPr="003E351B">
        <w:rPr>
          <w:lang w:val="fr-FR"/>
        </w:rPr>
        <w:t>autorité compétente du lieu où celui-ci est immatriculé ou enregistré détermine le débit d</w:t>
      </w:r>
      <w:r>
        <w:rPr>
          <w:lang w:val="fr-FR"/>
        </w:rPr>
        <w:t>’</w:t>
      </w:r>
      <w:r w:rsidRPr="003E351B">
        <w:rPr>
          <w:lang w:val="fr-FR"/>
        </w:rPr>
        <w:t>air adéquat sur la base de l</w:t>
      </w:r>
      <w:r>
        <w:rPr>
          <w:lang w:val="fr-FR"/>
        </w:rPr>
        <w:t>’</w:t>
      </w:r>
      <w:r w:rsidRPr="003E351B">
        <w:rPr>
          <w:lang w:val="fr-FR"/>
        </w:rPr>
        <w:t xml:space="preserve">échange thermique global </w:t>
      </w:r>
      <w:r w:rsidRPr="003E351B">
        <w:rPr>
          <w:bCs/>
          <w:lang w:val="fr-FR"/>
        </w:rPr>
        <w:t>et indique où cet engin peut être utilisé</w:t>
      </w:r>
      <w:r w:rsidRPr="003E351B">
        <w:rPr>
          <w:lang w:val="fr-FR"/>
        </w:rPr>
        <w:t>. »</w:t>
      </w:r>
      <w:r w:rsidR="00A317E5">
        <w:rPr>
          <w:lang w:val="fr-FR"/>
        </w:rPr>
        <w:t>.</w:t>
      </w:r>
    </w:p>
    <w:p w:rsidR="00832E57" w:rsidRPr="003E351B" w:rsidRDefault="00832E57" w:rsidP="00832E57">
      <w:pPr>
        <w:pStyle w:val="HChG"/>
        <w:rPr>
          <w:lang w:val="fr-FR"/>
        </w:rPr>
      </w:pPr>
      <w:r w:rsidRPr="003E351B">
        <w:rPr>
          <w:lang w:val="fr-FR"/>
        </w:rPr>
        <w:tab/>
      </w:r>
      <w:r w:rsidRPr="003E351B">
        <w:rPr>
          <w:lang w:val="fr-FR"/>
        </w:rPr>
        <w:tab/>
        <w:t>Annexe 1, appendice 3</w:t>
      </w:r>
    </w:p>
    <w:p w:rsidR="00832E57" w:rsidRPr="003E351B" w:rsidRDefault="00832E57" w:rsidP="00832E57">
      <w:pPr>
        <w:pStyle w:val="SingleTxtG"/>
        <w:rPr>
          <w:bCs/>
          <w:lang w:val="fr-FR"/>
        </w:rPr>
      </w:pPr>
      <w:r w:rsidRPr="003E351B">
        <w:rPr>
          <w:lang w:val="fr-FR"/>
        </w:rPr>
        <w:t>16.</w:t>
      </w:r>
      <w:r w:rsidRPr="003E351B">
        <w:rPr>
          <w:lang w:val="fr-FR"/>
        </w:rPr>
        <w:tab/>
        <w:t>Une nouvelle section devra être ajoutée à l</w:t>
      </w:r>
      <w:r>
        <w:rPr>
          <w:lang w:val="fr-FR"/>
        </w:rPr>
        <w:t>’</w:t>
      </w:r>
      <w:r w:rsidRPr="003E351B">
        <w:rPr>
          <w:lang w:val="fr-FR"/>
        </w:rPr>
        <w:t>attestation ATP figurant à l</w:t>
      </w:r>
      <w:r>
        <w:rPr>
          <w:lang w:val="fr-FR"/>
        </w:rPr>
        <w:t>’</w:t>
      </w:r>
      <w:r w:rsidRPr="003E351B">
        <w:rPr>
          <w:lang w:val="fr-FR"/>
        </w:rPr>
        <w:t>appendice 3 de l</w:t>
      </w:r>
      <w:r>
        <w:rPr>
          <w:lang w:val="fr-FR"/>
        </w:rPr>
        <w:t>’</w:t>
      </w:r>
      <w:r w:rsidRPr="003E351B">
        <w:rPr>
          <w:lang w:val="fr-FR"/>
        </w:rPr>
        <w:t>annexe 1.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«</w:t>
      </w:r>
      <w:r w:rsidR="00A317E5">
        <w:rPr>
          <w:lang w:val="fr-FR"/>
        </w:rPr>
        <w:t> </w:t>
      </w:r>
      <w:r w:rsidRPr="003E351B">
        <w:rPr>
          <w:lang w:val="fr-FR"/>
        </w:rPr>
        <w:t>7.2.6 XX changements d</w:t>
      </w:r>
      <w:r>
        <w:rPr>
          <w:lang w:val="fr-FR"/>
        </w:rPr>
        <w:t>’</w:t>
      </w:r>
      <w:r w:rsidRPr="003E351B">
        <w:rPr>
          <w:lang w:val="fr-FR"/>
        </w:rPr>
        <w:t>air à l</w:t>
      </w:r>
      <w:r>
        <w:rPr>
          <w:lang w:val="fr-FR"/>
        </w:rPr>
        <w:t>’</w:t>
      </w:r>
      <w:r w:rsidRPr="003E351B">
        <w:rPr>
          <w:lang w:val="fr-FR"/>
        </w:rPr>
        <w:t>heure</w:t>
      </w:r>
      <w:r w:rsidR="00A317E5">
        <w:rPr>
          <w:lang w:val="fr-FR"/>
        </w:rPr>
        <w:t> </w:t>
      </w:r>
      <w:r w:rsidRPr="003E351B">
        <w:rPr>
          <w:lang w:val="fr-FR"/>
        </w:rPr>
        <w:t>».</w:t>
      </w:r>
    </w:p>
    <w:p w:rsidR="00832E57" w:rsidRPr="003E351B" w:rsidRDefault="00832E57" w:rsidP="00832E57">
      <w:pPr>
        <w:pStyle w:val="SingleTxtG"/>
        <w:rPr>
          <w:lang w:val="fr-FR"/>
        </w:rPr>
      </w:pPr>
      <w:r w:rsidRPr="003E351B">
        <w:rPr>
          <w:lang w:val="fr-FR"/>
        </w:rPr>
        <w:t>XX est le nombre de changements d</w:t>
      </w:r>
      <w:r>
        <w:rPr>
          <w:lang w:val="fr-FR"/>
        </w:rPr>
        <w:t>’</w:t>
      </w:r>
      <w:r w:rsidRPr="003E351B">
        <w:rPr>
          <w:lang w:val="fr-FR"/>
        </w:rPr>
        <w:t>air à l</w:t>
      </w:r>
      <w:r>
        <w:rPr>
          <w:lang w:val="fr-FR"/>
        </w:rPr>
        <w:t>’</w:t>
      </w:r>
      <w:r w:rsidRPr="003E351B">
        <w:rPr>
          <w:lang w:val="fr-FR"/>
        </w:rPr>
        <w:t>heure, calculé en divisant le débit d</w:t>
      </w:r>
      <w:r>
        <w:rPr>
          <w:lang w:val="fr-FR"/>
        </w:rPr>
        <w:t>’</w:t>
      </w:r>
      <w:r w:rsidRPr="003E351B">
        <w:rPr>
          <w:lang w:val="fr-FR"/>
        </w:rPr>
        <w:t>air total des ventilateurs de l</w:t>
      </w:r>
      <w:r>
        <w:rPr>
          <w:lang w:val="fr-FR"/>
        </w:rPr>
        <w:t>’</w:t>
      </w:r>
      <w:r w:rsidRPr="003E351B">
        <w:rPr>
          <w:lang w:val="fr-FR"/>
        </w:rPr>
        <w:t>évaporateur par le volume intérieur total de la caisse de l</w:t>
      </w:r>
      <w:r>
        <w:rPr>
          <w:lang w:val="fr-FR"/>
        </w:rPr>
        <w:t>’</w:t>
      </w:r>
      <w:r w:rsidRPr="003E351B">
        <w:rPr>
          <w:lang w:val="fr-FR"/>
        </w:rPr>
        <w:t>engin.</w:t>
      </w:r>
    </w:p>
    <w:p w:rsidR="00832E57" w:rsidRPr="003E351B" w:rsidRDefault="00832E57" w:rsidP="00A317E5">
      <w:pPr>
        <w:pStyle w:val="HChG"/>
        <w:rPr>
          <w:lang w:val="fr-FR"/>
        </w:rPr>
      </w:pPr>
      <w:r w:rsidRPr="003E351B">
        <w:rPr>
          <w:lang w:val="fr-FR"/>
        </w:rPr>
        <w:tab/>
      </w:r>
      <w:r w:rsidRPr="003E351B">
        <w:rPr>
          <w:lang w:val="fr-FR"/>
        </w:rPr>
        <w:tab/>
        <w:t>Incidences</w:t>
      </w:r>
    </w:p>
    <w:p w:rsidR="00832E57" w:rsidRPr="003E351B" w:rsidRDefault="00832E57" w:rsidP="00A317E5">
      <w:pPr>
        <w:pStyle w:val="SingleTxtG"/>
        <w:rPr>
          <w:lang w:val="fr-FR"/>
        </w:rPr>
      </w:pPr>
      <w:r w:rsidRPr="003E351B">
        <w:rPr>
          <w:lang w:val="fr-FR"/>
        </w:rPr>
        <w:t>17.</w:t>
      </w:r>
      <w:r w:rsidRPr="003E351B">
        <w:rPr>
          <w:lang w:val="fr-FR"/>
        </w:rPr>
        <w:tab/>
        <w:t>Cette modification</w:t>
      </w:r>
      <w:r>
        <w:rPr>
          <w:lang w:val="fr-FR"/>
        </w:rPr>
        <w:t xml:space="preserve"> actualiserait</w:t>
      </w:r>
      <w:r w:rsidRPr="003E351B">
        <w:rPr>
          <w:lang w:val="fr-FR"/>
        </w:rPr>
        <w:t xml:space="preserve"> l</w:t>
      </w:r>
      <w:r>
        <w:rPr>
          <w:lang w:val="fr-FR"/>
        </w:rPr>
        <w:t>’</w:t>
      </w:r>
      <w:r w:rsidRPr="003E351B">
        <w:rPr>
          <w:lang w:val="fr-FR"/>
        </w:rPr>
        <w:t>ATP et aurait pour effet positif l</w:t>
      </w:r>
      <w:r>
        <w:rPr>
          <w:lang w:val="fr-FR"/>
        </w:rPr>
        <w:t>’</w:t>
      </w:r>
      <w:r w:rsidRPr="003E351B">
        <w:rPr>
          <w:lang w:val="fr-FR"/>
        </w:rPr>
        <w:t>amélioration de la sécurité et de la qualité des produits alimentaires. L</w:t>
      </w:r>
      <w:r>
        <w:rPr>
          <w:lang w:val="fr-FR"/>
        </w:rPr>
        <w:t>’</w:t>
      </w:r>
      <w:r w:rsidRPr="003E351B">
        <w:rPr>
          <w:lang w:val="fr-FR"/>
        </w:rPr>
        <w:t>impact financier pour l</w:t>
      </w:r>
      <w:r>
        <w:rPr>
          <w:lang w:val="fr-FR"/>
        </w:rPr>
        <w:t>’</w:t>
      </w:r>
      <w:r w:rsidRPr="003E351B">
        <w:rPr>
          <w:lang w:val="fr-FR"/>
        </w:rPr>
        <w:t>industrie serait un supplément de coût pour procéder à un essai de débit d</w:t>
      </w:r>
      <w:r>
        <w:rPr>
          <w:lang w:val="fr-FR"/>
        </w:rPr>
        <w:t>’</w:t>
      </w:r>
      <w:r w:rsidRPr="003E351B">
        <w:rPr>
          <w:lang w:val="fr-FR"/>
        </w:rPr>
        <w:t>air au cas où il n</w:t>
      </w:r>
      <w:r>
        <w:rPr>
          <w:lang w:val="fr-FR"/>
        </w:rPr>
        <w:t>’</w:t>
      </w:r>
      <w:r w:rsidRPr="003E351B">
        <w:rPr>
          <w:lang w:val="fr-FR"/>
        </w:rPr>
        <w:t>aurait pas encore été effectué.</w:t>
      </w:r>
    </w:p>
    <w:p w:rsidR="00832E57" w:rsidRPr="003E351B" w:rsidRDefault="00832E57" w:rsidP="00A317E5">
      <w:pPr>
        <w:pStyle w:val="SingleTxtG"/>
        <w:rPr>
          <w:lang w:val="fr-FR"/>
        </w:rPr>
      </w:pPr>
      <w:r w:rsidRPr="003E351B">
        <w:rPr>
          <w:lang w:val="fr-FR"/>
        </w:rPr>
        <w:lastRenderedPageBreak/>
        <w:t>18.</w:t>
      </w:r>
      <w:r w:rsidRPr="003E351B">
        <w:rPr>
          <w:lang w:val="fr-FR"/>
        </w:rPr>
        <w:tab/>
        <w:t>Le fait de définir un débit pour le réfrigérant secondaire permettrait de s</w:t>
      </w:r>
      <w:r>
        <w:rPr>
          <w:lang w:val="fr-FR"/>
        </w:rPr>
        <w:t>’</w:t>
      </w:r>
      <w:r w:rsidRPr="003E351B">
        <w:rPr>
          <w:lang w:val="fr-FR"/>
        </w:rPr>
        <w:t>assurer que tous les produits qui se trouvent dans l</w:t>
      </w:r>
      <w:r>
        <w:rPr>
          <w:lang w:val="fr-FR"/>
        </w:rPr>
        <w:t>’</w:t>
      </w:r>
      <w:r w:rsidRPr="003E351B">
        <w:rPr>
          <w:lang w:val="fr-FR"/>
        </w:rPr>
        <w:t xml:space="preserve">espace de chargement sont conformes aux prescriptions des annexes 2 et 3. </w:t>
      </w:r>
    </w:p>
    <w:p w:rsidR="00832E57" w:rsidRPr="003E351B" w:rsidRDefault="00832E57" w:rsidP="00A317E5">
      <w:pPr>
        <w:pStyle w:val="SingleTxtG"/>
        <w:rPr>
          <w:lang w:val="fr-FR"/>
        </w:rPr>
      </w:pPr>
      <w:r w:rsidRPr="003E351B">
        <w:rPr>
          <w:lang w:val="fr-FR"/>
        </w:rPr>
        <w:t>19.</w:t>
      </w:r>
      <w:r w:rsidRPr="003E351B">
        <w:rPr>
          <w:lang w:val="fr-FR"/>
        </w:rPr>
        <w:tab/>
        <w:t>Cependant, les résultats concernant le débit d</w:t>
      </w:r>
      <w:r>
        <w:rPr>
          <w:lang w:val="fr-FR"/>
        </w:rPr>
        <w:t>’</w:t>
      </w:r>
      <w:r w:rsidRPr="003E351B">
        <w:rPr>
          <w:lang w:val="fr-FR"/>
        </w:rPr>
        <w:t>air sont exigés dans le procès-verbal d</w:t>
      </w:r>
      <w:r>
        <w:rPr>
          <w:lang w:val="fr-FR"/>
        </w:rPr>
        <w:t>’</w:t>
      </w:r>
      <w:r w:rsidRPr="003E351B">
        <w:rPr>
          <w:lang w:val="fr-FR"/>
        </w:rPr>
        <w:t>essai de l</w:t>
      </w:r>
      <w:r>
        <w:rPr>
          <w:lang w:val="fr-FR"/>
        </w:rPr>
        <w:t>’</w:t>
      </w:r>
      <w:r w:rsidRPr="003E351B">
        <w:rPr>
          <w:lang w:val="fr-FR"/>
        </w:rPr>
        <w:t>engin et il semble donc qu</w:t>
      </w:r>
      <w:r>
        <w:rPr>
          <w:lang w:val="fr-FR"/>
        </w:rPr>
        <w:t>’</w:t>
      </w:r>
      <w:r w:rsidRPr="003E351B">
        <w:rPr>
          <w:lang w:val="fr-FR"/>
        </w:rPr>
        <w:t>il y ait une incohérence.</w:t>
      </w:r>
    </w:p>
    <w:p w:rsidR="00832E57" w:rsidRPr="003E351B" w:rsidRDefault="00832E57" w:rsidP="00A317E5">
      <w:pPr>
        <w:pStyle w:val="HChG"/>
        <w:rPr>
          <w:lang w:val="fr-FR"/>
        </w:rPr>
      </w:pPr>
      <w:r w:rsidRPr="003E351B">
        <w:rPr>
          <w:lang w:val="fr-FR"/>
        </w:rPr>
        <w:tab/>
      </w:r>
      <w:r w:rsidRPr="003E351B">
        <w:rPr>
          <w:lang w:val="fr-FR"/>
        </w:rPr>
        <w:tab/>
        <w:t>Manuel</w:t>
      </w:r>
    </w:p>
    <w:p w:rsidR="00832E57" w:rsidRPr="003E351B" w:rsidRDefault="00832E57" w:rsidP="00A317E5">
      <w:pPr>
        <w:pStyle w:val="SingleTxtG"/>
        <w:rPr>
          <w:lang w:val="fr-FR"/>
        </w:rPr>
      </w:pPr>
      <w:r w:rsidRPr="003E351B">
        <w:rPr>
          <w:lang w:val="fr-FR"/>
        </w:rPr>
        <w:t>20.</w:t>
      </w:r>
      <w:r w:rsidRPr="003E351B">
        <w:rPr>
          <w:lang w:val="fr-FR"/>
        </w:rPr>
        <w:tab/>
        <w:t xml:space="preserve">Le texte suivant pourrait être ajouté au </w:t>
      </w:r>
      <w:r>
        <w:rPr>
          <w:lang w:val="fr-FR"/>
        </w:rPr>
        <w:t>M</w:t>
      </w:r>
      <w:r w:rsidRPr="003E351B">
        <w:rPr>
          <w:lang w:val="fr-FR"/>
        </w:rPr>
        <w:t>anuel afin de fournir des explications supplémentaires</w:t>
      </w:r>
      <w:r w:rsidR="00A317E5">
        <w:rPr>
          <w:lang w:val="fr-FR"/>
        </w:rPr>
        <w:t> </w:t>
      </w:r>
      <w:r w:rsidRPr="003E351B">
        <w:rPr>
          <w:lang w:val="fr-FR"/>
        </w:rPr>
        <w:t>:</w:t>
      </w:r>
    </w:p>
    <w:p w:rsidR="00832E57" w:rsidRPr="003E351B" w:rsidRDefault="00832E57" w:rsidP="00A317E5">
      <w:pPr>
        <w:pStyle w:val="SingleTxtG"/>
        <w:rPr>
          <w:lang w:val="fr-FR"/>
        </w:rPr>
      </w:pPr>
      <w:r w:rsidRPr="003E351B">
        <w:rPr>
          <w:lang w:val="fr-FR"/>
        </w:rPr>
        <w:t>«</w:t>
      </w:r>
      <w:r w:rsidR="00A317E5">
        <w:rPr>
          <w:lang w:val="fr-FR"/>
        </w:rPr>
        <w:t> </w:t>
      </w:r>
      <w:r w:rsidRPr="003E351B">
        <w:rPr>
          <w:lang w:val="fr-FR"/>
        </w:rPr>
        <w:t>Le débit d</w:t>
      </w:r>
      <w:r>
        <w:rPr>
          <w:lang w:val="fr-FR"/>
        </w:rPr>
        <w:t>’</w:t>
      </w:r>
      <w:r w:rsidRPr="003E351B">
        <w:rPr>
          <w:lang w:val="fr-FR"/>
        </w:rPr>
        <w:t>air est un paramètre essentiel du transport avec régulation de température.</w:t>
      </w:r>
    </w:p>
    <w:p w:rsidR="00832E57" w:rsidRPr="003E351B" w:rsidRDefault="00832E57" w:rsidP="00A317E5">
      <w:pPr>
        <w:pStyle w:val="SingleTxtG"/>
        <w:rPr>
          <w:lang w:val="fr-FR"/>
        </w:rPr>
      </w:pPr>
      <w:r w:rsidRPr="003E351B">
        <w:rPr>
          <w:lang w:val="fr-FR"/>
        </w:rPr>
        <w:t>Pour les denrées congelées, le débit d</w:t>
      </w:r>
      <w:r>
        <w:rPr>
          <w:lang w:val="fr-FR"/>
        </w:rPr>
        <w:t>’</w:t>
      </w:r>
      <w:r w:rsidRPr="003E351B">
        <w:rPr>
          <w:lang w:val="fr-FR"/>
        </w:rPr>
        <w:t>air devrait être faible afin d</w:t>
      </w:r>
      <w:r>
        <w:rPr>
          <w:lang w:val="fr-FR"/>
        </w:rPr>
        <w:t>’</w:t>
      </w:r>
      <w:r w:rsidRPr="003E351B">
        <w:rPr>
          <w:lang w:val="fr-FR"/>
        </w:rPr>
        <w:t>éviter le dessèchement, mais suffisant pour chasser la chaleur entrant par les panneaux isolants. La température de l</w:t>
      </w:r>
      <w:r>
        <w:rPr>
          <w:lang w:val="fr-FR"/>
        </w:rPr>
        <w:t>’</w:t>
      </w:r>
      <w:r w:rsidRPr="003E351B">
        <w:rPr>
          <w:lang w:val="fr-FR"/>
        </w:rPr>
        <w:t>air entrant peut être plus basse que la température voulue afin d</w:t>
      </w:r>
      <w:r>
        <w:rPr>
          <w:lang w:val="fr-FR"/>
        </w:rPr>
        <w:t>’</w:t>
      </w:r>
      <w:r w:rsidRPr="003E351B">
        <w:rPr>
          <w:lang w:val="fr-FR"/>
        </w:rPr>
        <w:t>évacuer la chaleur sans endommager le produit. Les denrées réfrigérées ont besoin d</w:t>
      </w:r>
      <w:r>
        <w:rPr>
          <w:lang w:val="fr-FR"/>
        </w:rPr>
        <w:t>’</w:t>
      </w:r>
      <w:r w:rsidRPr="003E351B">
        <w:rPr>
          <w:lang w:val="fr-FR"/>
        </w:rPr>
        <w:t>un débit d</w:t>
      </w:r>
      <w:r>
        <w:rPr>
          <w:lang w:val="fr-FR"/>
        </w:rPr>
        <w:t>’</w:t>
      </w:r>
      <w:r w:rsidRPr="003E351B">
        <w:rPr>
          <w:lang w:val="fr-FR"/>
        </w:rPr>
        <w:t>air plus élevé pour une bonne distribution de la température et parce que la température de ventilation ne doit pas être sensiblement inférieure à la température voulue en raison du risque de refroidissement excessif ou de gel. Certaines denrées réfrigérées sont métaboliquement actives et ont donc besoin d</w:t>
      </w:r>
      <w:r>
        <w:rPr>
          <w:lang w:val="fr-FR"/>
        </w:rPr>
        <w:t>’</w:t>
      </w:r>
      <w:r w:rsidRPr="003E351B">
        <w:rPr>
          <w:lang w:val="fr-FR"/>
        </w:rPr>
        <w:t>un débit d</w:t>
      </w:r>
      <w:r>
        <w:rPr>
          <w:lang w:val="fr-FR"/>
        </w:rPr>
        <w:t>’</w:t>
      </w:r>
      <w:r w:rsidRPr="003E351B">
        <w:rPr>
          <w:lang w:val="fr-FR"/>
        </w:rPr>
        <w:t>air plus élevé pour évacuer la chaleur produite.</w:t>
      </w:r>
    </w:p>
    <w:p w:rsidR="00832E57" w:rsidRPr="003E351B" w:rsidRDefault="00832E57" w:rsidP="00A317E5">
      <w:pPr>
        <w:pStyle w:val="SingleTxtG"/>
        <w:rPr>
          <w:lang w:val="fr-FR"/>
        </w:rPr>
      </w:pPr>
      <w:r w:rsidRPr="003E351B">
        <w:rPr>
          <w:lang w:val="fr-FR"/>
        </w:rPr>
        <w:t>Il ne convient pas d</w:t>
      </w:r>
      <w:r>
        <w:rPr>
          <w:lang w:val="fr-FR"/>
        </w:rPr>
        <w:t>’</w:t>
      </w:r>
      <w:r w:rsidRPr="003E351B">
        <w:rPr>
          <w:lang w:val="fr-FR"/>
        </w:rPr>
        <w:t>utiliser des ventilateurs intermittents pour les marchandises sensibles, qui ont besoin d</w:t>
      </w:r>
      <w:r>
        <w:rPr>
          <w:lang w:val="fr-FR"/>
        </w:rPr>
        <w:t>’</w:t>
      </w:r>
      <w:r w:rsidRPr="003E351B">
        <w:rPr>
          <w:lang w:val="fr-FR"/>
        </w:rPr>
        <w:t>une répartition homogène de la température. En règle générale, lorsque l</w:t>
      </w:r>
      <w:r>
        <w:rPr>
          <w:lang w:val="fr-FR"/>
        </w:rPr>
        <w:t>’</w:t>
      </w:r>
      <w:r w:rsidRPr="003E351B">
        <w:rPr>
          <w:lang w:val="fr-FR"/>
        </w:rPr>
        <w:t>unité ou les ventilateurs de l</w:t>
      </w:r>
      <w:r>
        <w:rPr>
          <w:lang w:val="fr-FR"/>
        </w:rPr>
        <w:t>’</w:t>
      </w:r>
      <w:r w:rsidRPr="003E351B">
        <w:rPr>
          <w:lang w:val="fr-FR"/>
        </w:rPr>
        <w:t>évaporateur sont autorisés à fonctionner par cycles intermittents, le démarrage/arrêt de l</w:t>
      </w:r>
      <w:r>
        <w:rPr>
          <w:lang w:val="fr-FR"/>
        </w:rPr>
        <w:t>’</w:t>
      </w:r>
      <w:r w:rsidRPr="003E351B">
        <w:rPr>
          <w:lang w:val="fr-FR"/>
        </w:rPr>
        <w:t>unité ne doit être utilisé que pour le transport de marchandises congelées.</w:t>
      </w:r>
    </w:p>
    <w:p w:rsidR="00832E57" w:rsidRPr="00A317E5" w:rsidRDefault="00832E57" w:rsidP="00A317E5">
      <w:pPr>
        <w:pStyle w:val="Heading1"/>
        <w:spacing w:after="120"/>
        <w:ind w:right="1134"/>
        <w:rPr>
          <w:b/>
          <w:lang w:val="fr-FR"/>
        </w:rPr>
      </w:pPr>
      <w:r w:rsidRPr="003E351B">
        <w:rPr>
          <w:lang w:val="fr-FR"/>
        </w:rPr>
        <w:t>Tableau 1</w:t>
      </w:r>
      <w:r w:rsidR="00A317E5">
        <w:rPr>
          <w:lang w:val="fr-FR"/>
        </w:rPr>
        <w:br/>
      </w:r>
      <w:r w:rsidRPr="00A317E5">
        <w:rPr>
          <w:b/>
          <w:lang w:val="fr-FR"/>
        </w:rPr>
        <w:t>Exemples de prescriptions en matière de débit d’air pour des marchandises sensibles à</w:t>
      </w:r>
      <w:r w:rsidR="00A317E5">
        <w:rPr>
          <w:b/>
          <w:lang w:val="fr-FR"/>
        </w:rPr>
        <w:t> </w:t>
      </w:r>
      <w:r w:rsidRPr="00A317E5">
        <w:rPr>
          <w:b/>
          <w:lang w:val="fr-FR"/>
        </w:rPr>
        <w:t>la température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93"/>
        <w:gridCol w:w="514"/>
        <w:gridCol w:w="1096"/>
        <w:gridCol w:w="514"/>
        <w:gridCol w:w="1073"/>
        <w:gridCol w:w="11"/>
        <w:gridCol w:w="760"/>
        <w:gridCol w:w="1373"/>
      </w:tblGrid>
      <w:tr w:rsidR="00832E57" w:rsidRPr="00D5337F" w:rsidTr="00285D8C">
        <w:trPr>
          <w:tblHeader/>
        </w:trPr>
        <w:tc>
          <w:tcPr>
            <w:tcW w:w="163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32E57" w:rsidRPr="00A317E5" w:rsidRDefault="00832E57" w:rsidP="00A317E5">
            <w:pPr>
              <w:suppressAutoHyphens w:val="0"/>
              <w:spacing w:before="80" w:after="80" w:line="200" w:lineRule="exact"/>
              <w:rPr>
                <w:bCs/>
                <w:i/>
                <w:sz w:val="16"/>
                <w:szCs w:val="16"/>
                <w:lang w:val="fr-FR"/>
              </w:rPr>
            </w:pPr>
            <w:r w:rsidRPr="00A317E5">
              <w:rPr>
                <w:i/>
                <w:iCs/>
                <w:sz w:val="16"/>
                <w:szCs w:val="16"/>
                <w:lang w:val="fr-FR"/>
              </w:rPr>
              <w:t>Type de marchandises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32E57" w:rsidRPr="003E351B" w:rsidRDefault="00832E57" w:rsidP="00A317E5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3E351B">
              <w:rPr>
                <w:i/>
                <w:noProof/>
                <w:sz w:val="16"/>
                <w:szCs w:val="16"/>
                <w:lang w:val="fr-FR" w:eastAsia="en-GB"/>
              </w:rPr>
              <w:drawing>
                <wp:inline distT="0" distB="0" distL="0" distR="0" wp14:anchorId="152905EC" wp14:editId="61D4E9DA">
                  <wp:extent cx="180975" cy="247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32E57" w:rsidRPr="00A317E5" w:rsidRDefault="00832E57" w:rsidP="00A317E5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A317E5">
              <w:rPr>
                <w:i/>
                <w:iCs/>
                <w:sz w:val="16"/>
                <w:szCs w:val="16"/>
                <w:lang w:val="fr-FR"/>
              </w:rPr>
              <w:t>Plage de températures</w:t>
            </w:r>
          </w:p>
          <w:p w:rsidR="00832E57" w:rsidRPr="003E351B" w:rsidRDefault="00832E57" w:rsidP="00A317E5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A317E5">
              <w:rPr>
                <w:i/>
                <w:iCs/>
                <w:sz w:val="16"/>
                <w:szCs w:val="16"/>
                <w:lang w:val="fr-FR"/>
              </w:rPr>
              <w:t>[°C]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32E57" w:rsidRPr="003E351B" w:rsidRDefault="00832E57" w:rsidP="00A317E5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3E351B">
              <w:rPr>
                <w:i/>
                <w:noProof/>
                <w:sz w:val="16"/>
                <w:szCs w:val="16"/>
                <w:lang w:val="fr-FR" w:eastAsia="en-GB"/>
              </w:rPr>
              <w:drawing>
                <wp:inline distT="0" distB="0" distL="0" distR="0" wp14:anchorId="401C3619" wp14:editId="1554381F">
                  <wp:extent cx="190500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32E57" w:rsidRPr="00A317E5" w:rsidRDefault="00832E57" w:rsidP="00A317E5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A317E5">
              <w:rPr>
                <w:i/>
                <w:iCs/>
                <w:sz w:val="16"/>
                <w:szCs w:val="16"/>
                <w:lang w:val="fr-FR"/>
              </w:rPr>
              <w:t>Sensibilité à l’humidité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32E57" w:rsidRPr="003E351B" w:rsidRDefault="00832E57" w:rsidP="00A317E5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3E351B">
              <w:rPr>
                <w:i/>
                <w:noProof/>
                <w:sz w:val="16"/>
                <w:szCs w:val="16"/>
                <w:lang w:val="fr-FR" w:eastAsia="en-GB"/>
              </w:rPr>
              <w:drawing>
                <wp:inline distT="0" distB="0" distL="0" distR="0" wp14:anchorId="5AF9CB56" wp14:editId="3BFA866C">
                  <wp:extent cx="247650" cy="20955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32E57" w:rsidRPr="00A317E5" w:rsidRDefault="00832E57" w:rsidP="00A317E5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A317E5">
              <w:rPr>
                <w:i/>
                <w:iCs/>
                <w:sz w:val="16"/>
                <w:szCs w:val="16"/>
                <w:lang w:val="fr-FR"/>
              </w:rPr>
              <w:t xml:space="preserve">Débit d’air recommandé [nombre de volumes vides brassés </w:t>
            </w:r>
            <w:r w:rsidR="00A317E5">
              <w:rPr>
                <w:i/>
                <w:iCs/>
                <w:sz w:val="16"/>
                <w:szCs w:val="16"/>
                <w:lang w:val="fr-FR"/>
              </w:rPr>
              <w:br/>
            </w:r>
            <w:r w:rsidRPr="00A317E5">
              <w:rPr>
                <w:i/>
                <w:iCs/>
                <w:sz w:val="16"/>
                <w:szCs w:val="16"/>
                <w:lang w:val="fr-FR"/>
              </w:rPr>
              <w:t>par heure]</w:t>
            </w:r>
          </w:p>
        </w:tc>
      </w:tr>
      <w:tr w:rsidR="00832E57" w:rsidRPr="003E351B" w:rsidTr="00285D8C">
        <w:tc>
          <w:tcPr>
            <w:tcW w:w="139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rPr>
                <w:b/>
                <w:sz w:val="18"/>
                <w:szCs w:val="16"/>
                <w:lang w:val="fr-FR"/>
              </w:rPr>
            </w:pPr>
            <w:r w:rsidRPr="003E351B">
              <w:rPr>
                <w:b/>
                <w:bCs/>
                <w:lang w:val="fr-FR"/>
              </w:rPr>
              <w:t>Viande suspendue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rPr>
                <w:b/>
                <w:bCs/>
                <w:sz w:val="18"/>
                <w:szCs w:val="24"/>
                <w:u w:val="single"/>
                <w:lang w:val="fr-FR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>-1/+1°C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>Oui</w:t>
            </w:r>
          </w:p>
        </w:tc>
        <w:tc>
          <w:tcPr>
            <w:tcW w:w="1726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 xml:space="preserve">50 – 90 </w:t>
            </w:r>
          </w:p>
        </w:tc>
      </w:tr>
      <w:tr w:rsidR="00832E57" w:rsidRPr="003E351B" w:rsidTr="00285D8C">
        <w:tc>
          <w:tcPr>
            <w:tcW w:w="1397" w:type="dxa"/>
            <w:shd w:val="clear" w:color="auto" w:fill="auto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rPr>
                <w:b/>
                <w:sz w:val="18"/>
                <w:szCs w:val="16"/>
                <w:lang w:val="fr-FR"/>
              </w:rPr>
            </w:pPr>
            <w:r w:rsidRPr="003E351B">
              <w:rPr>
                <w:b/>
                <w:bCs/>
                <w:lang w:val="fr-FR"/>
              </w:rPr>
              <w:t xml:space="preserve">Produits </w:t>
            </w:r>
            <w:r w:rsidRPr="003E351B">
              <w:rPr>
                <w:b/>
                <w:bCs/>
                <w:iCs/>
                <w:lang w:val="fr-FR"/>
              </w:rPr>
              <w:t>réfrigérés</w:t>
            </w:r>
          </w:p>
        </w:tc>
        <w:tc>
          <w:tcPr>
            <w:tcW w:w="236" w:type="dxa"/>
            <w:shd w:val="clear" w:color="auto" w:fill="auto"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rPr>
                <w:b/>
                <w:bCs/>
                <w:sz w:val="18"/>
                <w:szCs w:val="24"/>
                <w:u w:val="single"/>
                <w:lang w:val="fr-FR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>-1/+6°C</w:t>
            </w:r>
          </w:p>
        </w:tc>
        <w:tc>
          <w:tcPr>
            <w:tcW w:w="1278" w:type="dxa"/>
            <w:gridSpan w:val="2"/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>Oui</w:t>
            </w:r>
          </w:p>
        </w:tc>
        <w:tc>
          <w:tcPr>
            <w:tcW w:w="1726" w:type="dxa"/>
            <w:gridSpan w:val="3"/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 xml:space="preserve">50 – 90 </w:t>
            </w:r>
          </w:p>
        </w:tc>
      </w:tr>
      <w:tr w:rsidR="00832E57" w:rsidRPr="003E351B" w:rsidTr="00285D8C">
        <w:tc>
          <w:tcPr>
            <w:tcW w:w="1397" w:type="dxa"/>
            <w:shd w:val="clear" w:color="auto" w:fill="auto"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rPr>
                <w:b/>
                <w:sz w:val="18"/>
                <w:szCs w:val="16"/>
                <w:lang w:val="fr-FR"/>
              </w:rPr>
            </w:pPr>
          </w:p>
        </w:tc>
        <w:tc>
          <w:tcPr>
            <w:tcW w:w="236" w:type="dxa"/>
            <w:shd w:val="clear" w:color="auto" w:fill="auto"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rPr>
                <w:b/>
                <w:bCs/>
                <w:sz w:val="18"/>
                <w:szCs w:val="24"/>
                <w:u w:val="single"/>
                <w:lang w:val="fr-FR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bottom"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bottom"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</w:p>
        </w:tc>
        <w:tc>
          <w:tcPr>
            <w:tcW w:w="1726" w:type="dxa"/>
            <w:gridSpan w:val="3"/>
            <w:shd w:val="clear" w:color="auto" w:fill="auto"/>
            <w:vAlign w:val="bottom"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</w:p>
        </w:tc>
      </w:tr>
      <w:tr w:rsidR="00832E57" w:rsidRPr="003E351B" w:rsidTr="00285D8C">
        <w:tc>
          <w:tcPr>
            <w:tcW w:w="1397" w:type="dxa"/>
            <w:shd w:val="clear" w:color="auto" w:fill="auto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rPr>
                <w:b/>
                <w:sz w:val="18"/>
                <w:szCs w:val="16"/>
                <w:lang w:val="fr-FR"/>
              </w:rPr>
            </w:pPr>
            <w:r w:rsidRPr="003E351B">
              <w:rPr>
                <w:b/>
                <w:bCs/>
                <w:lang w:val="fr-FR"/>
              </w:rPr>
              <w:t>Aliments congelés</w:t>
            </w:r>
          </w:p>
        </w:tc>
        <w:tc>
          <w:tcPr>
            <w:tcW w:w="236" w:type="dxa"/>
            <w:shd w:val="clear" w:color="auto" w:fill="auto"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rPr>
                <w:b/>
                <w:bCs/>
                <w:sz w:val="18"/>
                <w:szCs w:val="24"/>
                <w:u w:val="single"/>
                <w:lang w:val="fr-FR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>&lt; -18 °C</w:t>
            </w:r>
          </w:p>
        </w:tc>
        <w:tc>
          <w:tcPr>
            <w:tcW w:w="1278" w:type="dxa"/>
            <w:gridSpan w:val="2"/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>Non</w:t>
            </w:r>
          </w:p>
        </w:tc>
        <w:tc>
          <w:tcPr>
            <w:tcW w:w="1726" w:type="dxa"/>
            <w:gridSpan w:val="3"/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 xml:space="preserve">40 – 60 </w:t>
            </w:r>
          </w:p>
        </w:tc>
      </w:tr>
      <w:tr w:rsidR="00832E57" w:rsidRPr="003E351B" w:rsidTr="00285D8C">
        <w:tc>
          <w:tcPr>
            <w:tcW w:w="139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rPr>
                <w:b/>
                <w:sz w:val="18"/>
                <w:szCs w:val="16"/>
                <w:lang w:val="fr-FR"/>
              </w:rPr>
            </w:pPr>
            <w:r w:rsidRPr="003E351B">
              <w:rPr>
                <w:b/>
                <w:bCs/>
                <w:lang w:val="fr-FR"/>
              </w:rPr>
              <w:t>Crèmes glacées</w:t>
            </w:r>
            <w:r w:rsidRPr="003E351B">
              <w:rPr>
                <w:lang w:val="fr-FR"/>
              </w:rPr>
              <w:t xml:space="preserve"> 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rPr>
                <w:b/>
                <w:bCs/>
                <w:sz w:val="18"/>
                <w:szCs w:val="24"/>
                <w:u w:val="single"/>
                <w:lang w:val="fr-FR"/>
              </w:rPr>
            </w:pPr>
          </w:p>
        </w:tc>
        <w:tc>
          <w:tcPr>
            <w:tcW w:w="129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 xml:space="preserve">&lt; -20 °C </w:t>
            </w: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>Faible</w:t>
            </w:r>
          </w:p>
        </w:tc>
        <w:tc>
          <w:tcPr>
            <w:tcW w:w="172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32E57" w:rsidRPr="003E351B" w:rsidRDefault="00832E57" w:rsidP="00285D8C">
            <w:pPr>
              <w:suppressAutoHyphens w:val="0"/>
              <w:spacing w:before="40" w:after="40" w:line="276" w:lineRule="auto"/>
              <w:jc w:val="right"/>
              <w:rPr>
                <w:bCs/>
                <w:sz w:val="18"/>
                <w:szCs w:val="24"/>
                <w:lang w:val="fr-FR"/>
              </w:rPr>
            </w:pPr>
            <w:r w:rsidRPr="003E351B">
              <w:rPr>
                <w:lang w:val="fr-FR"/>
              </w:rPr>
              <w:t>40 – 60</w:t>
            </w:r>
          </w:p>
        </w:tc>
      </w:tr>
    </w:tbl>
    <w:p w:rsidR="00832E57" w:rsidRPr="00A317E5" w:rsidRDefault="00A317E5" w:rsidP="00A317E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2E57" w:rsidRPr="00A317E5" w:rsidSect="00832E5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A9B" w:rsidRDefault="00D24A9B" w:rsidP="00F95C08">
      <w:pPr>
        <w:spacing w:line="240" w:lineRule="auto"/>
      </w:pPr>
    </w:p>
  </w:endnote>
  <w:endnote w:type="continuationSeparator" w:id="0">
    <w:p w:rsidR="00D24A9B" w:rsidRPr="00AC3823" w:rsidRDefault="00D24A9B" w:rsidP="00AC3823">
      <w:pPr>
        <w:pStyle w:val="Footer"/>
      </w:pPr>
    </w:p>
  </w:endnote>
  <w:endnote w:type="continuationNotice" w:id="1">
    <w:p w:rsidR="00D24A9B" w:rsidRDefault="00D24A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57" w:rsidRPr="00832E57" w:rsidRDefault="00832E57" w:rsidP="00832E57">
    <w:pPr>
      <w:pStyle w:val="Footer"/>
      <w:tabs>
        <w:tab w:val="right" w:pos="9638"/>
      </w:tabs>
    </w:pPr>
    <w:r w:rsidRPr="00832E57">
      <w:rPr>
        <w:b/>
        <w:sz w:val="18"/>
      </w:rPr>
      <w:fldChar w:fldCharType="begin"/>
    </w:r>
    <w:r w:rsidRPr="00832E57">
      <w:rPr>
        <w:b/>
        <w:sz w:val="18"/>
      </w:rPr>
      <w:instrText xml:space="preserve"> PAGE  \* MERGEFORMAT </w:instrText>
    </w:r>
    <w:r w:rsidRPr="00832E57">
      <w:rPr>
        <w:b/>
        <w:sz w:val="18"/>
      </w:rPr>
      <w:fldChar w:fldCharType="separate"/>
    </w:r>
    <w:r w:rsidRPr="00832E57">
      <w:rPr>
        <w:b/>
        <w:noProof/>
        <w:sz w:val="18"/>
      </w:rPr>
      <w:t>2</w:t>
    </w:r>
    <w:r w:rsidRPr="00832E57">
      <w:rPr>
        <w:b/>
        <w:sz w:val="18"/>
      </w:rPr>
      <w:fldChar w:fldCharType="end"/>
    </w:r>
    <w:r>
      <w:rPr>
        <w:b/>
        <w:sz w:val="18"/>
      </w:rPr>
      <w:tab/>
    </w:r>
    <w:r>
      <w:t>GE.20-01079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57" w:rsidRPr="00832E57" w:rsidRDefault="00832E57" w:rsidP="00832E57">
    <w:pPr>
      <w:pStyle w:val="Footer"/>
      <w:tabs>
        <w:tab w:val="right" w:pos="9638"/>
      </w:tabs>
      <w:rPr>
        <w:b/>
        <w:sz w:val="18"/>
      </w:rPr>
    </w:pPr>
    <w:r>
      <w:t>GE.20-01079</w:t>
    </w:r>
    <w:r>
      <w:tab/>
    </w:r>
    <w:r w:rsidRPr="00832E57">
      <w:rPr>
        <w:b/>
        <w:sz w:val="18"/>
      </w:rPr>
      <w:fldChar w:fldCharType="begin"/>
    </w:r>
    <w:r w:rsidRPr="00832E57">
      <w:rPr>
        <w:b/>
        <w:sz w:val="18"/>
      </w:rPr>
      <w:instrText xml:space="preserve"> PAGE  \* MERGEFORMAT </w:instrText>
    </w:r>
    <w:r w:rsidRPr="00832E57">
      <w:rPr>
        <w:b/>
        <w:sz w:val="18"/>
      </w:rPr>
      <w:fldChar w:fldCharType="separate"/>
    </w:r>
    <w:r w:rsidRPr="00832E57">
      <w:rPr>
        <w:b/>
        <w:noProof/>
        <w:sz w:val="18"/>
      </w:rPr>
      <w:t>3</w:t>
    </w:r>
    <w:r w:rsidRPr="00832E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32E57" w:rsidRDefault="00832E57" w:rsidP="00832E5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20-01079  (F)</w:t>
    </w:r>
    <w:r w:rsidR="005777B4">
      <w:rPr>
        <w:sz w:val="20"/>
      </w:rPr>
      <w:t xml:space="preserve">    180220    190220</w:t>
    </w:r>
    <w:r>
      <w:rPr>
        <w:sz w:val="20"/>
      </w:rPr>
      <w:br/>
    </w:r>
    <w:r w:rsidRPr="00832E57">
      <w:rPr>
        <w:rFonts w:ascii="C39T30Lfz" w:hAnsi="C39T30Lfz"/>
        <w:sz w:val="56"/>
      </w:rPr>
      <w:t></w:t>
    </w:r>
    <w:r w:rsidRPr="00832E57">
      <w:rPr>
        <w:rFonts w:ascii="C39T30Lfz" w:hAnsi="C39T30Lfz"/>
        <w:sz w:val="56"/>
      </w:rPr>
      <w:t></w:t>
    </w:r>
    <w:r w:rsidRPr="00832E57">
      <w:rPr>
        <w:rFonts w:ascii="C39T30Lfz" w:hAnsi="C39T30Lfz"/>
        <w:sz w:val="56"/>
      </w:rPr>
      <w:t></w:t>
    </w:r>
    <w:r w:rsidRPr="00832E57">
      <w:rPr>
        <w:rFonts w:ascii="C39T30Lfz" w:hAnsi="C39T30Lfz"/>
        <w:sz w:val="56"/>
      </w:rPr>
      <w:t></w:t>
    </w:r>
    <w:r w:rsidRPr="00832E57">
      <w:rPr>
        <w:rFonts w:ascii="C39T30Lfz" w:hAnsi="C39T30Lfz"/>
        <w:sz w:val="56"/>
      </w:rPr>
      <w:t></w:t>
    </w:r>
    <w:r w:rsidRPr="00832E57">
      <w:rPr>
        <w:rFonts w:ascii="C39T30Lfz" w:hAnsi="C39T30Lfz"/>
        <w:sz w:val="56"/>
      </w:rPr>
      <w:t></w:t>
    </w:r>
    <w:r w:rsidRPr="00832E57">
      <w:rPr>
        <w:rFonts w:ascii="C39T30Lfz" w:hAnsi="C39T30Lfz"/>
        <w:sz w:val="56"/>
      </w:rPr>
      <w:t></w:t>
    </w:r>
    <w:r w:rsidRPr="00832E57">
      <w:rPr>
        <w:rFonts w:ascii="C39T30Lfz" w:hAnsi="C39T30Lfz"/>
        <w:sz w:val="56"/>
      </w:rPr>
      <w:t></w:t>
    </w:r>
    <w:r w:rsidRPr="00832E5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20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20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A9B" w:rsidRPr="00AC3823" w:rsidRDefault="00D24A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4A9B" w:rsidRPr="00AC3823" w:rsidRDefault="00D24A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24A9B" w:rsidRPr="00AC3823" w:rsidRDefault="00D24A9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57" w:rsidRPr="00832E57" w:rsidRDefault="0079555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C4D63">
      <w:t>ECE/TRANS/WP.11/2020/5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57" w:rsidRPr="00832E57" w:rsidRDefault="00795553" w:rsidP="00832E5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C4D63">
      <w:t>ECE/TRANS/WP.11/2020/5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9B"/>
    <w:rsid w:val="00017F94"/>
    <w:rsid w:val="00023842"/>
    <w:rsid w:val="000334F9"/>
    <w:rsid w:val="00045FEB"/>
    <w:rsid w:val="0007796D"/>
    <w:rsid w:val="000B7790"/>
    <w:rsid w:val="000D08B7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777B4"/>
    <w:rsid w:val="00586ED3"/>
    <w:rsid w:val="00596AA9"/>
    <w:rsid w:val="0071601D"/>
    <w:rsid w:val="00795553"/>
    <w:rsid w:val="007A62E6"/>
    <w:rsid w:val="007C4D63"/>
    <w:rsid w:val="007F20FA"/>
    <w:rsid w:val="0080684C"/>
    <w:rsid w:val="00832E57"/>
    <w:rsid w:val="00871C75"/>
    <w:rsid w:val="008776DC"/>
    <w:rsid w:val="009446C0"/>
    <w:rsid w:val="009705C8"/>
    <w:rsid w:val="009C1CF4"/>
    <w:rsid w:val="009E6A52"/>
    <w:rsid w:val="009F6B74"/>
    <w:rsid w:val="00A3029F"/>
    <w:rsid w:val="00A30353"/>
    <w:rsid w:val="00A317E5"/>
    <w:rsid w:val="00A934E0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24A9B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101A51-5998-463D-9CD7-D33E09FA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832E5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ECE/TRANS/WP.11/2020/5</vt:lpstr>
      <vt:lpstr>ECE/TRANS/WP.11/2020/5</vt:lpstr>
    </vt:vector>
  </TitlesOfParts>
  <Company>DCM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ECE/TRANS/WP.11/2020/5</dc:title>
  <dc:subject/>
  <dc:creator>Fabienne CRELIER</dc:creator>
  <cp:keywords/>
  <cp:lastModifiedBy>Lucille Caillot</cp:lastModifiedBy>
  <cp:revision>2</cp:revision>
  <cp:lastPrinted>2020-02-19T07:18:00Z</cp:lastPrinted>
  <dcterms:created xsi:type="dcterms:W3CDTF">2020-02-19T09:44:00Z</dcterms:created>
  <dcterms:modified xsi:type="dcterms:W3CDTF">2020-02-19T09:44:00Z</dcterms:modified>
</cp:coreProperties>
</file>