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14:paraId="4A4DED5D" w14:textId="77777777" w:rsidTr="005316B0">
        <w:trPr>
          <w:trHeight w:hRule="exact" w:val="851"/>
        </w:trPr>
        <w:tc>
          <w:tcPr>
            <w:tcW w:w="1276" w:type="dxa"/>
            <w:tcBorders>
              <w:bottom w:val="single" w:sz="4" w:space="0" w:color="auto"/>
            </w:tcBorders>
          </w:tcPr>
          <w:p w14:paraId="33330404" w14:textId="77777777" w:rsidR="001433FD" w:rsidRPr="00DB58B5" w:rsidRDefault="001433FD" w:rsidP="0001207F"/>
        </w:tc>
        <w:tc>
          <w:tcPr>
            <w:tcW w:w="2268" w:type="dxa"/>
            <w:tcBorders>
              <w:bottom w:val="single" w:sz="4" w:space="0" w:color="auto"/>
            </w:tcBorders>
            <w:vAlign w:val="bottom"/>
          </w:tcPr>
          <w:p w14:paraId="472DDB3B" w14:textId="77777777"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5402EBD" w14:textId="77777777" w:rsidR="001433FD" w:rsidRPr="00855B15" w:rsidRDefault="00855B15" w:rsidP="00855B15">
            <w:pPr>
              <w:jc w:val="right"/>
            </w:pPr>
            <w:r w:rsidRPr="00855B15">
              <w:rPr>
                <w:sz w:val="40"/>
              </w:rPr>
              <w:t>ECE</w:t>
            </w:r>
            <w:r>
              <w:t>/TRANS/WP.11/2020/4</w:t>
            </w:r>
          </w:p>
        </w:tc>
      </w:tr>
      <w:tr w:rsidR="001433FD" w:rsidRPr="00DB58B5" w14:paraId="3F1D13A0" w14:textId="77777777" w:rsidTr="007D3236">
        <w:trPr>
          <w:trHeight w:hRule="exact" w:val="2835"/>
        </w:trPr>
        <w:tc>
          <w:tcPr>
            <w:tcW w:w="1276" w:type="dxa"/>
            <w:tcBorders>
              <w:top w:val="single" w:sz="4" w:space="0" w:color="auto"/>
              <w:bottom w:val="single" w:sz="12" w:space="0" w:color="auto"/>
            </w:tcBorders>
          </w:tcPr>
          <w:p w14:paraId="2A97E76C" w14:textId="77777777" w:rsidR="001433FD" w:rsidRPr="00DB58B5" w:rsidRDefault="001433FD" w:rsidP="007D3236">
            <w:pPr>
              <w:spacing w:before="120"/>
              <w:jc w:val="center"/>
            </w:pPr>
            <w:r>
              <w:rPr>
                <w:noProof/>
                <w:lang w:eastAsia="fr-CH"/>
              </w:rPr>
              <w:drawing>
                <wp:inline distT="0" distB="0" distL="0" distR="0" wp14:anchorId="14CBDBAE" wp14:editId="6BB750BD">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95DD86" w14:textId="77777777"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0601581" w14:textId="77777777" w:rsidR="0001207F" w:rsidRDefault="00865CE0" w:rsidP="00865CE0">
            <w:pPr>
              <w:spacing w:before="240" w:line="240" w:lineRule="exact"/>
            </w:pPr>
            <w:proofErr w:type="spellStart"/>
            <w:r>
              <w:t>Distr</w:t>
            </w:r>
            <w:proofErr w:type="spellEnd"/>
            <w:r>
              <w:t xml:space="preserve">. </w:t>
            </w:r>
            <w:proofErr w:type="gramStart"/>
            <w:r>
              <w:t>générale</w:t>
            </w:r>
            <w:proofErr w:type="gramEnd"/>
          </w:p>
          <w:p w14:paraId="7125B5B3" w14:textId="77777777" w:rsidR="00865CE0" w:rsidRDefault="00865CE0" w:rsidP="00865CE0">
            <w:pPr>
              <w:spacing w:line="240" w:lineRule="exact"/>
            </w:pPr>
            <w:r>
              <w:t>2</w:t>
            </w:r>
            <w:r w:rsidR="00D10FEF">
              <w:t>4</w:t>
            </w:r>
            <w:r>
              <w:t xml:space="preserve"> janvier 2020</w:t>
            </w:r>
          </w:p>
          <w:p w14:paraId="4EB88AF0" w14:textId="77777777" w:rsidR="00865CE0" w:rsidRDefault="00865CE0" w:rsidP="00865CE0">
            <w:pPr>
              <w:spacing w:line="240" w:lineRule="exact"/>
            </w:pPr>
          </w:p>
          <w:p w14:paraId="18B6FD38" w14:textId="77777777" w:rsidR="00865CE0" w:rsidRPr="00DB58B5" w:rsidRDefault="00865CE0" w:rsidP="00865CE0">
            <w:pPr>
              <w:spacing w:line="240" w:lineRule="exact"/>
            </w:pPr>
            <w:r>
              <w:t>Original : français</w:t>
            </w:r>
          </w:p>
        </w:tc>
      </w:tr>
    </w:tbl>
    <w:p w14:paraId="5986C980" w14:textId="77777777" w:rsidR="00865CE0" w:rsidRPr="000312C0" w:rsidRDefault="00865CE0" w:rsidP="00865CE0">
      <w:pPr>
        <w:spacing w:before="120"/>
        <w:rPr>
          <w:b/>
          <w:sz w:val="28"/>
          <w:szCs w:val="28"/>
        </w:rPr>
      </w:pPr>
      <w:r w:rsidRPr="000312C0">
        <w:rPr>
          <w:b/>
          <w:sz w:val="28"/>
          <w:szCs w:val="28"/>
        </w:rPr>
        <w:t>Commission économique pour l’Europe</w:t>
      </w:r>
    </w:p>
    <w:p w14:paraId="22ED0E51" w14:textId="77777777" w:rsidR="00865CE0" w:rsidRDefault="00865CE0" w:rsidP="00865CE0">
      <w:pPr>
        <w:spacing w:before="120"/>
        <w:rPr>
          <w:sz w:val="28"/>
          <w:szCs w:val="28"/>
        </w:rPr>
      </w:pPr>
      <w:r w:rsidRPr="00685843">
        <w:rPr>
          <w:sz w:val="28"/>
          <w:szCs w:val="28"/>
        </w:rPr>
        <w:t>Comité des transports intérieurs</w:t>
      </w:r>
    </w:p>
    <w:p w14:paraId="7B4AF298" w14:textId="77777777" w:rsidR="00865CE0" w:rsidRPr="00813CCC" w:rsidRDefault="00865CE0" w:rsidP="00865CE0">
      <w:pPr>
        <w:kinsoku/>
        <w:overflowPunct/>
        <w:autoSpaceDE/>
        <w:autoSpaceDN/>
        <w:adjustRightInd/>
        <w:snapToGrid/>
        <w:spacing w:before="120"/>
        <w:rPr>
          <w:b/>
          <w:sz w:val="24"/>
          <w:szCs w:val="24"/>
          <w:lang w:eastAsia="fr-FR"/>
        </w:rPr>
      </w:pPr>
      <w:r w:rsidRPr="00813CCC">
        <w:rPr>
          <w:b/>
          <w:sz w:val="24"/>
          <w:szCs w:val="24"/>
          <w:lang w:eastAsia="fr-FR"/>
        </w:rPr>
        <w:t>Groupe de travail du transport des denrées périssables</w:t>
      </w:r>
    </w:p>
    <w:p w14:paraId="0549A1C4" w14:textId="77777777" w:rsidR="00865CE0" w:rsidRPr="00813CCC" w:rsidRDefault="00865CE0" w:rsidP="00865CE0">
      <w:pPr>
        <w:kinsoku/>
        <w:overflowPunct/>
        <w:autoSpaceDE/>
        <w:autoSpaceDN/>
        <w:adjustRightInd/>
        <w:snapToGrid/>
        <w:spacing w:before="120"/>
        <w:rPr>
          <w:b/>
          <w:lang w:eastAsia="fr-FR"/>
        </w:rPr>
      </w:pPr>
      <w:r w:rsidRPr="00813CCC">
        <w:rPr>
          <w:b/>
          <w:lang w:eastAsia="fr-FR"/>
        </w:rPr>
        <w:t>Soixante-</w:t>
      </w:r>
      <w:r>
        <w:rPr>
          <w:b/>
          <w:lang w:eastAsia="fr-FR"/>
        </w:rPr>
        <w:t>seizième</w:t>
      </w:r>
      <w:r w:rsidRPr="00813CCC">
        <w:rPr>
          <w:b/>
          <w:lang w:eastAsia="fr-FR"/>
        </w:rPr>
        <w:t xml:space="preserve"> session</w:t>
      </w:r>
    </w:p>
    <w:p w14:paraId="74CF8915" w14:textId="77777777" w:rsidR="00865CE0" w:rsidRPr="00813CCC" w:rsidRDefault="00865CE0" w:rsidP="00865CE0">
      <w:pPr>
        <w:kinsoku/>
        <w:overflowPunct/>
        <w:autoSpaceDE/>
        <w:autoSpaceDN/>
        <w:adjustRightInd/>
        <w:snapToGrid/>
        <w:rPr>
          <w:lang w:eastAsia="fr-FR"/>
        </w:rPr>
      </w:pPr>
      <w:r w:rsidRPr="00813CCC">
        <w:rPr>
          <w:lang w:eastAsia="fr-FR"/>
        </w:rPr>
        <w:t xml:space="preserve">Genève, </w:t>
      </w:r>
      <w:r>
        <w:rPr>
          <w:lang w:eastAsia="fr-FR"/>
        </w:rPr>
        <w:t>7-9 avril</w:t>
      </w:r>
      <w:r w:rsidRPr="00813CCC">
        <w:rPr>
          <w:lang w:eastAsia="fr-FR"/>
        </w:rPr>
        <w:t xml:space="preserve"> 20</w:t>
      </w:r>
      <w:r>
        <w:rPr>
          <w:lang w:eastAsia="fr-FR"/>
        </w:rPr>
        <w:t>20</w:t>
      </w:r>
    </w:p>
    <w:p w14:paraId="58CAE343" w14:textId="77777777" w:rsidR="00865CE0" w:rsidRPr="00813CCC" w:rsidRDefault="00865CE0" w:rsidP="00865CE0">
      <w:pPr>
        <w:kinsoku/>
        <w:overflowPunct/>
        <w:autoSpaceDE/>
        <w:autoSpaceDN/>
        <w:adjustRightInd/>
        <w:snapToGrid/>
        <w:rPr>
          <w:lang w:eastAsia="fr-FR"/>
        </w:rPr>
      </w:pPr>
      <w:r w:rsidRPr="00813CCC">
        <w:rPr>
          <w:lang w:eastAsia="fr-FR"/>
        </w:rPr>
        <w:t xml:space="preserve">Point </w:t>
      </w:r>
      <w:r>
        <w:rPr>
          <w:lang w:eastAsia="fr-FR"/>
        </w:rPr>
        <w:t>6</w:t>
      </w:r>
      <w:r w:rsidRPr="00813CCC">
        <w:rPr>
          <w:lang w:eastAsia="fr-FR"/>
        </w:rPr>
        <w:t xml:space="preserve"> </w:t>
      </w:r>
      <w:r w:rsidR="00510539">
        <w:rPr>
          <w:lang w:eastAsia="fr-FR"/>
        </w:rPr>
        <w:t>a</w:t>
      </w:r>
      <w:r w:rsidRPr="00813CCC">
        <w:rPr>
          <w:lang w:eastAsia="fr-FR"/>
        </w:rPr>
        <w:t>) de l’ordre du jour provisoire</w:t>
      </w:r>
    </w:p>
    <w:p w14:paraId="7A7D6C42" w14:textId="77777777" w:rsidR="00865CE0" w:rsidRPr="00813CCC" w:rsidRDefault="00865CE0" w:rsidP="00003FC2">
      <w:pPr>
        <w:kinsoku/>
        <w:overflowPunct/>
        <w:autoSpaceDE/>
        <w:autoSpaceDN/>
        <w:adjustRightInd/>
        <w:snapToGrid/>
        <w:spacing w:line="240" w:lineRule="auto"/>
        <w:rPr>
          <w:b/>
          <w:lang w:eastAsia="fr-FR"/>
        </w:rPr>
      </w:pPr>
      <w:r w:rsidRPr="00813CCC">
        <w:rPr>
          <w:b/>
          <w:lang w:eastAsia="fr-FR"/>
        </w:rPr>
        <w:t xml:space="preserve">Propositions d’amendements à </w:t>
      </w:r>
      <w:proofErr w:type="gramStart"/>
      <w:r w:rsidRPr="00813CCC">
        <w:rPr>
          <w:b/>
          <w:lang w:eastAsia="fr-FR"/>
        </w:rPr>
        <w:t>l’ATP:</w:t>
      </w:r>
      <w:proofErr w:type="gramEnd"/>
    </w:p>
    <w:p w14:paraId="38AF27E6" w14:textId="77777777" w:rsidR="00865CE0" w:rsidRPr="00813CCC" w:rsidRDefault="00D10FEF" w:rsidP="001B1643">
      <w:pPr>
        <w:kinsoku/>
        <w:overflowPunct/>
        <w:autoSpaceDE/>
        <w:autoSpaceDN/>
        <w:adjustRightInd/>
        <w:snapToGrid/>
        <w:spacing w:line="240" w:lineRule="auto"/>
        <w:rPr>
          <w:b/>
          <w:lang w:eastAsia="fr-FR"/>
        </w:rPr>
      </w:pPr>
      <w:proofErr w:type="gramStart"/>
      <w:r>
        <w:rPr>
          <w:b/>
          <w:lang w:val="fr-FR" w:eastAsia="fr-FR"/>
        </w:rPr>
        <w:t>p</w:t>
      </w:r>
      <w:r w:rsidR="001B1643" w:rsidRPr="001B1643">
        <w:rPr>
          <w:b/>
          <w:lang w:val="fr-FR" w:eastAsia="fr-FR"/>
        </w:rPr>
        <w:t>ropositions</w:t>
      </w:r>
      <w:proofErr w:type="gramEnd"/>
      <w:r w:rsidR="00510539">
        <w:rPr>
          <w:b/>
          <w:lang w:val="fr-FR" w:eastAsia="fr-FR"/>
        </w:rPr>
        <w:t xml:space="preserve"> en suspens</w:t>
      </w:r>
    </w:p>
    <w:p w14:paraId="329A6937" w14:textId="77777777" w:rsidR="005D0761" w:rsidRDefault="005D0761" w:rsidP="001A536F">
      <w:pPr>
        <w:pStyle w:val="HChG"/>
        <w:rPr>
          <w:lang w:val="fr-FR"/>
        </w:rPr>
      </w:pPr>
      <w:r>
        <w:rPr>
          <w:lang w:val="fr-FR"/>
        </w:rPr>
        <w:tab/>
      </w:r>
      <w:r>
        <w:rPr>
          <w:lang w:val="fr-FR"/>
        </w:rPr>
        <w:tab/>
      </w:r>
      <w:r w:rsidR="001A536F" w:rsidRPr="001A536F">
        <w:rPr>
          <w:bCs/>
          <w:lang w:val="fr-FR"/>
        </w:rPr>
        <w:t>Modification concernant les modèles de procès-verbaux qui définissent les spécifications des engins et engins-citernes destinés aux transports de liquides alimentaires découlant de la nécessité de prendre en compte l’évolution technologique apportée par l’emploi de nouvelles mousses isolantes</w:t>
      </w:r>
    </w:p>
    <w:p w14:paraId="68C32178" w14:textId="77777777" w:rsidR="005D0761" w:rsidRDefault="005D0761" w:rsidP="005D0761">
      <w:pPr>
        <w:pStyle w:val="H1G"/>
        <w:rPr>
          <w:lang w:val="fr-FR"/>
        </w:rPr>
      </w:pPr>
      <w:r>
        <w:rPr>
          <w:lang w:val="fr-FR"/>
        </w:rPr>
        <w:tab/>
      </w:r>
      <w:r>
        <w:rPr>
          <w:lang w:val="fr-FR"/>
        </w:rPr>
        <w:tab/>
        <w:t xml:space="preserve">Communication du </w:t>
      </w:r>
      <w:r w:rsidRPr="005D0761">
        <w:t>Gouvernement</w:t>
      </w:r>
      <w:r>
        <w:rPr>
          <w:lang w:val="fr-FR"/>
        </w:rPr>
        <w:t xml:space="preserve"> de la France</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5D0761" w14:paraId="7B4F5DA9" w14:textId="77777777" w:rsidTr="005D0761">
        <w:trPr>
          <w:jc w:val="center"/>
        </w:trPr>
        <w:tc>
          <w:tcPr>
            <w:tcW w:w="9628" w:type="dxa"/>
            <w:shd w:val="clear" w:color="auto" w:fill="auto"/>
          </w:tcPr>
          <w:p w14:paraId="20E7E52B" w14:textId="77777777" w:rsidR="005D0761" w:rsidRPr="00C6263E" w:rsidRDefault="005D0761" w:rsidP="006E5E26">
            <w:pPr>
              <w:spacing w:before="240" w:after="120"/>
              <w:ind w:left="255"/>
              <w:rPr>
                <w:i/>
                <w:sz w:val="24"/>
              </w:rPr>
            </w:pPr>
            <w:r w:rsidRPr="00C6263E">
              <w:rPr>
                <w:i/>
                <w:sz w:val="24"/>
              </w:rPr>
              <w:t xml:space="preserve">Résumé </w:t>
            </w:r>
          </w:p>
        </w:tc>
      </w:tr>
      <w:tr w:rsidR="001A536F" w14:paraId="29B6F671" w14:textId="77777777" w:rsidTr="00277906">
        <w:trPr>
          <w:jc w:val="center"/>
        </w:trPr>
        <w:tc>
          <w:tcPr>
            <w:tcW w:w="9628" w:type="dxa"/>
            <w:shd w:val="clear" w:color="auto" w:fill="auto"/>
          </w:tcPr>
          <w:p w14:paraId="2EC921B1" w14:textId="77777777" w:rsidR="001A536F" w:rsidRDefault="001A536F" w:rsidP="001A536F">
            <w:pPr>
              <w:pStyle w:val="SingleTxtG"/>
              <w:ind w:left="2552" w:hanging="2268"/>
            </w:pPr>
            <w:r>
              <w:rPr>
                <w:rFonts w:eastAsia="Calibri"/>
                <w:b/>
                <w:lang w:eastAsia="en-US"/>
              </w:rPr>
              <w:t>Résumé analytique </w:t>
            </w:r>
            <w:r>
              <w:rPr>
                <w:rFonts w:eastAsia="Calibri"/>
                <w:lang w:eastAsia="en-US"/>
              </w:rPr>
              <w:t>:</w:t>
            </w:r>
            <w:r>
              <w:rPr>
                <w:rFonts w:eastAsia="Calibri"/>
                <w:b/>
                <w:lang w:eastAsia="en-US"/>
              </w:rPr>
              <w:tab/>
            </w:r>
            <w:r>
              <w:rPr>
                <w:rFonts w:eastAsia="Calibri"/>
                <w:lang w:eastAsia="en-US"/>
              </w:rPr>
              <w:t>Les modèles de procès-verbaux d’essais n</w:t>
            </w:r>
            <w:r>
              <w:rPr>
                <w:rFonts w:eastAsia="Calibri"/>
                <w:vertAlign w:val="superscript"/>
                <w:lang w:eastAsia="en-US"/>
              </w:rPr>
              <w:t>os</w:t>
            </w:r>
            <w:r>
              <w:rPr>
                <w:rFonts w:eastAsia="Calibri"/>
                <w:lang w:eastAsia="en-US"/>
              </w:rPr>
              <w:t> 1A et 1B, qui définissent les spécifications de, respectivement, l’engin (engins autres que les citernes destinées aux transports de liquides alimentaires) et des engins-citernes destinés aux transports de liquides, n’imposent par les spécificités minimales qui définissent les mousses utilisées dans l’isolation des engins.</w:t>
            </w:r>
          </w:p>
          <w:p w14:paraId="751E6288" w14:textId="77777777" w:rsidR="001A536F" w:rsidRDefault="001A536F" w:rsidP="001A536F">
            <w:pPr>
              <w:pStyle w:val="SingleTxtG"/>
              <w:ind w:left="2552" w:hanging="2268"/>
            </w:pPr>
            <w:r>
              <w:rPr>
                <w:rFonts w:eastAsia="Calibri"/>
                <w:lang w:eastAsia="en-US"/>
              </w:rPr>
              <w:tab/>
              <w:t>Sachant que l’introduction des nouvelles mousses isolantes concerne tout autant les nouveaux prototypes d’engins que ceux qui bénéficient d’un rapport d’essais n</w:t>
            </w:r>
            <w:r>
              <w:rPr>
                <w:rFonts w:eastAsia="Calibri"/>
                <w:vertAlign w:val="superscript"/>
                <w:lang w:eastAsia="en-US"/>
              </w:rPr>
              <w:t>os</w:t>
            </w:r>
            <w:r>
              <w:rPr>
                <w:rFonts w:eastAsia="Calibri"/>
                <w:lang w:eastAsia="en-US"/>
              </w:rPr>
              <w:t xml:space="preserve"> 2A et 2B, </w:t>
            </w:r>
            <w:r>
              <w:rPr>
                <w:rFonts w:eastAsia="Calibri"/>
                <w:bCs/>
                <w:lang w:val="fr-FR" w:eastAsia="en-US"/>
              </w:rPr>
              <w:t>il s’agit de maîtriser le type de l’engin par l’ajout de spécifications minimales des mousses isolantes utilisées dans les engins.</w:t>
            </w:r>
          </w:p>
        </w:tc>
      </w:tr>
      <w:tr w:rsidR="001A536F" w14:paraId="3AB17BA5" w14:textId="77777777" w:rsidTr="005D0761">
        <w:trPr>
          <w:jc w:val="center"/>
        </w:trPr>
        <w:tc>
          <w:tcPr>
            <w:tcW w:w="9628" w:type="dxa"/>
            <w:shd w:val="clear" w:color="auto" w:fill="auto"/>
          </w:tcPr>
          <w:p w14:paraId="6B190A6A" w14:textId="77777777" w:rsidR="001A536F" w:rsidRDefault="001A536F" w:rsidP="001A536F">
            <w:pPr>
              <w:pStyle w:val="SingleTxtG"/>
              <w:ind w:left="2552" w:hanging="2268"/>
            </w:pPr>
            <w:r>
              <w:rPr>
                <w:rFonts w:eastAsia="Calibri"/>
                <w:b/>
                <w:lang w:eastAsia="en-US"/>
              </w:rPr>
              <w:t>Mesure à prendre </w:t>
            </w:r>
            <w:r>
              <w:rPr>
                <w:rFonts w:eastAsia="Calibri"/>
                <w:lang w:eastAsia="en-US"/>
              </w:rPr>
              <w:t>:</w:t>
            </w:r>
            <w:r>
              <w:rPr>
                <w:rFonts w:eastAsia="Calibri"/>
                <w:b/>
                <w:lang w:eastAsia="en-US"/>
              </w:rPr>
              <w:tab/>
            </w:r>
            <w:r>
              <w:rPr>
                <w:rFonts w:eastAsia="Calibri"/>
                <w:lang w:eastAsia="en-US"/>
              </w:rPr>
              <w:t>Apporter la modification proposée ci-après dans les modèles de procès</w:t>
            </w:r>
            <w:r>
              <w:rPr>
                <w:rFonts w:eastAsia="Calibri"/>
                <w:lang w:eastAsia="en-US"/>
              </w:rPr>
              <w:noBreakHyphen/>
              <w:t>verbaux d’essais n</w:t>
            </w:r>
            <w:r>
              <w:rPr>
                <w:rFonts w:eastAsia="Calibri"/>
                <w:vertAlign w:val="superscript"/>
                <w:lang w:eastAsia="en-US"/>
              </w:rPr>
              <w:t>os</w:t>
            </w:r>
            <w:r>
              <w:rPr>
                <w:rFonts w:eastAsia="Calibri"/>
                <w:lang w:eastAsia="en-US"/>
              </w:rPr>
              <w:t> 1A et 1B.</w:t>
            </w:r>
          </w:p>
        </w:tc>
      </w:tr>
      <w:tr w:rsidR="001A536F" w14:paraId="6CB7D0BE" w14:textId="77777777" w:rsidTr="005D0761">
        <w:trPr>
          <w:jc w:val="center"/>
        </w:trPr>
        <w:tc>
          <w:tcPr>
            <w:tcW w:w="9628" w:type="dxa"/>
            <w:shd w:val="clear" w:color="auto" w:fill="auto"/>
          </w:tcPr>
          <w:p w14:paraId="45E13B96" w14:textId="77777777" w:rsidR="001A536F" w:rsidRDefault="001A536F" w:rsidP="001A536F">
            <w:pPr>
              <w:pStyle w:val="SingleTxtG"/>
              <w:ind w:left="2552" w:hanging="2268"/>
              <w:jc w:val="left"/>
            </w:pPr>
            <w:r>
              <w:rPr>
                <w:rFonts w:eastAsia="Calibri"/>
                <w:b/>
                <w:lang w:eastAsia="en-US"/>
              </w:rPr>
              <w:t>Documents connexes </w:t>
            </w:r>
            <w:r>
              <w:rPr>
                <w:rFonts w:eastAsia="Calibri"/>
                <w:lang w:eastAsia="en-US"/>
              </w:rPr>
              <w:t>:</w:t>
            </w:r>
            <w:r>
              <w:rPr>
                <w:rFonts w:eastAsia="Calibri"/>
                <w:b/>
                <w:lang w:eastAsia="en-US"/>
              </w:rPr>
              <w:tab/>
            </w:r>
            <w:r w:rsidR="00E4350E" w:rsidRPr="00E4350E">
              <w:rPr>
                <w:rFonts w:eastAsia="Calibri"/>
                <w:lang w:eastAsia="en-US"/>
              </w:rPr>
              <w:t>ECE/TRANS/WP.11/2019/7</w:t>
            </w:r>
          </w:p>
        </w:tc>
      </w:tr>
    </w:tbl>
    <w:p w14:paraId="62CFEE66" w14:textId="77777777" w:rsidR="005D0761" w:rsidRDefault="005D0761" w:rsidP="005D0761">
      <w:pPr>
        <w:pStyle w:val="HChG"/>
      </w:pPr>
      <w:r>
        <w:lastRenderedPageBreak/>
        <w:tab/>
      </w:r>
      <w:r>
        <w:tab/>
        <w:t>Introduction</w:t>
      </w:r>
      <w:bookmarkStart w:id="0" w:name="OLE_LINK2"/>
      <w:bookmarkStart w:id="1" w:name="OLE_LINK1"/>
      <w:bookmarkEnd w:id="0"/>
      <w:bookmarkEnd w:id="1"/>
    </w:p>
    <w:p w14:paraId="5DF9B61D" w14:textId="77777777" w:rsidR="001A536F" w:rsidRPr="001A536F" w:rsidRDefault="001A536F" w:rsidP="00D10FEF">
      <w:pPr>
        <w:pStyle w:val="SingleTxtG"/>
      </w:pPr>
      <w:r>
        <w:t>1.</w:t>
      </w:r>
      <w:r>
        <w:tab/>
      </w:r>
      <w:r w:rsidRPr="001A536F">
        <w:t>Les modèles de rapports d’essais n</w:t>
      </w:r>
      <w:r w:rsidRPr="001A536F">
        <w:rPr>
          <w:vertAlign w:val="superscript"/>
        </w:rPr>
        <w:t>os</w:t>
      </w:r>
      <w:r w:rsidRPr="001A536F">
        <w:t> 1A et 1B de l’ATP contiennent des prescriptions rigoureuses en ce qui concerne la définition des dimensions de l’engin soumis à la mesure du coefficient global de transmission thermique. Toutefois ces modèles n’imposent pas de spécifications minimales sur les propriétés physiques intrinsèques de la mousse isolante utilisée pour la construction des parois de la caisse ou des citernes.</w:t>
      </w:r>
    </w:p>
    <w:p w14:paraId="4FCC686D" w14:textId="77777777" w:rsidR="001A536F" w:rsidRPr="001A536F" w:rsidRDefault="001A536F" w:rsidP="001A536F">
      <w:pPr>
        <w:pStyle w:val="SingleTxtG"/>
      </w:pPr>
      <w:r w:rsidRPr="001A536F">
        <w:t>2.</w:t>
      </w:r>
      <w:r w:rsidRPr="001A536F">
        <w:tab/>
        <w:t>La qualité isolante des parois de la caisse ou des citernes est fortement liée à celle de la mousse isolante employée, qu’elle soit issue de panneaux préfabriqués en série ou injectée.</w:t>
      </w:r>
    </w:p>
    <w:p w14:paraId="6FCEFB08" w14:textId="77777777" w:rsidR="001A536F" w:rsidRPr="001A536F" w:rsidRDefault="001A536F" w:rsidP="001A536F">
      <w:pPr>
        <w:pStyle w:val="SingleTxtG"/>
      </w:pPr>
      <w:r w:rsidRPr="001A536F">
        <w:t>3.</w:t>
      </w:r>
      <w:r w:rsidRPr="001A536F">
        <w:tab/>
        <w:t>Certains constructeurs de caisse ou de citernes souhaitent pouvoir exploiter de nouvelles mousses isolantes sur tout ou partie d’engins possédant un rapport d’essai pour la mesure du coefficient global de transmission thermique.</w:t>
      </w:r>
    </w:p>
    <w:p w14:paraId="72814F26" w14:textId="77777777" w:rsidR="001A536F" w:rsidRPr="001A536F" w:rsidRDefault="001A536F" w:rsidP="001A536F">
      <w:pPr>
        <w:pStyle w:val="SingleTxtG"/>
      </w:pPr>
      <w:r w:rsidRPr="001A536F">
        <w:t>4.</w:t>
      </w:r>
      <w:r w:rsidRPr="001A536F">
        <w:tab/>
        <w:t>C’est pourquoi il est proposé dans le présent document de préciser les dispositions de l’ATP relatives à l’enregistrement des spécifications de la mousse isolante visant à maîtriser la constitution d’un engin.</w:t>
      </w:r>
    </w:p>
    <w:p w14:paraId="65C65EB6" w14:textId="77777777" w:rsidR="001A536F" w:rsidRPr="001A536F" w:rsidRDefault="001A536F" w:rsidP="001A536F">
      <w:pPr>
        <w:pStyle w:val="SingleTxtG"/>
      </w:pPr>
      <w:r w:rsidRPr="001A536F">
        <w:t>5.</w:t>
      </w:r>
      <w:r w:rsidRPr="001A536F">
        <w:tab/>
        <w:t>La modification proposée ci-après est fondée sur le texte français de l’ATP tel que modifié au 6 janvier 2018.</w:t>
      </w:r>
    </w:p>
    <w:p w14:paraId="062C5A57" w14:textId="77777777" w:rsidR="001A536F" w:rsidRPr="001A536F" w:rsidRDefault="001A536F" w:rsidP="003166EE">
      <w:pPr>
        <w:pStyle w:val="HChG"/>
      </w:pPr>
      <w:r w:rsidRPr="001A536F">
        <w:tab/>
        <w:t>I.</w:t>
      </w:r>
      <w:r w:rsidRPr="001A536F">
        <w:tab/>
        <w:t>Proposition</w:t>
      </w:r>
    </w:p>
    <w:p w14:paraId="6E92767F" w14:textId="77777777" w:rsidR="001A536F" w:rsidRPr="001A536F" w:rsidRDefault="001A536F" w:rsidP="001A536F">
      <w:pPr>
        <w:pStyle w:val="SingleTxtG"/>
      </w:pPr>
      <w:r w:rsidRPr="001A536F">
        <w:t>6.</w:t>
      </w:r>
      <w:r w:rsidRPr="001A536F">
        <w:tab/>
        <w:t>Dans les modèles de procès-verbaux d’essais n</w:t>
      </w:r>
      <w:r w:rsidRPr="001A536F">
        <w:rPr>
          <w:vertAlign w:val="superscript"/>
        </w:rPr>
        <w:t>os</w:t>
      </w:r>
      <w:r w:rsidRPr="001A536F">
        <w:t xml:space="preserve"> 1A, remplacer le 4</w:t>
      </w:r>
      <w:r w:rsidRPr="001A536F">
        <w:rPr>
          <w:vertAlign w:val="superscript"/>
        </w:rPr>
        <w:t>ème</w:t>
      </w:r>
      <w:r w:rsidRPr="001A536F">
        <w:t xml:space="preserve"> renvoi en bas de la page 46 par « Nature et épaisseur des matériaux constituant les parois de la caisse, de l’intérieur vers l’extérieur, mode de construction, etc. et mentionner la densité et la conductivité thermique λ de la mousse isolante utilisée. », </w:t>
      </w:r>
      <w:r w:rsidRPr="001A536F">
        <w:rPr>
          <w:lang w:val="fr-FR"/>
        </w:rPr>
        <w:t>en indiquant que cette partie doit obligatoirement être renseignée par le commanditaire de l’essai.</w:t>
      </w:r>
    </w:p>
    <w:p w14:paraId="03D8DD80" w14:textId="77777777" w:rsidR="001A536F" w:rsidRPr="001A536F" w:rsidRDefault="001A536F" w:rsidP="001A536F">
      <w:pPr>
        <w:pStyle w:val="SingleTxtG"/>
      </w:pPr>
      <w:r w:rsidRPr="001A536F">
        <w:t xml:space="preserve">7. </w:t>
      </w:r>
      <w:r w:rsidRPr="001A536F">
        <w:tab/>
        <w:t>Dans les modèles de procès-verbaux d’essais n</w:t>
      </w:r>
      <w:r w:rsidRPr="001A536F">
        <w:rPr>
          <w:vertAlign w:val="superscript"/>
        </w:rPr>
        <w:t>os</w:t>
      </w:r>
      <w:r w:rsidRPr="001A536F">
        <w:t xml:space="preserve"> 1B, remplacer le 4</w:t>
      </w:r>
      <w:r w:rsidRPr="001A536F">
        <w:rPr>
          <w:vertAlign w:val="superscript"/>
        </w:rPr>
        <w:t>ème</w:t>
      </w:r>
      <w:r w:rsidRPr="001A536F">
        <w:t xml:space="preserve"> renvoi en bas de la page 48 par « Nature et épaisseur des matériaux constituant les parois de la citerne, de l’intérieur vers l’extérieur, mode de construction, etc. et mentionner la densité et la conductivité thermique λ de la mousse isolante utilisée. », </w:t>
      </w:r>
      <w:r w:rsidRPr="001A536F">
        <w:rPr>
          <w:lang w:val="fr-FR"/>
        </w:rPr>
        <w:t>en indiquant que cette partie doit obligatoirement être renseignée par le commanditaire de l’essai.</w:t>
      </w:r>
    </w:p>
    <w:p w14:paraId="31B6389D" w14:textId="77777777" w:rsidR="001A536F" w:rsidRPr="001A536F" w:rsidRDefault="001A536F" w:rsidP="003166EE">
      <w:pPr>
        <w:pStyle w:val="HChG"/>
      </w:pPr>
      <w:r w:rsidRPr="001A536F">
        <w:tab/>
        <w:t>II.</w:t>
      </w:r>
      <w:r w:rsidRPr="001A536F">
        <w:tab/>
        <w:t>Justification</w:t>
      </w:r>
    </w:p>
    <w:p w14:paraId="36A6B2F5" w14:textId="77777777" w:rsidR="001A536F" w:rsidRPr="001A536F" w:rsidRDefault="001A536F" w:rsidP="001A536F">
      <w:pPr>
        <w:pStyle w:val="SingleTxtG"/>
      </w:pPr>
      <w:r w:rsidRPr="001A536F">
        <w:t>8.</w:t>
      </w:r>
      <w:r w:rsidRPr="001A536F">
        <w:tab/>
        <w:t>La définition du type dont les principales caractéristiques thermiques reposent sur les propriétés intrinsèques de l’isolant employé doit être inscrit dans les rapports d’essais n</w:t>
      </w:r>
      <w:r w:rsidRPr="001A536F">
        <w:rPr>
          <w:vertAlign w:val="superscript"/>
        </w:rPr>
        <w:t>os</w:t>
      </w:r>
      <w:r w:rsidRPr="001A536F">
        <w:t> 1A et 1B qui accompagnent ceux dévolus à l’estimation du coefficient global de transmission thermique n</w:t>
      </w:r>
      <w:r w:rsidRPr="001A536F">
        <w:rPr>
          <w:vertAlign w:val="superscript"/>
        </w:rPr>
        <w:t>os</w:t>
      </w:r>
      <w:r w:rsidRPr="001A536F">
        <w:t> 2A et 2B.</w:t>
      </w:r>
    </w:p>
    <w:p w14:paraId="342C2544" w14:textId="77777777" w:rsidR="001A536F" w:rsidRPr="001A536F" w:rsidRDefault="001A536F" w:rsidP="003166EE">
      <w:pPr>
        <w:pStyle w:val="HChG"/>
      </w:pPr>
      <w:r w:rsidRPr="001A536F">
        <w:tab/>
        <w:t>III.</w:t>
      </w:r>
      <w:r w:rsidRPr="001A536F">
        <w:tab/>
        <w:t>Coûts</w:t>
      </w:r>
    </w:p>
    <w:p w14:paraId="1C9E6764" w14:textId="77777777" w:rsidR="001A536F" w:rsidRPr="001A536F" w:rsidRDefault="001A536F" w:rsidP="001A536F">
      <w:pPr>
        <w:pStyle w:val="SingleTxtG"/>
      </w:pPr>
      <w:r w:rsidRPr="001A536F">
        <w:t>9.</w:t>
      </w:r>
      <w:r w:rsidRPr="001A536F">
        <w:tab/>
      </w:r>
      <w:r w:rsidRPr="001A536F">
        <w:rPr>
          <w:lang w:val="fr-FR"/>
        </w:rPr>
        <w:t>Il n’y a pas de coûts supplémentaires à prévoir pour les stations d’essais officielles ATP</w:t>
      </w:r>
      <w:r w:rsidRPr="001A536F">
        <w:t xml:space="preserve"> ni même pour les constructeurs qui doivent disposer des paramètres additionnels demandés par la présente proposition </w:t>
      </w:r>
      <w:r w:rsidRPr="001A536F">
        <w:rPr>
          <w:lang w:val="fr-FR"/>
        </w:rPr>
        <w:t>dans le cadre de la maîtrise de</w:t>
      </w:r>
      <w:r w:rsidRPr="001A536F">
        <w:t xml:space="preserve"> leur production.</w:t>
      </w:r>
    </w:p>
    <w:p w14:paraId="03F117F6" w14:textId="77777777" w:rsidR="001A536F" w:rsidRPr="001A536F" w:rsidRDefault="001A536F" w:rsidP="003166EE">
      <w:pPr>
        <w:pStyle w:val="HChG"/>
      </w:pPr>
      <w:r w:rsidRPr="001A536F">
        <w:tab/>
        <w:t>IV.</w:t>
      </w:r>
      <w:r w:rsidRPr="001A536F">
        <w:tab/>
        <w:t>Faisabilité</w:t>
      </w:r>
    </w:p>
    <w:p w14:paraId="5330E76C" w14:textId="77777777" w:rsidR="001A536F" w:rsidRPr="001A536F" w:rsidRDefault="001A536F" w:rsidP="001A536F">
      <w:pPr>
        <w:pStyle w:val="SingleTxtG"/>
      </w:pPr>
      <w:r w:rsidRPr="001A536F">
        <w:t xml:space="preserve">10. </w:t>
      </w:r>
      <w:r w:rsidR="00175784">
        <w:tab/>
      </w:r>
      <w:r w:rsidRPr="001A536F">
        <w:t>Pas de contrainte supplémentaire pour les stations d’essais officielles ATP.</w:t>
      </w:r>
    </w:p>
    <w:p w14:paraId="162AF6C6" w14:textId="77777777" w:rsidR="001A536F" w:rsidRPr="001A536F" w:rsidRDefault="001A536F" w:rsidP="003166EE">
      <w:pPr>
        <w:pStyle w:val="HChG"/>
      </w:pPr>
      <w:r w:rsidRPr="001A536F">
        <w:tab/>
        <w:t>V.</w:t>
      </w:r>
      <w:r w:rsidRPr="001A536F">
        <w:tab/>
        <w:t>Applicabilité</w:t>
      </w:r>
    </w:p>
    <w:p w14:paraId="0949C9EC" w14:textId="77777777" w:rsidR="001A536F" w:rsidRPr="001A536F" w:rsidRDefault="001A536F" w:rsidP="001A536F">
      <w:pPr>
        <w:pStyle w:val="SingleTxtG"/>
      </w:pPr>
      <w:r w:rsidRPr="001A536F">
        <w:t>11.</w:t>
      </w:r>
      <w:r w:rsidRPr="001A536F">
        <w:tab/>
        <w:t>Aucun problème n’est à prévoir en ce qui concerne l’application des modifications proposées aux modèles de procès-verbaux d’essais n</w:t>
      </w:r>
      <w:r w:rsidRPr="001A536F">
        <w:rPr>
          <w:vertAlign w:val="superscript"/>
        </w:rPr>
        <w:t>os</w:t>
      </w:r>
      <w:r w:rsidRPr="001A536F">
        <w:t xml:space="preserve"> 1A et 1B de l’ATP.</w:t>
      </w:r>
    </w:p>
    <w:p w14:paraId="6ED41ADA" w14:textId="77777777" w:rsidR="001A536F" w:rsidRPr="001A536F" w:rsidRDefault="003166EE" w:rsidP="003166EE">
      <w:pPr>
        <w:pStyle w:val="HChG"/>
      </w:pPr>
      <w:bookmarkStart w:id="2" w:name="_GoBack"/>
      <w:bookmarkEnd w:id="2"/>
      <w:r>
        <w:lastRenderedPageBreak/>
        <w:tab/>
      </w:r>
      <w:r w:rsidR="001A536F" w:rsidRPr="001A536F">
        <w:t xml:space="preserve">VI. </w:t>
      </w:r>
      <w:r>
        <w:tab/>
      </w:r>
      <w:r w:rsidR="001A536F" w:rsidRPr="001A536F">
        <w:t>Application de la modification proposée à l’ATP</w:t>
      </w:r>
    </w:p>
    <w:p w14:paraId="5A171F45" w14:textId="77777777" w:rsidR="001A536F" w:rsidRPr="001A536F" w:rsidRDefault="00175784" w:rsidP="001A536F">
      <w:pPr>
        <w:pStyle w:val="SingleTxtG"/>
      </w:pPr>
      <w:r>
        <w:t>12.</w:t>
      </w:r>
      <w:r>
        <w:tab/>
      </w:r>
      <w:r w:rsidR="001A536F" w:rsidRPr="001A536F">
        <w:t>Partie de l’ATP concernée : Annexe 1, appendice N°2, section 8 - Procès-verbaux d’essais, Modèles N°1A et N°1B</w:t>
      </w:r>
      <w:r w:rsidR="00D10FEF">
        <w:t>.</w:t>
      </w:r>
    </w:p>
    <w:p w14:paraId="4417807E" w14:textId="77777777" w:rsidR="001A536F" w:rsidRPr="001A536F" w:rsidRDefault="001A536F" w:rsidP="001A536F">
      <w:pPr>
        <w:pStyle w:val="SingleTxtG"/>
        <w:rPr>
          <w:b/>
        </w:rPr>
      </w:pPr>
      <w:r w:rsidRPr="001A536F">
        <w:rPr>
          <w:b/>
        </w:rPr>
        <w:t>Modèle N°1A, note de bas de page N°</w:t>
      </w:r>
      <w:proofErr w:type="gramStart"/>
      <w:r w:rsidRPr="001A536F">
        <w:rPr>
          <w:b/>
        </w:rPr>
        <w:t>4:</w:t>
      </w:r>
      <w:proofErr w:type="gramEnd"/>
    </w:p>
    <w:p w14:paraId="54A9473A" w14:textId="77777777" w:rsidR="001A536F" w:rsidRPr="00D10FEF" w:rsidRDefault="00D10FEF" w:rsidP="001A536F">
      <w:pPr>
        <w:pStyle w:val="SingleTxtG"/>
        <w:rPr>
          <w:bCs/>
        </w:rPr>
      </w:pPr>
      <w:r w:rsidRPr="00D10FEF">
        <w:rPr>
          <w:bCs/>
        </w:rPr>
        <w:t>13.</w:t>
      </w:r>
      <w:r w:rsidRPr="00D10FEF">
        <w:rPr>
          <w:bCs/>
        </w:rPr>
        <w:tab/>
      </w:r>
      <w:r w:rsidR="001A536F" w:rsidRPr="00D10FEF">
        <w:rPr>
          <w:bCs/>
        </w:rPr>
        <w:t>Il est proposé de modifier le paragraphe suivant de l’ATP :</w:t>
      </w:r>
    </w:p>
    <w:p w14:paraId="7D1E53A8" w14:textId="77777777" w:rsidR="001A536F" w:rsidRPr="001A536F" w:rsidRDefault="001A536F" w:rsidP="00D10FEF">
      <w:pPr>
        <w:pStyle w:val="SingleTxtG"/>
        <w:ind w:left="1701"/>
        <w:rPr>
          <w:b/>
        </w:rPr>
      </w:pPr>
      <w:r w:rsidRPr="001A536F">
        <w:rPr>
          <w:b/>
        </w:rPr>
        <w:t>Paragraphe d’origine de l’ATP :</w:t>
      </w:r>
    </w:p>
    <w:p w14:paraId="0F7C6133" w14:textId="77777777" w:rsidR="001A536F" w:rsidRPr="001A536F" w:rsidRDefault="001A536F" w:rsidP="00D10FEF">
      <w:pPr>
        <w:pStyle w:val="SingleTxtG"/>
        <w:ind w:left="1701"/>
        <w:rPr>
          <w:i/>
        </w:rPr>
      </w:pPr>
      <w:r w:rsidRPr="001A536F">
        <w:rPr>
          <w:i/>
        </w:rPr>
        <w:t>Nature et épaisseur des matériaux constituant les parois de la caisse, de l'intérieur vers l'extérieur, mode de construction, etc.</w:t>
      </w:r>
    </w:p>
    <w:p w14:paraId="31A99D19" w14:textId="77777777" w:rsidR="001A536F" w:rsidRPr="001A536F" w:rsidRDefault="001A536F" w:rsidP="00D10FEF">
      <w:pPr>
        <w:pStyle w:val="SingleTxtG"/>
        <w:ind w:left="1701"/>
        <w:rPr>
          <w:b/>
        </w:rPr>
      </w:pPr>
      <w:r w:rsidRPr="001A536F">
        <w:rPr>
          <w:b/>
        </w:rPr>
        <w:t>Modification proposée :</w:t>
      </w:r>
    </w:p>
    <w:p w14:paraId="52FC8B11" w14:textId="77777777" w:rsidR="001A536F" w:rsidRPr="001A536F" w:rsidRDefault="001A536F" w:rsidP="00D10FEF">
      <w:pPr>
        <w:pStyle w:val="SingleTxtG"/>
        <w:ind w:left="1701"/>
        <w:rPr>
          <w:i/>
        </w:rPr>
      </w:pPr>
      <w:r w:rsidRPr="001A536F">
        <w:rPr>
          <w:i/>
        </w:rPr>
        <w:t>Nature et épaisseur des matériaux constituant les parois de la caisse, de l'intérieur vers l'extérieur, mode de construction, etc. et indication obligatoire par le demandeur de l’essai de la densité et de la conductivité de la mousse utilisée.</w:t>
      </w:r>
    </w:p>
    <w:p w14:paraId="3D6FF3DA" w14:textId="77777777" w:rsidR="001A536F" w:rsidRPr="001A536F" w:rsidRDefault="001A536F" w:rsidP="001A536F">
      <w:pPr>
        <w:pStyle w:val="SingleTxtG"/>
        <w:rPr>
          <w:b/>
        </w:rPr>
      </w:pPr>
      <w:r w:rsidRPr="001A536F">
        <w:rPr>
          <w:b/>
        </w:rPr>
        <w:t>Modèle N°1B, note de bas de page N°</w:t>
      </w:r>
      <w:proofErr w:type="gramStart"/>
      <w:r w:rsidRPr="001A536F">
        <w:rPr>
          <w:b/>
        </w:rPr>
        <w:t>4:</w:t>
      </w:r>
      <w:proofErr w:type="gramEnd"/>
    </w:p>
    <w:p w14:paraId="0AEAC286" w14:textId="77777777" w:rsidR="001A536F" w:rsidRPr="00D10FEF" w:rsidRDefault="00D10FEF" w:rsidP="001A536F">
      <w:pPr>
        <w:pStyle w:val="SingleTxtG"/>
        <w:rPr>
          <w:bCs/>
        </w:rPr>
      </w:pPr>
      <w:r w:rsidRPr="00D10FEF">
        <w:rPr>
          <w:bCs/>
        </w:rPr>
        <w:t>14.</w:t>
      </w:r>
      <w:r w:rsidRPr="00D10FEF">
        <w:rPr>
          <w:bCs/>
        </w:rPr>
        <w:tab/>
      </w:r>
      <w:r w:rsidR="001A536F" w:rsidRPr="00D10FEF">
        <w:rPr>
          <w:bCs/>
        </w:rPr>
        <w:t>Il est proposé de modifier le paragraphe suivant de l’ATP :</w:t>
      </w:r>
    </w:p>
    <w:p w14:paraId="6B35375D" w14:textId="77777777" w:rsidR="001A536F" w:rsidRPr="001A536F" w:rsidRDefault="001A536F" w:rsidP="00D10FEF">
      <w:pPr>
        <w:pStyle w:val="SingleTxtG"/>
        <w:ind w:left="1701"/>
        <w:rPr>
          <w:b/>
        </w:rPr>
      </w:pPr>
      <w:r w:rsidRPr="001A536F">
        <w:rPr>
          <w:b/>
        </w:rPr>
        <w:t>Paragraphe d’origine de l’ATP :</w:t>
      </w:r>
    </w:p>
    <w:p w14:paraId="7399DCD3" w14:textId="77777777" w:rsidR="001A536F" w:rsidRPr="001A536F" w:rsidRDefault="001A536F" w:rsidP="00D10FEF">
      <w:pPr>
        <w:pStyle w:val="SingleTxtG"/>
        <w:ind w:left="1701"/>
        <w:rPr>
          <w:i/>
        </w:rPr>
      </w:pPr>
      <w:r w:rsidRPr="001A536F">
        <w:rPr>
          <w:i/>
        </w:rPr>
        <w:t>Nature et épaisseur des matériaux constituant les parois de la caisse, de l'intérieur vers l'extérieur, mode de construction, etc.</w:t>
      </w:r>
    </w:p>
    <w:p w14:paraId="70B9762C" w14:textId="77777777" w:rsidR="001A536F" w:rsidRPr="001A536F" w:rsidRDefault="001A536F" w:rsidP="00D10FEF">
      <w:pPr>
        <w:pStyle w:val="SingleTxtG"/>
        <w:ind w:left="1701"/>
        <w:rPr>
          <w:b/>
        </w:rPr>
      </w:pPr>
      <w:r w:rsidRPr="001A536F">
        <w:rPr>
          <w:b/>
        </w:rPr>
        <w:t>Modification proposée :</w:t>
      </w:r>
    </w:p>
    <w:p w14:paraId="15F76901" w14:textId="77777777" w:rsidR="001A536F" w:rsidRPr="001A536F" w:rsidRDefault="001A536F" w:rsidP="00D10FEF">
      <w:pPr>
        <w:pStyle w:val="SingleTxtG"/>
        <w:ind w:left="1701"/>
        <w:rPr>
          <w:i/>
        </w:rPr>
      </w:pPr>
      <w:r w:rsidRPr="001A536F">
        <w:rPr>
          <w:i/>
        </w:rPr>
        <w:t xml:space="preserve">Nature et épaisseur des matériaux constituant les parois de la caisse, de l'intérieur </w:t>
      </w:r>
      <w:proofErr w:type="gramStart"/>
      <w:r w:rsidRPr="001A536F">
        <w:rPr>
          <w:i/>
        </w:rPr>
        <w:t>vers</w:t>
      </w:r>
      <w:proofErr w:type="gramEnd"/>
      <w:r w:rsidRPr="001A536F">
        <w:rPr>
          <w:i/>
        </w:rPr>
        <w:t xml:space="preserve"> l'extérieur, mode de construction, etc. et indication obligatoire par le demandeur de l’essai de la densité et la conductivité de la mousse utilisée.</w:t>
      </w:r>
    </w:p>
    <w:p w14:paraId="4F83F7F2" w14:textId="77777777" w:rsidR="005D0761" w:rsidRPr="005D0761" w:rsidRDefault="005D0761" w:rsidP="005D0761">
      <w:pPr>
        <w:spacing w:before="240"/>
        <w:jc w:val="center"/>
        <w:rPr>
          <w:u w:val="single"/>
        </w:rPr>
      </w:pPr>
      <w:r>
        <w:rPr>
          <w:u w:val="single"/>
        </w:rPr>
        <w:tab/>
      </w:r>
      <w:r>
        <w:rPr>
          <w:u w:val="single"/>
        </w:rPr>
        <w:tab/>
      </w:r>
      <w:r>
        <w:rPr>
          <w:u w:val="single"/>
        </w:rPr>
        <w:tab/>
      </w:r>
    </w:p>
    <w:sectPr w:rsidR="005D0761" w:rsidRPr="005D0761" w:rsidSect="00865CE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A8B0" w14:textId="77777777" w:rsidR="00865CE0" w:rsidRDefault="00865CE0" w:rsidP="00F95C08">
      <w:pPr>
        <w:spacing w:line="240" w:lineRule="auto"/>
      </w:pPr>
    </w:p>
  </w:endnote>
  <w:endnote w:type="continuationSeparator" w:id="0">
    <w:p w14:paraId="1E02A8DC" w14:textId="77777777" w:rsidR="00865CE0" w:rsidRPr="00AC3823" w:rsidRDefault="00865CE0" w:rsidP="00AC3823">
      <w:pPr>
        <w:pStyle w:val="Footer"/>
      </w:pPr>
    </w:p>
  </w:endnote>
  <w:endnote w:type="continuationNotice" w:id="1">
    <w:p w14:paraId="23C81879" w14:textId="77777777" w:rsidR="00865CE0" w:rsidRDefault="00865CE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7D93E" w14:textId="77777777" w:rsidR="00865CE0" w:rsidRPr="00865CE0" w:rsidRDefault="00865CE0" w:rsidP="00865CE0">
    <w:pPr>
      <w:pStyle w:val="Footer"/>
      <w:tabs>
        <w:tab w:val="right" w:pos="9638"/>
      </w:tabs>
      <w:rPr>
        <w:sz w:val="18"/>
      </w:rPr>
    </w:pP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2</w:t>
    </w:r>
    <w:r w:rsidRPr="00865C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4922" w14:textId="77777777" w:rsidR="00865CE0" w:rsidRPr="00865CE0" w:rsidRDefault="00865CE0" w:rsidP="00865CE0">
    <w:pPr>
      <w:pStyle w:val="Footer"/>
      <w:tabs>
        <w:tab w:val="right" w:pos="9638"/>
      </w:tabs>
      <w:rPr>
        <w:b/>
        <w:sz w:val="18"/>
      </w:rPr>
    </w:pPr>
    <w:r>
      <w:tab/>
    </w:r>
    <w:r w:rsidRPr="00865CE0">
      <w:rPr>
        <w:b/>
        <w:sz w:val="18"/>
      </w:rPr>
      <w:fldChar w:fldCharType="begin"/>
    </w:r>
    <w:r w:rsidRPr="00865CE0">
      <w:rPr>
        <w:b/>
        <w:sz w:val="18"/>
      </w:rPr>
      <w:instrText xml:space="preserve"> PAGE  \* MERGEFORMAT </w:instrText>
    </w:r>
    <w:r w:rsidRPr="00865CE0">
      <w:rPr>
        <w:b/>
        <w:sz w:val="18"/>
      </w:rPr>
      <w:fldChar w:fldCharType="separate"/>
    </w:r>
    <w:r w:rsidRPr="00865CE0">
      <w:rPr>
        <w:b/>
        <w:noProof/>
        <w:sz w:val="18"/>
      </w:rPr>
      <w:t>3</w:t>
    </w:r>
    <w:r w:rsidRPr="00865CE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074D" w14:textId="77777777" w:rsidR="000D3EE9" w:rsidRPr="00855B15" w:rsidRDefault="00855B15" w:rsidP="00855B15">
    <w:pPr>
      <w:pStyle w:val="Footer"/>
      <w:spacing w:before="120"/>
      <w:rPr>
        <w:sz w:val="20"/>
      </w:rPr>
    </w:pPr>
    <w:r w:rsidRPr="00855B15">
      <w:rPr>
        <w:rFonts w:ascii="C39T30Lfz" w:hAnsi="C39T30Lfz"/>
        <w:noProof/>
        <w:sz w:val="56"/>
        <w:lang w:eastAsia="fr-CH"/>
      </w:rPr>
      <w:drawing>
        <wp:anchor distT="0" distB="0" distL="114300" distR="114300" simplePos="0" relativeHeight="251657216" behindDoc="0" locked="0" layoutInCell="1" allowOverlap="0" wp14:anchorId="4A4E423D" wp14:editId="1192FEA5">
          <wp:simplePos x="0" y="0"/>
          <wp:positionH relativeFrom="margin">
            <wp:posOffset>4342952</wp:posOffset>
          </wp:positionH>
          <wp:positionV relativeFrom="margin">
            <wp:posOffset>9164058</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GE.20-</w:t>
    </w:r>
    <w:proofErr w:type="gramStart"/>
    <w:r>
      <w:rPr>
        <w:sz w:val="20"/>
      </w:rPr>
      <w:t>01078  (</w:t>
    </w:r>
    <w:proofErr w:type="gramEnd"/>
    <w:r>
      <w:rPr>
        <w:sz w:val="20"/>
      </w:rPr>
      <w:t>F)</w:t>
    </w:r>
    <w:r>
      <w:rPr>
        <w:sz w:val="20"/>
      </w:rPr>
      <w:br/>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sidRPr="00855B15">
      <w:rPr>
        <w:rFonts w:ascii="C39T30Lfz" w:hAnsi="C39T30Lfz"/>
        <w:sz w:val="56"/>
      </w:rPr>
      <w:t></w:t>
    </w:r>
    <w:r>
      <w:rPr>
        <w:noProof/>
        <w:sz w:val="20"/>
      </w:rPr>
      <w:drawing>
        <wp:anchor distT="0" distB="0" distL="114300" distR="114300" simplePos="0" relativeHeight="251658240" behindDoc="0" locked="0" layoutInCell="1" allowOverlap="1" wp14:anchorId="0F888518" wp14:editId="0366940F">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CE/TRANS/WP.11/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BBBB"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Separator" w:id="0">
    <w:p w14:paraId="755159CE" w14:textId="77777777" w:rsidR="00865CE0" w:rsidRPr="00AC3823" w:rsidRDefault="00865CE0" w:rsidP="00AC3823">
      <w:pPr>
        <w:pStyle w:val="Footer"/>
        <w:tabs>
          <w:tab w:val="right" w:pos="2155"/>
        </w:tabs>
        <w:spacing w:after="80" w:line="240" w:lineRule="atLeast"/>
        <w:ind w:left="680"/>
        <w:rPr>
          <w:u w:val="single"/>
        </w:rPr>
      </w:pPr>
      <w:r>
        <w:rPr>
          <w:u w:val="single"/>
        </w:rPr>
        <w:tab/>
      </w:r>
    </w:p>
  </w:footnote>
  <w:footnote w:type="continuationNotice" w:id="1">
    <w:p w14:paraId="1080EBD0" w14:textId="77777777" w:rsidR="00865CE0" w:rsidRPr="00AC3823" w:rsidRDefault="00865CE0">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5D46" w14:textId="2612AD86" w:rsidR="00865CE0" w:rsidRPr="00865CE0" w:rsidRDefault="001B75C3">
    <w:pPr>
      <w:pStyle w:val="Header"/>
    </w:pPr>
    <w:fldSimple w:instr=" TITLE  \* MERGEFORMAT ">
      <w:r>
        <w:t>ECE/TRANS/WP.11/2020/4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5198" w14:textId="18D141E2" w:rsidR="00865CE0" w:rsidRPr="00865CE0" w:rsidRDefault="001B75C3" w:rsidP="00865CE0">
    <w:pPr>
      <w:pStyle w:val="Header"/>
      <w:jc w:val="right"/>
    </w:pPr>
    <w:fldSimple w:instr=" TITLE  \* MERGEFORMAT ">
      <w:r>
        <w:t>ECE/TRANS/WP.11/2020/4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0EAE5A0A"/>
    <w:multiLevelType w:val="multilevel"/>
    <w:tmpl w:val="E702C94C"/>
    <w:styleLink w:val="WW8Num17"/>
    <w:lvl w:ilvl="0">
      <w:numFmt w:val="bullet"/>
      <w:lvlText w:val="-"/>
      <w:lvlJc w:val="left"/>
      <w:pPr>
        <w:ind w:left="720" w:hanging="360"/>
      </w:pPr>
      <w:rPr>
        <w:rFonts w:ascii="Calibri" w:eastAsia="Calibri" w:hAnsi="Calibri" w:cs="Times New Roman"/>
        <w:color w:val="000000"/>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color w:val="000000"/>
        <w:sz w:val="20"/>
        <w:szCs w:val="2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color w:val="000000"/>
        <w:sz w:val="20"/>
        <w:szCs w:val="2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color w:val="000000"/>
        <w:sz w:val="20"/>
        <w:szCs w:val="20"/>
      </w:r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F170731"/>
    <w:multiLevelType w:val="multilevel"/>
    <w:tmpl w:val="3216D116"/>
    <w:styleLink w:val="WWNum17"/>
    <w:lvl w:ilvl="0">
      <w:start w:val="1"/>
      <w:numFmt w:val="decimal"/>
      <w:lvlText w:val="%1."/>
      <w:lvlJc w:val="left"/>
      <w:pPr>
        <w:ind w:left="1689" w:hanging="555"/>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4"/>
    <w:lvlOverride w:ilvl="0">
      <w:startOverride w:val="1"/>
    </w:lvlOverride>
  </w:num>
  <w:num w:numId="16">
    <w:abstractNumId w:val="11"/>
  </w:num>
  <w:num w:numId="17">
    <w:abstractNumId w:val="11"/>
  </w:num>
  <w:num w:numId="18">
    <w:abstractNumId w:val="13"/>
    <w:lvlOverride w:ilvl="0">
      <w:startOverride w:val="1"/>
    </w:lvlOverride>
  </w:num>
  <w:num w:numId="19">
    <w:abstractNumId w:val="10"/>
    <w:lvlOverride w:ilvl="0">
      <w:startOverride w:val="1"/>
    </w:lvlOverride>
  </w:num>
  <w:num w:numId="20">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865CE0"/>
    <w:rsid w:val="00003FC2"/>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5784"/>
    <w:rsid w:val="00176178"/>
    <w:rsid w:val="00177140"/>
    <w:rsid w:val="001A536F"/>
    <w:rsid w:val="001B1643"/>
    <w:rsid w:val="001B75C3"/>
    <w:rsid w:val="001D400F"/>
    <w:rsid w:val="001F525A"/>
    <w:rsid w:val="00223272"/>
    <w:rsid w:val="00240333"/>
    <w:rsid w:val="0024779E"/>
    <w:rsid w:val="002832AC"/>
    <w:rsid w:val="002D7C93"/>
    <w:rsid w:val="003166EE"/>
    <w:rsid w:val="0037241C"/>
    <w:rsid w:val="003819FF"/>
    <w:rsid w:val="00441C3B"/>
    <w:rsid w:val="00446B0A"/>
    <w:rsid w:val="00446FE5"/>
    <w:rsid w:val="00452396"/>
    <w:rsid w:val="00471288"/>
    <w:rsid w:val="0049687C"/>
    <w:rsid w:val="004B5539"/>
    <w:rsid w:val="004E468C"/>
    <w:rsid w:val="004F6017"/>
    <w:rsid w:val="00510539"/>
    <w:rsid w:val="005234EB"/>
    <w:rsid w:val="005316B0"/>
    <w:rsid w:val="005505B7"/>
    <w:rsid w:val="00573BE5"/>
    <w:rsid w:val="00586ED3"/>
    <w:rsid w:val="00596AA9"/>
    <w:rsid w:val="005B4D0F"/>
    <w:rsid w:val="005C662E"/>
    <w:rsid w:val="005D0761"/>
    <w:rsid w:val="0062050D"/>
    <w:rsid w:val="00627340"/>
    <w:rsid w:val="00703D0F"/>
    <w:rsid w:val="00706363"/>
    <w:rsid w:val="007158BB"/>
    <w:rsid w:val="0071601D"/>
    <w:rsid w:val="0075410D"/>
    <w:rsid w:val="007A62E6"/>
    <w:rsid w:val="0080684C"/>
    <w:rsid w:val="008204DA"/>
    <w:rsid w:val="008535AD"/>
    <w:rsid w:val="00855B15"/>
    <w:rsid w:val="00865CE0"/>
    <w:rsid w:val="00871C75"/>
    <w:rsid w:val="008767E8"/>
    <w:rsid w:val="008776DC"/>
    <w:rsid w:val="00883605"/>
    <w:rsid w:val="008E6043"/>
    <w:rsid w:val="00961E7B"/>
    <w:rsid w:val="009705C8"/>
    <w:rsid w:val="00994CB4"/>
    <w:rsid w:val="009C1CF4"/>
    <w:rsid w:val="009C69DD"/>
    <w:rsid w:val="009F02C9"/>
    <w:rsid w:val="00A17CFC"/>
    <w:rsid w:val="00A30353"/>
    <w:rsid w:val="00A54324"/>
    <w:rsid w:val="00A62D91"/>
    <w:rsid w:val="00A90D54"/>
    <w:rsid w:val="00AA113A"/>
    <w:rsid w:val="00AC3823"/>
    <w:rsid w:val="00AE088A"/>
    <w:rsid w:val="00AE323C"/>
    <w:rsid w:val="00AF774C"/>
    <w:rsid w:val="00B00181"/>
    <w:rsid w:val="00B00B0D"/>
    <w:rsid w:val="00B40927"/>
    <w:rsid w:val="00B50E25"/>
    <w:rsid w:val="00B540D8"/>
    <w:rsid w:val="00B64918"/>
    <w:rsid w:val="00B765F7"/>
    <w:rsid w:val="00BA0A56"/>
    <w:rsid w:val="00BA0CA9"/>
    <w:rsid w:val="00BD0FBE"/>
    <w:rsid w:val="00BF316F"/>
    <w:rsid w:val="00C02897"/>
    <w:rsid w:val="00C1626B"/>
    <w:rsid w:val="00C66A47"/>
    <w:rsid w:val="00C7616F"/>
    <w:rsid w:val="00CB16B5"/>
    <w:rsid w:val="00CD12F7"/>
    <w:rsid w:val="00CE0608"/>
    <w:rsid w:val="00CE601C"/>
    <w:rsid w:val="00D10FEF"/>
    <w:rsid w:val="00D3439C"/>
    <w:rsid w:val="00D44CF3"/>
    <w:rsid w:val="00D46C8C"/>
    <w:rsid w:val="00D476F2"/>
    <w:rsid w:val="00DB1831"/>
    <w:rsid w:val="00DB455C"/>
    <w:rsid w:val="00DD3BFD"/>
    <w:rsid w:val="00DE239D"/>
    <w:rsid w:val="00DF431C"/>
    <w:rsid w:val="00DF6678"/>
    <w:rsid w:val="00E428C8"/>
    <w:rsid w:val="00E4350E"/>
    <w:rsid w:val="00EB1350"/>
    <w:rsid w:val="00EF2E22"/>
    <w:rsid w:val="00F0282F"/>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336C78"/>
  <w15:docId w15:val="{E1B912E9-87E2-4E78-8176-6C93BDB4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 w:type="numbering" w:customStyle="1" w:styleId="WWNum17">
    <w:name w:val="WWNum17"/>
    <w:basedOn w:val="NoList"/>
    <w:rsid w:val="005D0761"/>
    <w:pPr>
      <w:numPr>
        <w:numId w:val="14"/>
      </w:numPr>
    </w:pPr>
  </w:style>
  <w:style w:type="numbering" w:customStyle="1" w:styleId="WW8Num17">
    <w:name w:val="WW8Num17"/>
    <w:basedOn w:val="NoList"/>
    <w:rsid w:val="005D076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ECE/TRANS/WP.11/2020/4</vt:lpstr>
      <vt:lpstr>ECE/TRANS/WP.11/2020/4</vt:lpstr>
    </vt:vector>
  </TitlesOfParts>
  <Company>DCM</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dc:title>
  <dc:subject>FINAL</dc:subject>
  <dc:creator>Lucille CAILLOT</dc:creator>
  <cp:keywords/>
  <dc:description/>
  <cp:lastModifiedBy>Lucille Caillot</cp:lastModifiedBy>
  <cp:revision>2</cp:revision>
  <cp:lastPrinted>2020-01-24T14:51:00Z</cp:lastPrinted>
  <dcterms:created xsi:type="dcterms:W3CDTF">2020-02-07T11:12:00Z</dcterms:created>
  <dcterms:modified xsi:type="dcterms:W3CDTF">2020-02-07T11:12:00Z</dcterms:modified>
</cp:coreProperties>
</file>