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BAE4D7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6D3A40" w14:textId="77777777" w:rsidR="002D5AAC" w:rsidRDefault="002D5AAC" w:rsidP="00052D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606A0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D1C639" w14:textId="77777777" w:rsidR="002D5AAC" w:rsidRDefault="00052D61" w:rsidP="00052D61">
            <w:pPr>
              <w:jc w:val="right"/>
            </w:pPr>
            <w:r w:rsidRPr="00052D61">
              <w:rPr>
                <w:sz w:val="40"/>
              </w:rPr>
              <w:t>ECE</w:t>
            </w:r>
            <w:r>
              <w:t>/TRANS/WP.11/2020/2</w:t>
            </w:r>
          </w:p>
        </w:tc>
      </w:tr>
      <w:tr w:rsidR="002D5AAC" w:rsidRPr="001C666E" w14:paraId="1D58BDE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DE1F5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8F5EF4" wp14:editId="043A95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64986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36AA4A" w14:textId="77777777" w:rsidR="002D5AAC" w:rsidRDefault="00052D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2FA5B0" w14:textId="77777777" w:rsidR="00052D61" w:rsidRDefault="00052D61" w:rsidP="000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Jan</w:t>
            </w:r>
            <w:r w:rsidR="00447F5D">
              <w:rPr>
                <w:lang w:val="en-US"/>
              </w:rPr>
              <w:t>uary</w:t>
            </w:r>
            <w:r>
              <w:rPr>
                <w:lang w:val="en-US"/>
              </w:rPr>
              <w:t xml:space="preserve"> 2020</w:t>
            </w:r>
          </w:p>
          <w:p w14:paraId="54F40B61" w14:textId="77777777" w:rsidR="00052D61" w:rsidRDefault="00052D61" w:rsidP="000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657C27" w14:textId="77777777" w:rsidR="00052D61" w:rsidRPr="008D53B6" w:rsidRDefault="00052D61" w:rsidP="000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07B4486" w14:textId="77777777" w:rsidR="00052D6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00CC8E" w14:textId="77777777" w:rsidR="00052D61" w:rsidRPr="00052D61" w:rsidRDefault="00052D61" w:rsidP="00052D61">
      <w:pPr>
        <w:spacing w:before="120"/>
        <w:rPr>
          <w:sz w:val="28"/>
          <w:szCs w:val="28"/>
        </w:rPr>
      </w:pPr>
      <w:r w:rsidRPr="00052D61">
        <w:rPr>
          <w:sz w:val="28"/>
          <w:szCs w:val="28"/>
        </w:rPr>
        <w:t>Комитет по внутреннему транспорту</w:t>
      </w:r>
    </w:p>
    <w:p w14:paraId="6DB4316F" w14:textId="77777777" w:rsidR="00052D61" w:rsidRPr="00052D61" w:rsidRDefault="00052D61" w:rsidP="00052D61">
      <w:pPr>
        <w:spacing w:before="120"/>
        <w:rPr>
          <w:b/>
          <w:sz w:val="24"/>
          <w:szCs w:val="24"/>
        </w:rPr>
      </w:pPr>
      <w:r w:rsidRPr="00052D61">
        <w:rPr>
          <w:b/>
          <w:bCs/>
          <w:sz w:val="24"/>
          <w:szCs w:val="24"/>
        </w:rPr>
        <w:t>Рабочая группа по перевозкам скоропортящихся</w:t>
      </w:r>
      <w:r>
        <w:rPr>
          <w:b/>
          <w:bCs/>
          <w:sz w:val="24"/>
          <w:szCs w:val="24"/>
        </w:rPr>
        <w:br/>
      </w:r>
      <w:r w:rsidRPr="00052D61">
        <w:rPr>
          <w:b/>
          <w:bCs/>
          <w:sz w:val="24"/>
          <w:szCs w:val="24"/>
        </w:rPr>
        <w:t>пищевых продуктов</w:t>
      </w:r>
    </w:p>
    <w:p w14:paraId="34D964F6" w14:textId="77777777" w:rsidR="00052D61" w:rsidRPr="00052D61" w:rsidRDefault="00052D61" w:rsidP="00052D61">
      <w:pPr>
        <w:spacing w:before="120"/>
        <w:rPr>
          <w:b/>
        </w:rPr>
      </w:pPr>
      <w:r w:rsidRPr="00052D61">
        <w:rPr>
          <w:b/>
          <w:bCs/>
        </w:rPr>
        <w:t>Семьдесят шестая сессия</w:t>
      </w:r>
    </w:p>
    <w:p w14:paraId="1303121A" w14:textId="77777777" w:rsidR="00052D61" w:rsidRPr="00052D61" w:rsidRDefault="00052D61" w:rsidP="00052D61">
      <w:r w:rsidRPr="00052D61">
        <w:t>Женева, 7</w:t>
      </w:r>
      <w:r w:rsidRPr="001C666E">
        <w:t>–</w:t>
      </w:r>
      <w:r w:rsidRPr="00052D61">
        <w:t>9 апреля 2020 года</w:t>
      </w:r>
    </w:p>
    <w:p w14:paraId="77DA3606" w14:textId="77777777" w:rsidR="00052D61" w:rsidRPr="00052D61" w:rsidRDefault="00052D61" w:rsidP="00052D61">
      <w:r w:rsidRPr="00052D61">
        <w:t>Пункт 6 b) предварительной повестки дня</w:t>
      </w:r>
    </w:p>
    <w:p w14:paraId="0957886F" w14:textId="77777777" w:rsidR="00052D61" w:rsidRPr="00052D61" w:rsidRDefault="00052D61" w:rsidP="00052D61">
      <w:pPr>
        <w:rPr>
          <w:b/>
        </w:rPr>
      </w:pPr>
      <w:r w:rsidRPr="00052D61">
        <w:rPr>
          <w:b/>
          <w:bCs/>
        </w:rPr>
        <w:t>Предложение по поправкам к СПС:</w:t>
      </w:r>
      <w:r>
        <w:rPr>
          <w:b/>
        </w:rPr>
        <w:br/>
      </w:r>
      <w:r w:rsidRPr="00052D61">
        <w:rPr>
          <w:b/>
          <w:bCs/>
        </w:rPr>
        <w:t>новые предложения</w:t>
      </w:r>
    </w:p>
    <w:p w14:paraId="7E19AE5C" w14:textId="77777777" w:rsidR="00052D61" w:rsidRPr="00052D61" w:rsidRDefault="00052D61" w:rsidP="00052D61">
      <w:pPr>
        <w:pStyle w:val="HChG"/>
      </w:pPr>
      <w:r w:rsidRPr="00052D61">
        <w:tab/>
      </w:r>
      <w:r w:rsidRPr="00052D61">
        <w:tab/>
      </w:r>
      <w:r w:rsidRPr="00052D61">
        <w:tab/>
        <w:t>Возможность добровольного распространения сферы действия двусторонних и многосторонних соглашений в</w:t>
      </w:r>
      <w:r>
        <w:rPr>
          <w:lang w:val="en-US"/>
        </w:rPr>
        <w:t> </w:t>
      </w:r>
      <w:r w:rsidRPr="00052D61">
        <w:t>рамках Соглашения СПС на продукты питания, которые могут стать непригодными для потребления человеком</w:t>
      </w:r>
    </w:p>
    <w:p w14:paraId="3A430DC9" w14:textId="77777777" w:rsidR="00052D61" w:rsidRDefault="00052D61" w:rsidP="00052D61">
      <w:pPr>
        <w:pStyle w:val="H1G"/>
      </w:pPr>
      <w:r w:rsidRPr="00052D61">
        <w:tab/>
      </w:r>
      <w:r w:rsidRPr="00052D61">
        <w:tab/>
        <w:t>Передано правительством Франции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52D61" w:rsidRPr="00052D61" w14:paraId="4D848ED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974B65B" w14:textId="77777777" w:rsidR="00052D61" w:rsidRPr="00052D61" w:rsidRDefault="00052D6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52D61">
              <w:rPr>
                <w:rFonts w:cs="Times New Roman"/>
              </w:rPr>
              <w:tab/>
            </w:r>
            <w:r w:rsidRPr="00052D6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52D61" w:rsidRPr="00052D61" w14:paraId="4E9F611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168700C" w14:textId="77777777" w:rsidR="00052D61" w:rsidRPr="00052D61" w:rsidRDefault="008C7EAB" w:rsidP="008C7EAB">
            <w:pPr>
              <w:pStyle w:val="SingleTxtG"/>
              <w:tabs>
                <w:tab w:val="left" w:pos="3677"/>
              </w:tabs>
              <w:ind w:left="3677" w:hanging="2543"/>
            </w:pPr>
            <w:r w:rsidRPr="00052D61">
              <w:rPr>
                <w:b/>
                <w:bCs/>
              </w:rPr>
              <w:t>Существо предложения:</w:t>
            </w:r>
            <w:r w:rsidRPr="00052D61">
              <w:tab/>
              <w:t>Соглашение СПС строго ограничивает пищевые продукты, к которым могут применяться определяемые им требования. Это предложение позволяет Сторонам расширить этот список в соответствии с двусторонними или многосторонними добровольными соглашениями на другие пищевые продукты, которые могут стать опасными.</w:t>
            </w:r>
          </w:p>
        </w:tc>
      </w:tr>
      <w:tr w:rsidR="008C7EAB" w:rsidRPr="00052D61" w14:paraId="7881DC0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35B8172" w14:textId="4775C20E" w:rsidR="008C7EAB" w:rsidRPr="001C666E" w:rsidRDefault="008C7EAB" w:rsidP="008C7EAB">
            <w:pPr>
              <w:pStyle w:val="SingleTxtG"/>
              <w:tabs>
                <w:tab w:val="left" w:pos="3677"/>
              </w:tabs>
              <w:ind w:left="3677" w:hanging="2543"/>
              <w:rPr>
                <w:b/>
                <w:bCs/>
                <w:lang w:val="en-US"/>
              </w:rPr>
            </w:pPr>
            <w:r w:rsidRPr="00052D61">
              <w:rPr>
                <w:b/>
                <w:bCs/>
              </w:rPr>
              <w:t>Предлагаемое решение:</w:t>
            </w:r>
            <w:r w:rsidRPr="00052D61">
              <w:tab/>
              <w:t>Внесение поправок в приложение III к Соглашению СПС</w:t>
            </w:r>
            <w:r w:rsidR="001C666E">
              <w:rPr>
                <w:lang w:val="en-US"/>
              </w:rPr>
              <w:t>.</w:t>
            </w:r>
          </w:p>
        </w:tc>
      </w:tr>
      <w:tr w:rsidR="008C7EAB" w:rsidRPr="00052D61" w14:paraId="55122FE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8E43000" w14:textId="77777777" w:rsidR="008C7EAB" w:rsidRPr="00052D61" w:rsidRDefault="008C7EAB" w:rsidP="008C7EAB">
            <w:pPr>
              <w:pStyle w:val="SingleTxtG"/>
              <w:tabs>
                <w:tab w:val="left" w:pos="3678"/>
              </w:tabs>
              <w:rPr>
                <w:b/>
                <w:bCs/>
              </w:rPr>
            </w:pPr>
            <w:r w:rsidRPr="00052D61">
              <w:rPr>
                <w:b/>
                <w:bCs/>
              </w:rPr>
              <w:t>Справочные документы:</w:t>
            </w:r>
            <w:r w:rsidRPr="00052D61">
              <w:tab/>
              <w:t>Отсутствуют.</w:t>
            </w:r>
          </w:p>
        </w:tc>
      </w:tr>
      <w:tr w:rsidR="00052D61" w:rsidRPr="00052D61" w14:paraId="60F2238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5C4FB86" w14:textId="77777777" w:rsidR="00052D61" w:rsidRPr="00052D61" w:rsidRDefault="00052D61" w:rsidP="00850215">
            <w:pPr>
              <w:rPr>
                <w:rFonts w:cs="Times New Roman"/>
              </w:rPr>
            </w:pPr>
          </w:p>
        </w:tc>
      </w:tr>
    </w:tbl>
    <w:p w14:paraId="44493EA4" w14:textId="77777777" w:rsidR="00052D61" w:rsidRPr="00052D61" w:rsidRDefault="00052D61" w:rsidP="008C7EAB">
      <w:pPr>
        <w:pStyle w:val="HChG"/>
        <w:rPr>
          <w:lang w:val="fr-CH"/>
        </w:rPr>
      </w:pPr>
      <w:r w:rsidRPr="00052D61">
        <w:tab/>
      </w:r>
      <w:r w:rsidRPr="00052D61">
        <w:tab/>
        <w:t>Введение</w:t>
      </w:r>
      <w:bookmarkStart w:id="1" w:name="OLE_LINK2"/>
      <w:bookmarkStart w:id="2" w:name="OLE_LINK1"/>
      <w:bookmarkEnd w:id="1"/>
      <w:bookmarkEnd w:id="2"/>
    </w:p>
    <w:p w14:paraId="48F5028D" w14:textId="77777777" w:rsidR="00052D61" w:rsidRPr="00052D61" w:rsidRDefault="00052D61" w:rsidP="00052D61">
      <w:pPr>
        <w:pStyle w:val="SingleTxtG"/>
      </w:pPr>
      <w:r w:rsidRPr="00052D61">
        <w:t>1.</w:t>
      </w:r>
      <w:r w:rsidRPr="00052D61">
        <w:tab/>
        <w:t>Статья 3 Соглашения определяет пищевые продукты, к которым применяются требования, изложенные в приложении к данному Соглашению: речь идет о всех замороженных или глубокозамороженных пищевых продуктах, а также о пищевых продуктах, перечисленных в приложении 3 к Соглашению.</w:t>
      </w:r>
    </w:p>
    <w:p w14:paraId="7A6FC76A" w14:textId="77777777" w:rsidR="00052D61" w:rsidRPr="00052D61" w:rsidRDefault="00052D61" w:rsidP="008C7EAB">
      <w:pPr>
        <w:pStyle w:val="SingleTxtG"/>
        <w:spacing w:line="234" w:lineRule="atLeast"/>
      </w:pPr>
      <w:r w:rsidRPr="00052D61">
        <w:lastRenderedPageBreak/>
        <w:t>2.</w:t>
      </w:r>
      <w:r w:rsidRPr="00052D61">
        <w:tab/>
        <w:t>Статья 7 Соглашения позволяет Сторонам в рамках двусторонних или многосторонних соглашений договариваться о том, что положения, применимые как к оборудованию, так и к температуре перевозки, могут быть более строгими, чем те, которые предусмотрены в данном Соглашении. Вместе с тем настоящая статья не позволяет Сторонам распространять действие положений Соглашения на другие продукты питания, кроме тех, которые определены в приложении 3.</w:t>
      </w:r>
    </w:p>
    <w:p w14:paraId="2D4238CD" w14:textId="77777777" w:rsidR="00052D61" w:rsidRPr="00052D61" w:rsidRDefault="00052D61" w:rsidP="008C7EAB">
      <w:pPr>
        <w:pStyle w:val="SingleTxtG"/>
        <w:spacing w:line="234" w:lineRule="atLeast"/>
      </w:pPr>
      <w:r w:rsidRPr="00052D61">
        <w:t>3.</w:t>
      </w:r>
      <w:r w:rsidRPr="00052D61">
        <w:tab/>
        <w:t>В рамках стратегии борьбы с пищевыми отходами Стороны, возможно, пожелают усилить правила, применимые к пищевым продуктам, не перечисленным в приложении 3, в целях повышения их сохранности в ходе международных перевозок.</w:t>
      </w:r>
    </w:p>
    <w:p w14:paraId="6089DDB9" w14:textId="77777777" w:rsidR="00052D61" w:rsidRPr="00052D61" w:rsidRDefault="00052D61" w:rsidP="008C7EAB">
      <w:pPr>
        <w:pStyle w:val="SingleTxtG"/>
        <w:spacing w:line="234" w:lineRule="atLeast"/>
      </w:pPr>
      <w:r w:rsidRPr="00052D61">
        <w:t>4.</w:t>
      </w:r>
      <w:r w:rsidRPr="00052D61">
        <w:tab/>
        <w:t xml:space="preserve">В этой поправке предлагается изменить формулировку приложения 3, с тем чтобы дать Сторонам возможность распространить на добровольной основе </w:t>
      </w:r>
      <w:r w:rsidR="008C7EAB" w:rsidRPr="008C7EAB">
        <w:t>–</w:t>
      </w:r>
      <w:r w:rsidRPr="00052D61">
        <w:t xml:space="preserve"> на основании соответствующих двусторонних или многосторонних соглашений </w:t>
      </w:r>
      <w:r w:rsidR="008C7EAB" w:rsidRPr="008C7EAB">
        <w:t>–</w:t>
      </w:r>
      <w:r w:rsidRPr="00052D61">
        <w:t xml:space="preserve"> действие положений этого Соглашения на другие пищевые продукты, которые могут стать опасными, если условия их перевозки контролируются недостаточно.</w:t>
      </w:r>
    </w:p>
    <w:p w14:paraId="240BE677" w14:textId="77777777" w:rsidR="00052D61" w:rsidRPr="00052D61" w:rsidRDefault="00052D61" w:rsidP="008C7EAB">
      <w:pPr>
        <w:pStyle w:val="HChG"/>
        <w:spacing w:before="340" w:line="280" w:lineRule="exact"/>
      </w:pPr>
      <w:r w:rsidRPr="00052D61">
        <w:tab/>
      </w:r>
      <w:r w:rsidRPr="00052D61">
        <w:tab/>
        <w:t>Предложение</w:t>
      </w:r>
    </w:p>
    <w:p w14:paraId="7795180D" w14:textId="77777777" w:rsidR="00052D61" w:rsidRPr="00052D61" w:rsidRDefault="00052D61" w:rsidP="008C7EAB">
      <w:pPr>
        <w:pStyle w:val="SingleTxtG"/>
        <w:spacing w:line="234" w:lineRule="atLeast"/>
      </w:pPr>
      <w:r w:rsidRPr="00052D61">
        <w:t>5.</w:t>
      </w:r>
      <w:r w:rsidRPr="00052D61">
        <w:tab/>
        <w:t>В приложении 3 между пунктом 4 и таблицей в конце этого приложения вставить следующий подпункт:</w:t>
      </w:r>
    </w:p>
    <w:p w14:paraId="2DC8AD19" w14:textId="77777777" w:rsidR="00052D61" w:rsidRPr="00052D61" w:rsidRDefault="00052D61" w:rsidP="008C7EAB">
      <w:pPr>
        <w:pStyle w:val="SingleTxtG"/>
        <w:spacing w:line="234" w:lineRule="atLeast"/>
      </w:pPr>
      <w:r w:rsidRPr="00052D61">
        <w:t>«5.</w:t>
      </w:r>
      <w:r w:rsidR="008C7EAB">
        <w:tab/>
      </w:r>
      <w:r w:rsidRPr="00052D61">
        <w:t>Пищевые продукты, в отношении которых Соглашение применимо в полной мере ко всем Сторонам:</w:t>
      </w:r>
    </w:p>
    <w:p w14:paraId="06A57406" w14:textId="77777777" w:rsidR="00052D61" w:rsidRPr="00052D61" w:rsidRDefault="00052D61" w:rsidP="008C7EAB">
      <w:pPr>
        <w:pStyle w:val="SingleTxtG"/>
        <w:spacing w:line="234" w:lineRule="atLeast"/>
      </w:pPr>
      <w:r w:rsidRPr="00052D61">
        <w:t>«Следующие пищевые продукты могут стать вредными для здоровья, если условия их транспортировки не будут контролироваться; по этой причине применение настоящего Соглашения к этим продуктам является обязательным:»</w:t>
      </w:r>
    </w:p>
    <w:p w14:paraId="1460B8CA" w14:textId="77777777" w:rsidR="00052D61" w:rsidRPr="00052D61" w:rsidRDefault="00052D61" w:rsidP="008C7EAB">
      <w:pPr>
        <w:pStyle w:val="SingleTxtG"/>
        <w:spacing w:line="234" w:lineRule="atLeast"/>
      </w:pPr>
      <w:r w:rsidRPr="00052D61">
        <w:t>6.</w:t>
      </w:r>
      <w:r w:rsidRPr="00052D61">
        <w:tab/>
        <w:t>После таблицы, содерж</w:t>
      </w:r>
      <w:r w:rsidR="000A274F">
        <w:t>ащ</w:t>
      </w:r>
      <w:r w:rsidRPr="00052D61">
        <w:t>ейся в конце этого приложения в его нынешней редакции, включить следующие пункты:</w:t>
      </w:r>
    </w:p>
    <w:p w14:paraId="5D9DD01C" w14:textId="77777777" w:rsidR="00052D61" w:rsidRPr="00052D61" w:rsidRDefault="00052D61" w:rsidP="008C7EAB">
      <w:pPr>
        <w:pStyle w:val="SingleTxtG"/>
        <w:spacing w:line="234" w:lineRule="atLeast"/>
      </w:pPr>
      <w:r w:rsidRPr="00052D61">
        <w:t>«6.</w:t>
      </w:r>
      <w:r w:rsidR="008C7EAB">
        <w:tab/>
      </w:r>
      <w:r w:rsidRPr="00052D61">
        <w:t>Продукты питания, в случае которых добровольные двусторонние или многосторонние соглашения могут расширять сферу действия положений настоящего Соглашения:</w:t>
      </w:r>
    </w:p>
    <w:p w14:paraId="0A459AE4" w14:textId="77777777" w:rsidR="00052D61" w:rsidRPr="00052D61" w:rsidRDefault="00052D61" w:rsidP="008C7EAB">
      <w:pPr>
        <w:pStyle w:val="SingleTxtG"/>
        <w:spacing w:line="234" w:lineRule="atLeast"/>
      </w:pPr>
      <w:r w:rsidRPr="00052D61">
        <w:t>"Все пищевые продукты, которые могут стать непригодными для потребления человеком, если условия транспортировки недостаточно контролируются с учетом их целевого использования из-за загрязнения, будь то внешнего или иного, или в результате гниения, снижения качества или разложения.</w:t>
      </w:r>
    </w:p>
    <w:p w14:paraId="2B53D2B4" w14:textId="77777777" w:rsidR="00052D61" w:rsidRPr="00052D61" w:rsidRDefault="00052D61" w:rsidP="008C7EAB">
      <w:pPr>
        <w:pStyle w:val="SingleTxtG"/>
        <w:spacing w:line="234" w:lineRule="atLeast"/>
      </w:pPr>
      <w:r w:rsidRPr="00052D61">
        <w:t>В надлежащих случаях эти двухсторонние или многосторонние соглашения определяют максимальные температуры перевозки для каждой категории соответствующих пищевых продуктов</w:t>
      </w:r>
      <w:r w:rsidR="00921AD8" w:rsidRPr="00052D61">
        <w:t>"</w:t>
      </w:r>
      <w:r w:rsidRPr="00052D61">
        <w:t>».</w:t>
      </w:r>
    </w:p>
    <w:p w14:paraId="49C70DDE" w14:textId="77777777" w:rsidR="00052D61" w:rsidRPr="00052D61" w:rsidRDefault="00052D61" w:rsidP="008C7EAB">
      <w:pPr>
        <w:pStyle w:val="HChG"/>
        <w:spacing w:before="340" w:line="280" w:lineRule="exact"/>
      </w:pPr>
      <w:r w:rsidRPr="00052D61">
        <w:tab/>
      </w:r>
      <w:r w:rsidRPr="00052D61">
        <w:tab/>
        <w:t>Обоснование</w:t>
      </w:r>
    </w:p>
    <w:p w14:paraId="746BEC9D" w14:textId="77777777" w:rsidR="00052D61" w:rsidRPr="00052D61" w:rsidRDefault="00052D61" w:rsidP="008C7EAB">
      <w:pPr>
        <w:pStyle w:val="SingleTxtG"/>
        <w:spacing w:line="234" w:lineRule="atLeast"/>
      </w:pPr>
      <w:r w:rsidRPr="00052D61">
        <w:t>7.</w:t>
      </w:r>
      <w:r w:rsidRPr="00052D61">
        <w:tab/>
        <w:t>Это предложение ориентировано на поощрение борьбы с расточительностью продуктов питания, которые в настоящее время не перечислены в Соглашении.</w:t>
      </w:r>
    </w:p>
    <w:p w14:paraId="6B61439C" w14:textId="77777777" w:rsidR="00052D61" w:rsidRPr="00052D61" w:rsidRDefault="00052D61" w:rsidP="008C7EAB">
      <w:pPr>
        <w:pStyle w:val="SingleTxtG"/>
        <w:spacing w:line="234" w:lineRule="atLeast"/>
      </w:pPr>
      <w:r w:rsidRPr="00052D61">
        <w:t>8.</w:t>
      </w:r>
      <w:r w:rsidRPr="00052D61">
        <w:tab/>
        <w:t>Предлагаемая дихотомия соответствует правилам, принятым в Европейском союзе в отношении гигиенических требований к безопасности пищевых продуктов (Регламент EC/178/2002, статья 14).</w:t>
      </w:r>
    </w:p>
    <w:p w14:paraId="0D6BAC30" w14:textId="77777777" w:rsidR="00052D61" w:rsidRPr="00052D61" w:rsidRDefault="00052D61" w:rsidP="008C7EAB">
      <w:pPr>
        <w:pStyle w:val="HChG"/>
        <w:spacing w:before="340" w:line="280" w:lineRule="exact"/>
      </w:pPr>
      <w:r w:rsidRPr="00052D61">
        <w:tab/>
      </w:r>
      <w:r w:rsidRPr="00052D61">
        <w:tab/>
        <w:t>Расходы</w:t>
      </w:r>
    </w:p>
    <w:p w14:paraId="76B9724B" w14:textId="77777777" w:rsidR="00052D61" w:rsidRPr="00052D61" w:rsidRDefault="00052D61" w:rsidP="008C7EAB">
      <w:pPr>
        <w:pStyle w:val="SingleTxtG"/>
        <w:spacing w:line="234" w:lineRule="atLeast"/>
      </w:pPr>
      <w:r w:rsidRPr="00052D61">
        <w:t>9.</w:t>
      </w:r>
      <w:r w:rsidRPr="00052D61">
        <w:tab/>
        <w:t>Предлагаемая поправка, как таковая, не влечет за собой никаких конкретных расходов.</w:t>
      </w:r>
    </w:p>
    <w:p w14:paraId="4362A4AD" w14:textId="77777777" w:rsidR="00052D61" w:rsidRPr="00052D61" w:rsidRDefault="00052D61" w:rsidP="008C7EAB">
      <w:pPr>
        <w:pStyle w:val="SingleTxtG"/>
        <w:spacing w:line="234" w:lineRule="atLeast"/>
        <w:rPr>
          <w:i/>
        </w:rPr>
      </w:pPr>
      <w:r w:rsidRPr="00052D61">
        <w:t>10.</w:t>
      </w:r>
      <w:r w:rsidRPr="00052D61">
        <w:tab/>
        <w:t>К дополнительным расходам для соответствующих сторон могут привести только будущие двусторонние или многосторонние соглашения, варьирующиеся в зависимости от тех пищевых продуктов, которые могут подпадать под их действие.</w:t>
      </w:r>
    </w:p>
    <w:p w14:paraId="3A545D63" w14:textId="77777777" w:rsidR="00E12C5F" w:rsidRPr="008C7EAB" w:rsidRDefault="008C7EAB" w:rsidP="008C7EAB">
      <w:pPr>
        <w:pStyle w:val="SingleTxtG"/>
        <w:spacing w:before="20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C7EAB" w:rsidSect="00052D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C2F2D" w14:textId="77777777" w:rsidR="003E5890" w:rsidRPr="00A312BC" w:rsidRDefault="003E5890" w:rsidP="00A312BC"/>
  </w:endnote>
  <w:endnote w:type="continuationSeparator" w:id="0">
    <w:p w14:paraId="61CF75E9" w14:textId="77777777" w:rsidR="003E5890" w:rsidRPr="00A312BC" w:rsidRDefault="003E58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522D" w14:textId="77777777" w:rsidR="00052D61" w:rsidRPr="00052D61" w:rsidRDefault="00052D61">
    <w:pPr>
      <w:pStyle w:val="Footer"/>
    </w:pPr>
    <w:r w:rsidRPr="00052D61">
      <w:rPr>
        <w:b/>
        <w:sz w:val="18"/>
      </w:rPr>
      <w:fldChar w:fldCharType="begin"/>
    </w:r>
    <w:r w:rsidRPr="00052D61">
      <w:rPr>
        <w:b/>
        <w:sz w:val="18"/>
      </w:rPr>
      <w:instrText xml:space="preserve"> PAGE  \* MERGEFORMAT </w:instrText>
    </w:r>
    <w:r w:rsidRPr="00052D61">
      <w:rPr>
        <w:b/>
        <w:sz w:val="18"/>
      </w:rPr>
      <w:fldChar w:fldCharType="separate"/>
    </w:r>
    <w:r w:rsidRPr="00052D61">
      <w:rPr>
        <w:b/>
        <w:noProof/>
        <w:sz w:val="18"/>
      </w:rPr>
      <w:t>2</w:t>
    </w:r>
    <w:r w:rsidRPr="00052D61">
      <w:rPr>
        <w:b/>
        <w:sz w:val="18"/>
      </w:rPr>
      <w:fldChar w:fldCharType="end"/>
    </w:r>
    <w:r>
      <w:rPr>
        <w:b/>
        <w:sz w:val="18"/>
      </w:rPr>
      <w:tab/>
    </w:r>
    <w:r>
      <w:t>GE.20-01075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D70C" w14:textId="77777777" w:rsidR="00052D61" w:rsidRPr="00052D61" w:rsidRDefault="00052D61" w:rsidP="00052D61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GE.20-01075</w:t>
    </w:r>
    <w:r>
      <w:tab/>
    </w:r>
    <w:r w:rsidRPr="00052D61">
      <w:rPr>
        <w:b/>
        <w:sz w:val="18"/>
      </w:rPr>
      <w:fldChar w:fldCharType="begin"/>
    </w:r>
    <w:r w:rsidRPr="00052D61">
      <w:rPr>
        <w:b/>
        <w:sz w:val="18"/>
      </w:rPr>
      <w:instrText xml:space="preserve"> PAGE  \* MERGEFORMAT </w:instrText>
    </w:r>
    <w:r w:rsidRPr="00052D61">
      <w:rPr>
        <w:b/>
        <w:sz w:val="18"/>
      </w:rPr>
      <w:fldChar w:fldCharType="separate"/>
    </w:r>
    <w:r w:rsidRPr="00052D61">
      <w:rPr>
        <w:b/>
        <w:noProof/>
        <w:sz w:val="18"/>
      </w:rPr>
      <w:t>3</w:t>
    </w:r>
    <w:r w:rsidRPr="00052D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4BB3" w14:textId="77777777" w:rsidR="00042B72" w:rsidRPr="00052D61" w:rsidRDefault="00052D61" w:rsidP="00052D6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DF50AE" wp14:editId="4B26CA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20-01075  (R)</w:t>
    </w:r>
    <w:r w:rsidR="008C7EAB">
      <w:rPr>
        <w:lang w:val="en-US"/>
      </w:rPr>
      <w:t xml:space="preserve">  300120  310120</w:t>
    </w:r>
    <w:r>
      <w:br/>
    </w:r>
    <w:r w:rsidRPr="00052D61">
      <w:rPr>
        <w:rFonts w:ascii="C39T30Lfz" w:hAnsi="C39T30Lfz"/>
        <w:kern w:val="14"/>
        <w:sz w:val="56"/>
      </w:rPr>
      <w:t></w:t>
    </w:r>
    <w:r w:rsidRPr="00052D61">
      <w:rPr>
        <w:rFonts w:ascii="C39T30Lfz" w:hAnsi="C39T30Lfz"/>
        <w:kern w:val="14"/>
        <w:sz w:val="56"/>
      </w:rPr>
      <w:t></w:t>
    </w:r>
    <w:r w:rsidRPr="00052D61">
      <w:rPr>
        <w:rFonts w:ascii="C39T30Lfz" w:hAnsi="C39T30Lfz"/>
        <w:kern w:val="14"/>
        <w:sz w:val="56"/>
      </w:rPr>
      <w:t></w:t>
    </w:r>
    <w:r w:rsidRPr="00052D61">
      <w:rPr>
        <w:rFonts w:ascii="C39T30Lfz" w:hAnsi="C39T30Lfz"/>
        <w:kern w:val="14"/>
        <w:sz w:val="56"/>
      </w:rPr>
      <w:t></w:t>
    </w:r>
    <w:r w:rsidRPr="00052D61">
      <w:rPr>
        <w:rFonts w:ascii="C39T30Lfz" w:hAnsi="C39T30Lfz"/>
        <w:kern w:val="14"/>
        <w:sz w:val="56"/>
      </w:rPr>
      <w:t></w:t>
    </w:r>
    <w:r w:rsidRPr="00052D61">
      <w:rPr>
        <w:rFonts w:ascii="C39T30Lfz" w:hAnsi="C39T30Lfz"/>
        <w:kern w:val="14"/>
        <w:sz w:val="56"/>
      </w:rPr>
      <w:t></w:t>
    </w:r>
    <w:r w:rsidRPr="00052D61">
      <w:rPr>
        <w:rFonts w:ascii="C39T30Lfz" w:hAnsi="C39T30Lfz"/>
        <w:kern w:val="14"/>
        <w:sz w:val="56"/>
      </w:rPr>
      <w:t></w:t>
    </w:r>
    <w:r w:rsidRPr="00052D61">
      <w:rPr>
        <w:rFonts w:ascii="C39T30Lfz" w:hAnsi="C39T30Lfz"/>
        <w:kern w:val="14"/>
        <w:sz w:val="56"/>
      </w:rPr>
      <w:t></w:t>
    </w:r>
    <w:r w:rsidRPr="00052D6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26C9F8" wp14:editId="6F1F09D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20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20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0E1D" w14:textId="77777777" w:rsidR="003E5890" w:rsidRPr="001075E9" w:rsidRDefault="003E58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4E2AC7" w14:textId="77777777" w:rsidR="003E5890" w:rsidRDefault="003E58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1025" w14:textId="489AE4D5" w:rsidR="00052D61" w:rsidRPr="00052D61" w:rsidRDefault="003433B6">
    <w:pPr>
      <w:pStyle w:val="Header"/>
    </w:pPr>
    <w:fldSimple w:instr=" TITLE  \* MERGEFORMAT ">
      <w:r>
        <w:t>ECE/TRANS/WP.11/2020/2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5511" w14:textId="18D26A88" w:rsidR="00052D61" w:rsidRPr="00052D61" w:rsidRDefault="003433B6" w:rsidP="00052D61">
    <w:pPr>
      <w:pStyle w:val="Header"/>
      <w:jc w:val="right"/>
    </w:pPr>
    <w:fldSimple w:instr=" TITLE  \* MERGEFORMAT ">
      <w:r>
        <w:t>ECE/TRANS/WP.11/2020/2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90"/>
    <w:rsid w:val="00033EE1"/>
    <w:rsid w:val="00042B72"/>
    <w:rsid w:val="00052D61"/>
    <w:rsid w:val="000558BD"/>
    <w:rsid w:val="000A274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666E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3B6"/>
    <w:rsid w:val="00381C24"/>
    <w:rsid w:val="00387CD4"/>
    <w:rsid w:val="003958D0"/>
    <w:rsid w:val="003A0D43"/>
    <w:rsid w:val="003A48CE"/>
    <w:rsid w:val="003B00E5"/>
    <w:rsid w:val="003E0B46"/>
    <w:rsid w:val="003E5890"/>
    <w:rsid w:val="00407B78"/>
    <w:rsid w:val="00424203"/>
    <w:rsid w:val="00447F5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7EAB"/>
    <w:rsid w:val="008D53B6"/>
    <w:rsid w:val="008F7609"/>
    <w:rsid w:val="00906890"/>
    <w:rsid w:val="00911BE4"/>
    <w:rsid w:val="00921AD8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7E6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2E14"/>
    <w:rsid w:val="00E73F76"/>
    <w:rsid w:val="00EA2C9F"/>
    <w:rsid w:val="00EA420E"/>
    <w:rsid w:val="00ED0BDA"/>
    <w:rsid w:val="00EE142A"/>
    <w:rsid w:val="00EF1360"/>
    <w:rsid w:val="00EF3220"/>
    <w:rsid w:val="00F2523A"/>
    <w:rsid w:val="00F352E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43A3EA"/>
  <w15:docId w15:val="{0583AA5E-29BA-4536-B6CC-5596477A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52D6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ECE/TRANS/WP.11/2020/2</vt:lpstr>
      <vt:lpstr>ECE/TRANS/WP.11/2020/2</vt:lpstr>
      <vt:lpstr>A/</vt:lpstr>
    </vt:vector>
  </TitlesOfParts>
  <Company>DCM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ECE/TRANS/WP.11/2020/2</dc:title>
  <dc:subject/>
  <dc:creator>Uliana ANTIPOVA</dc:creator>
  <cp:keywords/>
  <cp:lastModifiedBy>Lucille Caillot</cp:lastModifiedBy>
  <cp:revision>2</cp:revision>
  <cp:lastPrinted>2020-01-31T11:57:00Z</cp:lastPrinted>
  <dcterms:created xsi:type="dcterms:W3CDTF">2020-02-14T09:52:00Z</dcterms:created>
  <dcterms:modified xsi:type="dcterms:W3CDTF">2020-02-14T09:52:00Z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