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3EC88FEF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79B82C6" w14:textId="77777777" w:rsidR="002D5AAC" w:rsidRDefault="002D5AAC" w:rsidP="0061228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3F4D55A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2A99512" w14:textId="77777777" w:rsidR="002D5AAC" w:rsidRDefault="00612286" w:rsidP="00612286">
            <w:pPr>
              <w:jc w:val="right"/>
            </w:pPr>
            <w:r w:rsidRPr="00612286">
              <w:rPr>
                <w:sz w:val="40"/>
              </w:rPr>
              <w:t>ECE</w:t>
            </w:r>
            <w:r>
              <w:t>/TRANS/WP.11/2020/1</w:t>
            </w:r>
          </w:p>
        </w:tc>
      </w:tr>
      <w:tr w:rsidR="002D5AAC" w:rsidRPr="00D23056" w14:paraId="3EF91ADC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F4686BD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21625497" wp14:editId="5453F8B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FABD302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3DCABF1B" w14:textId="77777777" w:rsidR="002D5AAC" w:rsidRDefault="0061228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26123E4F" w14:textId="77777777" w:rsidR="00612286" w:rsidRDefault="00612286" w:rsidP="006122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24 January 2020</w:t>
            </w:r>
          </w:p>
          <w:p w14:paraId="24ED2BD3" w14:textId="77777777" w:rsidR="00612286" w:rsidRDefault="00612286" w:rsidP="006122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9B7104D" w14:textId="77777777" w:rsidR="00612286" w:rsidRPr="008D53B6" w:rsidRDefault="00612286" w:rsidP="0061228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French</w:t>
            </w:r>
          </w:p>
        </w:tc>
      </w:tr>
    </w:tbl>
    <w:p w14:paraId="75884F4C" w14:textId="77777777" w:rsidR="00612286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09570D99" w14:textId="77777777" w:rsidR="00FF68E1" w:rsidRPr="00C10E05" w:rsidRDefault="00FF68E1" w:rsidP="00FF68E1">
      <w:pPr>
        <w:spacing w:before="120"/>
        <w:rPr>
          <w:sz w:val="28"/>
          <w:szCs w:val="28"/>
        </w:rPr>
      </w:pPr>
      <w:r w:rsidRPr="00C10E05">
        <w:rPr>
          <w:sz w:val="28"/>
          <w:szCs w:val="28"/>
        </w:rPr>
        <w:t>Комитет по внутреннему транспорту</w:t>
      </w:r>
    </w:p>
    <w:p w14:paraId="6BB16B24" w14:textId="77777777" w:rsidR="00FF68E1" w:rsidRPr="00C10E05" w:rsidRDefault="00FF68E1" w:rsidP="00FF68E1">
      <w:pPr>
        <w:spacing w:before="120"/>
        <w:rPr>
          <w:b/>
          <w:sz w:val="24"/>
          <w:szCs w:val="24"/>
        </w:rPr>
      </w:pPr>
      <w:r w:rsidRPr="00C10E05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>
        <w:rPr>
          <w:b/>
          <w:bCs/>
          <w:sz w:val="24"/>
          <w:szCs w:val="24"/>
        </w:rPr>
        <w:br/>
      </w:r>
      <w:r w:rsidRPr="00C10E05">
        <w:rPr>
          <w:b/>
          <w:bCs/>
          <w:sz w:val="24"/>
          <w:szCs w:val="24"/>
        </w:rPr>
        <w:t>пищевых продуктов</w:t>
      </w:r>
    </w:p>
    <w:p w14:paraId="106825A3" w14:textId="77777777" w:rsidR="00FF68E1" w:rsidRPr="005540C6" w:rsidRDefault="00FF68E1" w:rsidP="00FF68E1">
      <w:pPr>
        <w:spacing w:before="120"/>
        <w:rPr>
          <w:b/>
        </w:rPr>
      </w:pPr>
      <w:r>
        <w:rPr>
          <w:b/>
          <w:bCs/>
        </w:rPr>
        <w:t>Семьдесят шестая сессия</w:t>
      </w:r>
    </w:p>
    <w:p w14:paraId="0678A4E0" w14:textId="77777777" w:rsidR="00FF68E1" w:rsidRPr="005540C6" w:rsidRDefault="00FF68E1" w:rsidP="00FF68E1">
      <w:pPr>
        <w:rPr>
          <w:bCs/>
        </w:rPr>
      </w:pPr>
      <w:r>
        <w:t>Женева, 7–9 апреля 2020 года</w:t>
      </w:r>
    </w:p>
    <w:p w14:paraId="5D59E3DD" w14:textId="77777777" w:rsidR="00FF68E1" w:rsidRPr="005540C6" w:rsidRDefault="00FF68E1" w:rsidP="00FF68E1">
      <w:pPr>
        <w:pStyle w:val="Standard"/>
        <w:rPr>
          <w:b/>
          <w:lang w:val="ru-RU"/>
        </w:rPr>
      </w:pPr>
      <w:r>
        <w:rPr>
          <w:lang w:val="ru-RU"/>
        </w:rPr>
        <w:t>Пункт 6 а) предварительной повестки дня</w:t>
      </w:r>
    </w:p>
    <w:p w14:paraId="5C8781DB" w14:textId="45D6CD62" w:rsidR="00FF68E1" w:rsidRPr="00DF58E7" w:rsidRDefault="00FF68E1" w:rsidP="00FF68E1">
      <w:pPr>
        <w:pStyle w:val="Standard"/>
        <w:rPr>
          <w:b/>
          <w:lang w:val="ru-RU"/>
        </w:rPr>
      </w:pPr>
      <w:r>
        <w:rPr>
          <w:b/>
          <w:bCs/>
          <w:lang w:val="ru-RU"/>
        </w:rPr>
        <w:t xml:space="preserve">Предложение по поправкам к СПС: </w:t>
      </w:r>
      <w:r>
        <w:rPr>
          <w:b/>
          <w:bCs/>
          <w:lang w:val="ru-RU"/>
        </w:rPr>
        <w:br/>
      </w:r>
      <w:r w:rsidR="00CC5230" w:rsidRPr="00CC5230">
        <w:rPr>
          <w:b/>
          <w:bCs/>
          <w:lang w:val="ru-RU"/>
        </w:rPr>
        <w:t>Предложения, по которым еще не приняты решения</w:t>
      </w:r>
    </w:p>
    <w:p w14:paraId="558D8FF7" w14:textId="77777777" w:rsidR="00FF68E1" w:rsidRPr="005540C6" w:rsidRDefault="00FF68E1" w:rsidP="00FF68E1">
      <w:pPr>
        <w:pStyle w:val="HChG"/>
      </w:pPr>
      <w:r>
        <w:tab/>
      </w:r>
      <w:r>
        <w:tab/>
        <w:t xml:space="preserve">Определение понятия автономности транспортного оборудования с учетом технологий </w:t>
      </w:r>
      <w:r w:rsidRPr="00C10E05">
        <w:t>смешанных</w:t>
      </w:r>
      <w:r>
        <w:t xml:space="preserve"> источников</w:t>
      </w:r>
    </w:p>
    <w:p w14:paraId="32D8D5AA" w14:textId="77777777" w:rsidR="00FF68E1" w:rsidRDefault="00FF68E1" w:rsidP="00FF68E1">
      <w:pPr>
        <w:pStyle w:val="H1G"/>
      </w:pPr>
      <w:r>
        <w:tab/>
      </w:r>
      <w:r>
        <w:tab/>
        <w:t xml:space="preserve">Передано правительством </w:t>
      </w:r>
      <w:r w:rsidRPr="00C10E05">
        <w:t>Франции</w:t>
      </w:r>
    </w:p>
    <w:tbl>
      <w:tblPr>
        <w:tblStyle w:val="TableGrid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FF68E1" w:rsidRPr="00FF68E1" w14:paraId="15AE3A13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4389B9EB" w14:textId="77777777" w:rsidR="00FF68E1" w:rsidRPr="00FF68E1" w:rsidRDefault="00FF68E1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FF68E1">
              <w:rPr>
                <w:rFonts w:cs="Times New Roman"/>
              </w:rPr>
              <w:tab/>
            </w:r>
            <w:r w:rsidRPr="00FF68E1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FF68E1" w:rsidRPr="00FF68E1" w14:paraId="2D3A88FC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7F6AC3D" w14:textId="77777777" w:rsidR="00FF68E1" w:rsidRPr="00FF68E1" w:rsidRDefault="00FF68E1" w:rsidP="00FF68E1">
            <w:pPr>
              <w:pStyle w:val="SingleTxtG"/>
              <w:ind w:left="3535" w:hanging="2401"/>
            </w:pPr>
            <w:r w:rsidRPr="00FF68E1">
              <w:rPr>
                <w:b/>
                <w:bCs/>
              </w:rPr>
              <w:t>Существо предложения</w:t>
            </w:r>
            <w:r w:rsidRPr="00FF68E1">
              <w:rPr>
                <w:bCs/>
              </w:rPr>
              <w:t>:</w:t>
            </w:r>
            <w:r w:rsidRPr="00FF68E1">
              <w:tab/>
              <w:t>Это предложение имеет целью дать определение понятия автономности транспортного оборудования на основе собственного источника холодопроизводительности.</w:t>
            </w:r>
          </w:p>
        </w:tc>
      </w:tr>
      <w:tr w:rsidR="00FF68E1" w:rsidRPr="00FF68E1" w14:paraId="31D31102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39A609CF" w14:textId="77777777" w:rsidR="00FF68E1" w:rsidRPr="00FF68E1" w:rsidRDefault="00FF68E1" w:rsidP="00FF68E1">
            <w:pPr>
              <w:pStyle w:val="SingleTxtG"/>
              <w:ind w:left="3535" w:hanging="2401"/>
              <w:rPr>
                <w:b/>
                <w:bCs/>
              </w:rPr>
            </w:pPr>
            <w:r w:rsidRPr="00FF68E1">
              <w:rPr>
                <w:b/>
                <w:bCs/>
              </w:rPr>
              <w:t>Предлагаемое решение</w:t>
            </w:r>
            <w:r w:rsidRPr="00FF68E1">
              <w:rPr>
                <w:bCs/>
              </w:rPr>
              <w:t>:</w:t>
            </w:r>
            <w:r w:rsidRPr="00FF68E1">
              <w:rPr>
                <w:b/>
                <w:bCs/>
              </w:rPr>
              <w:tab/>
            </w:r>
            <w:r w:rsidRPr="00FF68E1">
              <w:t>Внести поправки в соответствующий раздел (приложение</w:t>
            </w:r>
            <w:r>
              <w:t> </w:t>
            </w:r>
            <w:r w:rsidRPr="00FF68E1">
              <w:t>I) Соглашения СПС.</w:t>
            </w:r>
          </w:p>
        </w:tc>
      </w:tr>
      <w:tr w:rsidR="00FF68E1" w:rsidRPr="00FF68E1" w14:paraId="01D02A80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09404628" w14:textId="77777777" w:rsidR="00FF68E1" w:rsidRPr="00FF68E1" w:rsidRDefault="00FF68E1" w:rsidP="00FF68E1">
            <w:pPr>
              <w:pStyle w:val="SingleTxtG"/>
              <w:tabs>
                <w:tab w:val="left" w:pos="3523"/>
              </w:tabs>
              <w:rPr>
                <w:b/>
                <w:bCs/>
              </w:rPr>
            </w:pPr>
            <w:r w:rsidRPr="00FF68E1">
              <w:rPr>
                <w:b/>
                <w:bCs/>
              </w:rPr>
              <w:t>Справочные документы</w:t>
            </w:r>
            <w:r w:rsidRPr="00FF68E1">
              <w:rPr>
                <w:bCs/>
              </w:rPr>
              <w:t>:</w:t>
            </w:r>
            <w:r w:rsidRPr="00FF68E1">
              <w:rPr>
                <w:b/>
                <w:bCs/>
              </w:rPr>
              <w:tab/>
            </w:r>
            <w:r w:rsidRPr="00FF68E1">
              <w:rPr>
                <w:bCs/>
              </w:rPr>
              <w:t>ECE/TRANS/WP.11/2019/8</w:t>
            </w:r>
          </w:p>
        </w:tc>
      </w:tr>
      <w:tr w:rsidR="00FF68E1" w:rsidRPr="00FF68E1" w14:paraId="23DF1124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29FB2C4B" w14:textId="77777777" w:rsidR="00FF68E1" w:rsidRPr="00FF68E1" w:rsidRDefault="00FF68E1" w:rsidP="00850215">
            <w:pPr>
              <w:rPr>
                <w:rFonts w:cs="Times New Roman"/>
              </w:rPr>
            </w:pPr>
          </w:p>
        </w:tc>
      </w:tr>
    </w:tbl>
    <w:p w14:paraId="3FA15F08" w14:textId="77777777" w:rsidR="00FF68E1" w:rsidRDefault="00FF68E1" w:rsidP="00FF68E1">
      <w:pPr>
        <w:pStyle w:val="HChG"/>
        <w:keepNext w:val="0"/>
        <w:keepLines w:val="0"/>
      </w:pPr>
      <w:r>
        <w:tab/>
      </w:r>
      <w:r>
        <w:tab/>
      </w:r>
      <w:r>
        <w:rPr>
          <w:bCs/>
        </w:rPr>
        <w:t>Введение</w:t>
      </w:r>
      <w:bookmarkStart w:id="0" w:name="OLE_LINK1"/>
      <w:bookmarkStart w:id="1" w:name="OLE_LINK2"/>
      <w:bookmarkEnd w:id="0"/>
      <w:bookmarkEnd w:id="1"/>
    </w:p>
    <w:p w14:paraId="2CC77E4A" w14:textId="77777777" w:rsidR="00FF68E1" w:rsidRPr="00C10E05" w:rsidRDefault="00FF68E1" w:rsidP="00FF68E1">
      <w:pPr>
        <w:pStyle w:val="SingleTxtG"/>
      </w:pPr>
      <w:r w:rsidRPr="00C10E05">
        <w:t>1.</w:t>
      </w:r>
      <w:r w:rsidRPr="00C10E05">
        <w:tab/>
        <w:t>Питание холодильных установок с неавтономным механическим компрессором паров производится от внешнего источника энергии, будь то механического или электрического, вследствие преобразования энергии с помощью работающего теплового двигателя.</w:t>
      </w:r>
    </w:p>
    <w:p w14:paraId="7C44A230" w14:textId="77777777" w:rsidR="00FF68E1" w:rsidRPr="00C10E05" w:rsidRDefault="00FF68E1" w:rsidP="00FF68E1">
      <w:pPr>
        <w:pStyle w:val="SingleTxtG"/>
      </w:pPr>
      <w:r w:rsidRPr="00C10E05">
        <w:t>2.</w:t>
      </w:r>
      <w:r w:rsidRPr="00C10E05">
        <w:tab/>
        <w:t>Автономные механические компрессорные установки располагают в какой-то мере косвенным источником энергии, который исторически обеспечивался за счет содержания в их заправочном баке ископаемого энергоносителя, к которому они подключены. Этот бак не является неотъемлемой частью автономн</w:t>
      </w:r>
      <w:r>
        <w:t>о</w:t>
      </w:r>
      <w:r w:rsidRPr="00C10E05">
        <w:t>й тепловой установки и, по сути, представляет собой установленный на ней переменный внешний компонент, проверенный официальной испытательной станцией.</w:t>
      </w:r>
    </w:p>
    <w:p w14:paraId="700F0C50" w14:textId="77777777" w:rsidR="00FF68E1" w:rsidRPr="00C10E05" w:rsidRDefault="00FF68E1" w:rsidP="00FF68E1">
      <w:pPr>
        <w:pStyle w:val="SingleTxtG"/>
      </w:pPr>
      <w:r w:rsidRPr="00C10E05">
        <w:lastRenderedPageBreak/>
        <w:t>3.</w:t>
      </w:r>
      <w:r w:rsidRPr="00C10E05">
        <w:tab/>
        <w:t>В обоих случаях разница в связи между холодопроизводительностью и емкостью бака проявляется лишь в том, что тепловой двигатель транспортного средства необходимо включать или выключать.</w:t>
      </w:r>
    </w:p>
    <w:p w14:paraId="0C584317" w14:textId="77777777" w:rsidR="00FF68E1" w:rsidRPr="00C10E05" w:rsidRDefault="00FF68E1" w:rsidP="00FF68E1">
      <w:pPr>
        <w:pStyle w:val="SingleTxtG"/>
      </w:pPr>
      <w:r w:rsidRPr="00C10E05">
        <w:t>4.</w:t>
      </w:r>
      <w:r w:rsidRPr="00C10E05">
        <w:tab/>
        <w:t xml:space="preserve">В настоящее время уже вряд ли можно не обращать внимание на </w:t>
      </w:r>
      <w:r>
        <w:t>«</w:t>
      </w:r>
      <w:r w:rsidRPr="00C10E05">
        <w:t>давление</w:t>
      </w:r>
      <w:r>
        <w:t>»</w:t>
      </w:r>
      <w:r w:rsidRPr="00C10E05">
        <w:t xml:space="preserve"> со стороны новых технологий на СПС,</w:t>
      </w:r>
      <w:r>
        <w:t xml:space="preserve"> в первую очередь, со стороны </w:t>
      </w:r>
      <w:r w:rsidRPr="00C10E05">
        <w:t>машин, работающих от электроаккумуляторов, независимо от того, предназначены они исключительно для них или нет. Подзарядка этих аккумуляторов возможна даже за счет работающего двигателя внутреннего сгорания, который приводит в действие транспортное средство и работающую холодильную установку. Автономность, которую обеспечивают электроаккумуляторы, неоспорима, однако возникает вопрос о том, каким образом классифицировать эту типологию двигателей, работающих на смешанных источниках энергии, на фоне тех типов классических двигателей, которые наложили свой отпечаток на СПС? В этой связи вполне естественно предложить называть такие устройства «гибридными».</w:t>
      </w:r>
    </w:p>
    <w:p w14:paraId="31127DBB" w14:textId="77777777" w:rsidR="00FF68E1" w:rsidRPr="005540C6" w:rsidRDefault="00FF68E1" w:rsidP="00FF68E1">
      <w:pPr>
        <w:pStyle w:val="SingleTxtG"/>
      </w:pPr>
      <w:r w:rsidRPr="00C10E05">
        <w:t>5.</w:t>
      </w:r>
      <w:r w:rsidRPr="00C10E05">
        <w:tab/>
        <w:t>Фактически, высказать конкретную точку зрения по поводу автономности холодильной установки достаточно затруднительно, если не учитывать оборудование, на котором она будет установлена, цель ее использования и транспортное средство которое будет</w:t>
      </w:r>
      <w:r>
        <w:t xml:space="preserve"> перевозить весь этот комплекс.</w:t>
      </w:r>
    </w:p>
    <w:p w14:paraId="2D6E4780" w14:textId="77777777" w:rsidR="00FF68E1" w:rsidRPr="005540C6" w:rsidRDefault="00FF68E1" w:rsidP="00FF68E1">
      <w:pPr>
        <w:pStyle w:val="HChG"/>
      </w:pPr>
      <w:r>
        <w:tab/>
        <w:t>I.</w:t>
      </w:r>
      <w:r>
        <w:tab/>
      </w:r>
      <w:r>
        <w:tab/>
      </w:r>
      <w:r>
        <w:rPr>
          <w:bCs/>
        </w:rPr>
        <w:t>Предложение</w:t>
      </w:r>
    </w:p>
    <w:p w14:paraId="7AB9C7CC" w14:textId="77777777" w:rsidR="00FF68E1" w:rsidRPr="005540C6" w:rsidRDefault="00FF68E1" w:rsidP="00FF68E1">
      <w:pPr>
        <w:pStyle w:val="SingleTxtG"/>
      </w:pPr>
      <w:r>
        <w:t>6.</w:t>
      </w:r>
      <w:r>
        <w:tab/>
        <w:t>Определение понятия автономности транспортных средств</w:t>
      </w:r>
    </w:p>
    <w:p w14:paraId="4432D632" w14:textId="3CDDE0A6" w:rsidR="00FF68E1" w:rsidRPr="005540C6" w:rsidRDefault="00687FBA" w:rsidP="00FF68E1">
      <w:pPr>
        <w:pStyle w:val="SingleTxtG"/>
        <w:rPr>
          <w:b/>
          <w:bCs/>
          <w:i/>
          <w:iCs/>
        </w:rPr>
      </w:pPr>
      <w:r>
        <w:tab/>
      </w:r>
      <w:r w:rsidR="00FF68E1">
        <w:rPr>
          <w:b/>
          <w:bCs/>
          <w:i/>
          <w:iCs/>
        </w:rPr>
        <w:t>Транспортное средство является автономным, если:</w:t>
      </w:r>
    </w:p>
    <w:p w14:paraId="6D500405" w14:textId="30B8CEAF" w:rsidR="00FF68E1" w:rsidRPr="00EC3D88" w:rsidRDefault="00687FBA" w:rsidP="00FF68E1">
      <w:pPr>
        <w:pStyle w:val="SingleTxtG"/>
        <w:rPr>
          <w:b/>
          <w:bCs/>
          <w:i/>
          <w:iCs/>
        </w:rPr>
      </w:pPr>
      <w:r>
        <w:tab/>
      </w:r>
      <w:r w:rsidR="00FF68E1">
        <w:rPr>
          <w:b/>
          <w:bCs/>
          <w:i/>
          <w:iCs/>
        </w:rPr>
        <w:t>Случай № 1:</w:t>
      </w:r>
    </w:p>
    <w:p w14:paraId="31B71513" w14:textId="77777777" w:rsidR="00FF68E1" w:rsidRPr="006B3F7E" w:rsidRDefault="00FF68E1" w:rsidP="00FF68E1">
      <w:pPr>
        <w:pStyle w:val="Bullet1G"/>
        <w:numPr>
          <w:ilvl w:val="0"/>
          <w:numId w:val="0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ind w:left="1701" w:hanging="531"/>
        <w:rPr>
          <w:i/>
          <w:iCs/>
        </w:rPr>
      </w:pPr>
      <w:r>
        <w:rPr>
          <w:i/>
        </w:rPr>
        <w:t>–</w:t>
      </w:r>
      <w:r w:rsidRPr="005540C6">
        <w:tab/>
      </w:r>
      <w:r w:rsidRPr="006B3F7E">
        <w:rPr>
          <w:i/>
          <w:iCs/>
        </w:rPr>
        <w:t>Время подзарядки своего запаса энергии является незначительным,</w:t>
      </w:r>
    </w:p>
    <w:p w14:paraId="57B04B0C" w14:textId="77777777" w:rsidR="00FF68E1" w:rsidRPr="005540C6" w:rsidRDefault="00FF68E1" w:rsidP="0045580B">
      <w:pPr>
        <w:pStyle w:val="Bullet1G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ind w:left="1170"/>
      </w:pPr>
      <w:r>
        <w:rPr>
          <w:i/>
        </w:rPr>
        <w:t>–</w:t>
      </w:r>
      <w:r w:rsidRPr="005540C6">
        <w:tab/>
      </w:r>
      <w:r w:rsidRPr="002C51D3">
        <w:rPr>
          <w:i/>
          <w:iCs/>
        </w:rPr>
        <w:t>Холодопроизводительность и теплопроизводительность зависят от источника энергии</w:t>
      </w:r>
      <w:r>
        <w:t>:</w:t>
      </w:r>
    </w:p>
    <w:p w14:paraId="213C00B3" w14:textId="77777777" w:rsidR="00FF68E1" w:rsidRPr="007541DB" w:rsidRDefault="00FF68E1" w:rsidP="00FF68E1">
      <w:pPr>
        <w:pStyle w:val="Bullet2G"/>
        <w:numPr>
          <w:ilvl w:val="0"/>
          <w:numId w:val="0"/>
        </w:numPr>
        <w:tabs>
          <w:tab w:val="left" w:pos="1710"/>
        </w:tabs>
        <w:kinsoku w:val="0"/>
        <w:overflowPunct w:val="0"/>
        <w:autoSpaceDE w:val="0"/>
        <w:autoSpaceDN w:val="0"/>
        <w:adjustRightInd w:val="0"/>
        <w:snapToGrid w:val="0"/>
        <w:ind w:left="720" w:firstLine="990"/>
        <w:rPr>
          <w:i/>
          <w:iCs/>
        </w:rPr>
      </w:pPr>
      <w:r w:rsidRPr="007541DB">
        <w:rPr>
          <w:rFonts w:ascii="Wingdings" w:hAnsi="Wingdings"/>
          <w:iCs/>
        </w:rPr>
        <w:t></w:t>
      </w:r>
      <w:r w:rsidRPr="007541DB">
        <w:rPr>
          <w:rFonts w:ascii="Wingdings" w:hAnsi="Wingdings"/>
          <w:iCs/>
        </w:rPr>
        <w:tab/>
      </w:r>
      <w:r w:rsidRPr="007541DB">
        <w:rPr>
          <w:i/>
          <w:iCs/>
        </w:rPr>
        <w:t>всегда в наличии;</w:t>
      </w:r>
    </w:p>
    <w:p w14:paraId="15F397BD" w14:textId="77777777" w:rsidR="00FF68E1" w:rsidRPr="007541DB" w:rsidRDefault="00FF68E1" w:rsidP="00FF68E1">
      <w:pPr>
        <w:pStyle w:val="Bullet2G"/>
        <w:numPr>
          <w:ilvl w:val="0"/>
          <w:numId w:val="0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ind w:left="2250" w:hanging="540"/>
        <w:rPr>
          <w:i/>
          <w:iCs/>
        </w:rPr>
      </w:pPr>
      <w:r w:rsidRPr="007541DB">
        <w:rPr>
          <w:rFonts w:ascii="Wingdings" w:hAnsi="Wingdings"/>
          <w:iCs/>
        </w:rPr>
        <w:t></w:t>
      </w:r>
      <w:r w:rsidRPr="007541DB">
        <w:rPr>
          <w:rFonts w:ascii="Wingdings" w:hAnsi="Wingdings"/>
          <w:iCs/>
        </w:rPr>
        <w:tab/>
      </w:r>
      <w:r w:rsidRPr="007541DB">
        <w:rPr>
          <w:i/>
          <w:iCs/>
        </w:rPr>
        <w:t>безостановочность, за исключением случаев устройств, имеющих непосредственное отношение к безопасности имущества или людей;</w:t>
      </w:r>
    </w:p>
    <w:p w14:paraId="3D10F6CA" w14:textId="77777777" w:rsidR="00FF68E1" w:rsidRPr="007541DB" w:rsidRDefault="00FF68E1" w:rsidP="00FF68E1">
      <w:pPr>
        <w:pStyle w:val="Bullet2G"/>
        <w:numPr>
          <w:ilvl w:val="0"/>
          <w:numId w:val="0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ind w:left="2160" w:hanging="450"/>
        <w:rPr>
          <w:i/>
          <w:iCs/>
        </w:rPr>
      </w:pPr>
      <w:r w:rsidRPr="007541DB">
        <w:rPr>
          <w:rFonts w:ascii="Wingdings" w:hAnsi="Wingdings"/>
          <w:iCs/>
        </w:rPr>
        <w:t></w:t>
      </w:r>
      <w:r w:rsidRPr="007541DB">
        <w:rPr>
          <w:rFonts w:ascii="Wingdings" w:hAnsi="Wingdings"/>
          <w:iCs/>
        </w:rPr>
        <w:tab/>
      </w:r>
      <w:r w:rsidRPr="007541DB">
        <w:rPr>
          <w:i/>
          <w:iCs/>
        </w:rPr>
        <w:t>не используется совместно, за исключением топлива, используемого в тепловых двигателях.</w:t>
      </w:r>
    </w:p>
    <w:p w14:paraId="4ED88803" w14:textId="77777777" w:rsidR="00FF68E1" w:rsidRPr="002C51D3" w:rsidRDefault="00FF68E1" w:rsidP="00FF68E1">
      <w:pPr>
        <w:pStyle w:val="Bullet1G"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ind w:left="1170"/>
        <w:rPr>
          <w:i/>
          <w:iCs/>
        </w:rPr>
      </w:pPr>
      <w:r>
        <w:rPr>
          <w:i/>
        </w:rPr>
        <w:t>–</w:t>
      </w:r>
      <w:r w:rsidRPr="002C51D3">
        <w:rPr>
          <w:iCs/>
        </w:rPr>
        <w:tab/>
      </w:r>
      <w:r w:rsidRPr="002C51D3">
        <w:rPr>
          <w:i/>
          <w:iCs/>
        </w:rPr>
        <w:t>Системы холодопроизводительности и теплопроизводительности способны функционировать на полную мощность в течение 3 часов без подзарядки своего источника энергии.</w:t>
      </w:r>
    </w:p>
    <w:p w14:paraId="63E6B2C1" w14:textId="77777777" w:rsidR="00FF68E1" w:rsidRPr="005540C6" w:rsidRDefault="00BC2389" w:rsidP="00FF68E1">
      <w:pPr>
        <w:pStyle w:val="SingleTxtG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FF68E1">
        <w:rPr>
          <w:i/>
          <w:iCs/>
        </w:rPr>
        <w:t>Подлежит включению в справочник СПС:</w:t>
      </w:r>
    </w:p>
    <w:p w14:paraId="246483E3" w14:textId="77777777" w:rsidR="00FF68E1" w:rsidRPr="005540C6" w:rsidRDefault="00BC2389" w:rsidP="00FF68E1">
      <w:pPr>
        <w:pStyle w:val="SingleTxtG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 w:rsidR="00FF68E1">
        <w:rPr>
          <w:i/>
          <w:iCs/>
        </w:rPr>
        <w:t>Незначительным временем зарядки считается любая операция по подзарядке энергоемкости, занимающая менее четверти часа.</w:t>
      </w:r>
    </w:p>
    <w:p w14:paraId="3F2452EA" w14:textId="27000850" w:rsidR="00FF68E1" w:rsidRPr="00EC3D88" w:rsidRDefault="00687FBA" w:rsidP="00FF68E1">
      <w:pPr>
        <w:pStyle w:val="SingleTxtG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FF68E1">
        <w:rPr>
          <w:b/>
          <w:bCs/>
          <w:i/>
          <w:iCs/>
        </w:rPr>
        <w:t>Случай № 2:</w:t>
      </w:r>
    </w:p>
    <w:p w14:paraId="6F8D9E5E" w14:textId="77777777" w:rsidR="00FF68E1" w:rsidRPr="005540C6" w:rsidRDefault="00FF68E1" w:rsidP="00D23056">
      <w:pPr>
        <w:pStyle w:val="Bullet1G"/>
        <w:numPr>
          <w:ilvl w:val="0"/>
          <w:numId w:val="0"/>
        </w:numPr>
        <w:tabs>
          <w:tab w:val="left" w:pos="1170"/>
        </w:tabs>
        <w:kinsoku w:val="0"/>
        <w:overflowPunct w:val="0"/>
        <w:autoSpaceDE w:val="0"/>
        <w:autoSpaceDN w:val="0"/>
        <w:adjustRightInd w:val="0"/>
        <w:snapToGrid w:val="0"/>
        <w:ind w:left="1080" w:firstLine="12"/>
        <w:rPr>
          <w:i/>
          <w:iCs/>
        </w:rPr>
      </w:pPr>
      <w:r>
        <w:rPr>
          <w:i/>
        </w:rPr>
        <w:t>–</w:t>
      </w:r>
      <w:r w:rsidRPr="005540C6">
        <w:rPr>
          <w:iCs/>
        </w:rPr>
        <w:tab/>
      </w:r>
      <w:r>
        <w:rPr>
          <w:i/>
          <w:iCs/>
        </w:rPr>
        <w:t>Система холодопроизводительности и теплопроизводительности зависит от источника энергии, который всегда доступен, используется только для данной цели и работает безостановочно;</w:t>
      </w:r>
    </w:p>
    <w:p w14:paraId="2701614E" w14:textId="77777777" w:rsidR="00FF68E1" w:rsidRPr="00A270E7" w:rsidRDefault="00FF68E1" w:rsidP="00FF68E1">
      <w:pPr>
        <w:pStyle w:val="Bullet1G"/>
        <w:numPr>
          <w:ilvl w:val="0"/>
          <w:numId w:val="0"/>
        </w:numPr>
        <w:tabs>
          <w:tab w:val="left" w:pos="1080"/>
        </w:tabs>
        <w:kinsoku w:val="0"/>
        <w:overflowPunct w:val="0"/>
        <w:autoSpaceDE w:val="0"/>
        <w:autoSpaceDN w:val="0"/>
        <w:adjustRightInd w:val="0"/>
        <w:snapToGrid w:val="0"/>
        <w:ind w:left="1080" w:hanging="621"/>
        <w:rPr>
          <w:i/>
          <w:iCs/>
        </w:rPr>
      </w:pPr>
      <w:r>
        <w:rPr>
          <w:i/>
        </w:rPr>
        <w:tab/>
        <w:t>–</w:t>
      </w:r>
      <w:r>
        <w:rPr>
          <w:i/>
        </w:rPr>
        <w:tab/>
      </w:r>
      <w:r>
        <w:rPr>
          <w:i/>
          <w:iCs/>
        </w:rPr>
        <w:t>Система холодопроизводительности и теплопроизводительности способна поддерживать заданную температуру данного класса транспортного средства в течение минимум 12 часов без необходимости подзарядки своего источника энергии.</w:t>
      </w:r>
      <w:r>
        <w:t xml:space="preserve"> </w:t>
      </w:r>
      <w:r w:rsidRPr="00A270E7">
        <w:rPr>
          <w:i/>
          <w:iCs/>
        </w:rPr>
        <w:t>Проведение испытаний в соответствии с разделом 3 добавления 2 к приложению 1 к СПС.</w:t>
      </w:r>
    </w:p>
    <w:p w14:paraId="7AFEA933" w14:textId="474BADE5" w:rsidR="00FF68E1" w:rsidRPr="005540C6" w:rsidRDefault="00FF68E1" w:rsidP="00FF68E1">
      <w:pPr>
        <w:pStyle w:val="SingleTxtG"/>
        <w:pageBreakBefore/>
        <w:ind w:left="1138" w:right="1138"/>
        <w:rPr>
          <w:b/>
          <w:bCs/>
          <w:i/>
          <w:iCs/>
        </w:rPr>
      </w:pPr>
      <w:bookmarkStart w:id="2" w:name="_GoBack"/>
      <w:bookmarkEnd w:id="2"/>
      <w:r>
        <w:rPr>
          <w:b/>
          <w:bCs/>
          <w:i/>
          <w:iCs/>
        </w:rPr>
        <w:lastRenderedPageBreak/>
        <w:t>Устройство обладает гибридной автономностью, если:</w:t>
      </w:r>
    </w:p>
    <w:p w14:paraId="16AE0EC1" w14:textId="77777777" w:rsidR="00FF68E1" w:rsidRPr="005540C6" w:rsidRDefault="00FF68E1" w:rsidP="00FF68E1">
      <w:pPr>
        <w:pStyle w:val="Bullet1G"/>
        <w:numPr>
          <w:ilvl w:val="0"/>
          <w:numId w:val="0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ind w:firstLine="1080"/>
        <w:rPr>
          <w:i/>
          <w:iCs/>
        </w:rPr>
      </w:pPr>
      <w:r>
        <w:rPr>
          <w:i/>
        </w:rPr>
        <w:t>–</w:t>
      </w:r>
      <w:r w:rsidRPr="005540C6">
        <w:rPr>
          <w:iCs/>
        </w:rPr>
        <w:tab/>
      </w:r>
      <w:r>
        <w:rPr>
          <w:i/>
          <w:iCs/>
        </w:rPr>
        <w:t>Время подзарядки своего запаса энергии является незначительным,</w:t>
      </w:r>
    </w:p>
    <w:p w14:paraId="2E78B418" w14:textId="77777777" w:rsidR="00FF68E1" w:rsidRPr="00A270E7" w:rsidRDefault="00FF68E1" w:rsidP="00FF68E1">
      <w:pPr>
        <w:pStyle w:val="Bullet1G"/>
        <w:numPr>
          <w:ilvl w:val="0"/>
          <w:numId w:val="0"/>
        </w:numPr>
        <w:tabs>
          <w:tab w:val="left" w:pos="1701"/>
        </w:tabs>
        <w:kinsoku w:val="0"/>
        <w:overflowPunct w:val="0"/>
        <w:autoSpaceDE w:val="0"/>
        <w:autoSpaceDN w:val="0"/>
        <w:adjustRightInd w:val="0"/>
        <w:snapToGrid w:val="0"/>
        <w:ind w:left="1080" w:hanging="361"/>
        <w:rPr>
          <w:i/>
          <w:iCs/>
        </w:rPr>
      </w:pPr>
      <w:r>
        <w:rPr>
          <w:i/>
        </w:rPr>
        <w:tab/>
        <w:t>–</w:t>
      </w:r>
      <w:r w:rsidRPr="00A270E7">
        <w:rPr>
          <w:iCs/>
        </w:rPr>
        <w:tab/>
      </w:r>
      <w:r w:rsidRPr="00A270E7">
        <w:rPr>
          <w:i/>
          <w:iCs/>
        </w:rPr>
        <w:t>Система холодопроизводительности и теплопроизводительности зависит как минимум от двух источников энергии, из которых один:</w:t>
      </w:r>
    </w:p>
    <w:p w14:paraId="67A1B61D" w14:textId="77777777" w:rsidR="00FF68E1" w:rsidRPr="008910EB" w:rsidRDefault="00FF68E1" w:rsidP="00FF68E1">
      <w:pPr>
        <w:pStyle w:val="Bullet2G"/>
        <w:numPr>
          <w:ilvl w:val="0"/>
          <w:numId w:val="0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ind w:left="2818" w:hanging="1108"/>
        <w:rPr>
          <w:i/>
          <w:iCs/>
        </w:rPr>
      </w:pPr>
      <w:r w:rsidRPr="008910EB">
        <w:rPr>
          <w:rFonts w:ascii="Wingdings" w:hAnsi="Wingdings"/>
          <w:iCs/>
        </w:rPr>
        <w:t></w:t>
      </w:r>
      <w:r w:rsidRPr="008910EB">
        <w:rPr>
          <w:rFonts w:ascii="Wingdings" w:hAnsi="Wingdings"/>
          <w:iCs/>
        </w:rPr>
        <w:tab/>
      </w:r>
      <w:r>
        <w:rPr>
          <w:i/>
          <w:iCs/>
        </w:rPr>
        <w:t>в</w:t>
      </w:r>
      <w:r w:rsidRPr="008910EB">
        <w:rPr>
          <w:i/>
          <w:iCs/>
        </w:rPr>
        <w:t>сегда в наличии;</w:t>
      </w:r>
    </w:p>
    <w:p w14:paraId="41D4559F" w14:textId="77777777" w:rsidR="00FF68E1" w:rsidRPr="008910EB" w:rsidRDefault="00FF68E1" w:rsidP="00FF68E1">
      <w:pPr>
        <w:pStyle w:val="Bullet2G"/>
        <w:numPr>
          <w:ilvl w:val="0"/>
          <w:numId w:val="0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napToGrid w:val="0"/>
        <w:ind w:left="2250" w:hanging="540"/>
        <w:rPr>
          <w:i/>
          <w:iCs/>
        </w:rPr>
      </w:pPr>
      <w:r w:rsidRPr="008910EB">
        <w:rPr>
          <w:rFonts w:ascii="Wingdings" w:hAnsi="Wingdings"/>
          <w:iCs/>
        </w:rPr>
        <w:t></w:t>
      </w:r>
      <w:r w:rsidRPr="008910EB">
        <w:rPr>
          <w:rFonts w:ascii="Wingdings" w:hAnsi="Wingdings"/>
          <w:iCs/>
        </w:rPr>
        <w:tab/>
      </w:r>
      <w:r>
        <w:rPr>
          <w:i/>
          <w:iCs/>
        </w:rPr>
        <w:t>р</w:t>
      </w:r>
      <w:r w:rsidRPr="008910EB">
        <w:rPr>
          <w:i/>
          <w:iCs/>
        </w:rPr>
        <w:t>аботает безостановочно, за исключением случаев устройств, имеющих непосредственное отношение к безопасности имущества или людей;</w:t>
      </w:r>
    </w:p>
    <w:p w14:paraId="09E57B7F" w14:textId="77777777" w:rsidR="00FF68E1" w:rsidRPr="00A270E7" w:rsidRDefault="00FF68E1" w:rsidP="00FF68E1">
      <w:pPr>
        <w:pStyle w:val="SingleTxtG"/>
        <w:rPr>
          <w:i/>
          <w:iCs/>
        </w:rPr>
      </w:pPr>
      <w:r>
        <w:rPr>
          <w:i/>
          <w:iCs/>
        </w:rPr>
        <w:t>–</w:t>
      </w:r>
      <w:r w:rsidRPr="008910EB">
        <w:rPr>
          <w:i/>
          <w:iCs/>
        </w:rPr>
        <w:tab/>
      </w:r>
      <w:r w:rsidRPr="00A270E7">
        <w:rPr>
          <w:i/>
          <w:iCs/>
        </w:rPr>
        <w:t xml:space="preserve">Система холодопроизводительности и теплопроизводительности способна функционировать на полную мощность в течение 2 часов в самом низком режиме от </w:t>
      </w:r>
      <w:r>
        <w:rPr>
          <w:i/>
          <w:iCs/>
        </w:rPr>
        <w:t>своего источника энергии, но</w:t>
      </w:r>
      <w:r w:rsidR="00B85588">
        <w:rPr>
          <w:i/>
          <w:iCs/>
        </w:rPr>
        <w:t>,</w:t>
      </w:r>
      <w:r>
        <w:rPr>
          <w:i/>
          <w:iCs/>
        </w:rPr>
        <w:t xml:space="preserve"> тем</w:t>
      </w:r>
      <w:r w:rsidRPr="00A270E7">
        <w:rPr>
          <w:i/>
          <w:iCs/>
        </w:rPr>
        <w:t xml:space="preserve"> не менее</w:t>
      </w:r>
      <w:r w:rsidR="00B85588">
        <w:rPr>
          <w:i/>
          <w:iCs/>
        </w:rPr>
        <w:t>,</w:t>
      </w:r>
      <w:r w:rsidRPr="00A270E7">
        <w:rPr>
          <w:i/>
          <w:iCs/>
        </w:rPr>
        <w:t xml:space="preserve"> без необходимости подзарядки.</w:t>
      </w:r>
    </w:p>
    <w:p w14:paraId="43BF7C98" w14:textId="77777777" w:rsidR="00FF68E1" w:rsidRPr="005540C6" w:rsidRDefault="00FF68E1" w:rsidP="00FF68E1">
      <w:pPr>
        <w:pStyle w:val="SingleTxtG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Подлежит включению в справочник СПС:</w:t>
      </w:r>
    </w:p>
    <w:p w14:paraId="241BBBAC" w14:textId="77777777" w:rsidR="00FF68E1" w:rsidRPr="005540C6" w:rsidRDefault="00FF68E1" w:rsidP="00FF68E1">
      <w:pPr>
        <w:pStyle w:val="SingleTxtG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Незначительным временем зарядки считается любая операция по подзарядке энергоемкости, занимающая менее одного часа.</w:t>
      </w:r>
    </w:p>
    <w:p w14:paraId="56FB70E7" w14:textId="77777777" w:rsidR="00FF68E1" w:rsidRPr="005540C6" w:rsidRDefault="00FF68E1" w:rsidP="00FF68E1">
      <w:pPr>
        <w:pStyle w:val="SingleTxtG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Если компетентный орган намерен определить с помощью соответствующего математического метода продолжительность времени поддержания температуры, предусмотренной для данного класса транспортных средств, то в этом случае ему необходимо будет лишь принять во внимание тот факт, что системы холодопроизводительности и теплопроизводительности работают в номинальном режиме, указанном в протоколах испытаний СПС.</w:t>
      </w:r>
    </w:p>
    <w:p w14:paraId="07272956" w14:textId="77777777" w:rsidR="00FF68E1" w:rsidRPr="00A16D5D" w:rsidRDefault="00FF68E1" w:rsidP="00FF68E1">
      <w:pPr>
        <w:pStyle w:val="SingleTxtG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  <w:t>В тех случаях, когда системы холодопроизводительности и теплопроизводительности обеспечивают такую возможность, регулирование мощности можно производить методом переходов на рабочий режим в виде циклов «включение/выключение».</w:t>
      </w:r>
      <w:r>
        <w:t xml:space="preserve"> </w:t>
      </w:r>
      <w:r w:rsidRPr="00A16D5D">
        <w:rPr>
          <w:i/>
          <w:iCs/>
        </w:rPr>
        <w:t>В противном случае необходимо учитывать только такие факторы, как номинальная мощность на требуемое время работы или номинальная мощность на требуемую температуру.</w:t>
      </w:r>
    </w:p>
    <w:p w14:paraId="04696C70" w14:textId="3D5AF2F3" w:rsidR="00FF68E1" w:rsidRPr="005540C6" w:rsidRDefault="001B5D05" w:rsidP="00FF68E1">
      <w:pPr>
        <w:pStyle w:val="SingleTxtG"/>
        <w:rPr>
          <w:b/>
          <w:bCs/>
          <w:i/>
          <w:iCs/>
        </w:rPr>
      </w:pPr>
      <w:r>
        <w:rPr>
          <w:b/>
          <w:bCs/>
          <w:i/>
          <w:iCs/>
        </w:rPr>
        <w:tab/>
      </w:r>
      <w:r w:rsidR="00FF68E1">
        <w:rPr>
          <w:b/>
          <w:bCs/>
          <w:i/>
          <w:iCs/>
        </w:rPr>
        <w:t>В других случаях транспортное средство не является автономным.</w:t>
      </w:r>
    </w:p>
    <w:p w14:paraId="5B71ADE6" w14:textId="77777777" w:rsidR="00FF68E1" w:rsidRPr="00EC3D88" w:rsidRDefault="00FF68E1" w:rsidP="00FF68E1">
      <w:pPr>
        <w:pStyle w:val="HChG"/>
      </w:pPr>
      <w:r>
        <w:tab/>
        <w:t>II.</w:t>
      </w:r>
      <w:r>
        <w:tab/>
      </w:r>
      <w:r w:rsidRPr="00C10E05">
        <w:t>Обоснование</w:t>
      </w:r>
    </w:p>
    <w:p w14:paraId="332926A6" w14:textId="77777777" w:rsidR="00FF68E1" w:rsidRPr="005540C6" w:rsidRDefault="00FF68E1" w:rsidP="00FF68E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5540C6">
        <w:t>7.</w:t>
      </w:r>
      <w:r w:rsidRPr="005540C6">
        <w:tab/>
      </w:r>
      <w:r>
        <w:t>Технологический прогресс в области систем холодопроизводительности и теплопроизводительности свидетельствует о необходимости пересмотра понятия автономности оборудования, подпадающего под действие СПС.</w:t>
      </w:r>
    </w:p>
    <w:p w14:paraId="4CBC7CD4" w14:textId="77777777" w:rsidR="00FF68E1" w:rsidRPr="00C10E05" w:rsidRDefault="00FF68E1" w:rsidP="00FF68E1">
      <w:pPr>
        <w:pStyle w:val="HChG"/>
      </w:pPr>
      <w:r>
        <w:tab/>
        <w:t>III.</w:t>
      </w:r>
      <w:r>
        <w:tab/>
        <w:t>Затраты</w:t>
      </w:r>
    </w:p>
    <w:p w14:paraId="760DB8A3" w14:textId="77777777" w:rsidR="00FF68E1" w:rsidRPr="005540C6" w:rsidRDefault="00FF68E1" w:rsidP="00FF68E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5540C6">
        <w:t>8.</w:t>
      </w:r>
      <w:r w:rsidRPr="005540C6">
        <w:tab/>
      </w:r>
      <w:r>
        <w:t>Какие-либо дополнительные затраты как для официальных испытательных станций СПС, так и для изготовителей, которые должны располагать на основании этих предложений соответствующими дополнительными параметрами, необходимыми для их производственной деятельности, не предвидятся.</w:t>
      </w:r>
    </w:p>
    <w:p w14:paraId="07714D70" w14:textId="77777777" w:rsidR="00FF68E1" w:rsidRDefault="00FF68E1" w:rsidP="00FF68E1">
      <w:pPr>
        <w:pStyle w:val="HChG"/>
        <w:tabs>
          <w:tab w:val="left" w:pos="1642"/>
          <w:tab w:val="right" w:pos="1757"/>
        </w:tabs>
      </w:pPr>
      <w:r>
        <w:tab/>
        <w:t>IV.</w:t>
      </w:r>
      <w:r>
        <w:tab/>
      </w:r>
      <w:r>
        <w:rPr>
          <w:bCs/>
        </w:rPr>
        <w:t>Осуществимость</w:t>
      </w:r>
    </w:p>
    <w:p w14:paraId="20B47DDB" w14:textId="77777777" w:rsidR="00FF68E1" w:rsidRPr="005540C6" w:rsidRDefault="00FF68E1" w:rsidP="00FF68E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5540C6">
        <w:t>9.</w:t>
      </w:r>
      <w:r w:rsidRPr="005540C6">
        <w:tab/>
      </w:r>
      <w:r>
        <w:t>Никаких дополнительных ограничений для официальных испытательных станций СПС нет.</w:t>
      </w:r>
    </w:p>
    <w:p w14:paraId="474D0EED" w14:textId="77777777" w:rsidR="00FF68E1" w:rsidRDefault="00FF68E1" w:rsidP="00FF68E1">
      <w:pPr>
        <w:pStyle w:val="HChG"/>
      </w:pPr>
      <w:r>
        <w:tab/>
        <w:t>V.</w:t>
      </w:r>
      <w:r>
        <w:tab/>
      </w:r>
      <w:r>
        <w:rPr>
          <w:bCs/>
        </w:rPr>
        <w:t>Применимость</w:t>
      </w:r>
    </w:p>
    <w:p w14:paraId="7242882A" w14:textId="77777777" w:rsidR="00FF68E1" w:rsidRPr="005540C6" w:rsidRDefault="00FF68E1" w:rsidP="00FF68E1">
      <w:pPr>
        <w:pStyle w:val="SingleTxtG"/>
        <w:kinsoku w:val="0"/>
        <w:overflowPunct w:val="0"/>
        <w:autoSpaceDE w:val="0"/>
        <w:autoSpaceDN w:val="0"/>
        <w:adjustRightInd w:val="0"/>
        <w:snapToGrid w:val="0"/>
      </w:pPr>
      <w:r w:rsidRPr="005540C6">
        <w:t>10.</w:t>
      </w:r>
      <w:r w:rsidRPr="005540C6">
        <w:tab/>
      </w:r>
      <w:r>
        <w:t>Никаких проблем с реализацией данного предложения не ожидается.</w:t>
      </w:r>
    </w:p>
    <w:p w14:paraId="7D6EACF0" w14:textId="77777777" w:rsidR="00FF68E1" w:rsidRPr="005540C6" w:rsidRDefault="00FF68E1" w:rsidP="00FF68E1">
      <w:pPr>
        <w:pStyle w:val="HChG"/>
      </w:pPr>
      <w:r>
        <w:lastRenderedPageBreak/>
        <w:tab/>
        <w:t>VI.</w:t>
      </w:r>
      <w:r>
        <w:tab/>
      </w:r>
      <w:r>
        <w:rPr>
          <w:bCs/>
        </w:rPr>
        <w:t>Применение данного предлагаемого изменения к СПС</w:t>
      </w:r>
    </w:p>
    <w:p w14:paraId="19ED72CB" w14:textId="77777777" w:rsidR="00FF68E1" w:rsidRPr="00E409C9" w:rsidRDefault="00FF68E1" w:rsidP="00FF68E1">
      <w:pPr>
        <w:pStyle w:val="SingleTxtG"/>
      </w:pPr>
      <w:r>
        <w:t>11.</w:t>
      </w:r>
      <w:r>
        <w:tab/>
        <w:t>Соответствующая часть СПС: приложение 1.</w:t>
      </w:r>
    </w:p>
    <w:p w14:paraId="4559961C" w14:textId="77777777" w:rsidR="00FF68E1" w:rsidRDefault="00FF68E1" w:rsidP="00FF68E1">
      <w:pPr>
        <w:pStyle w:val="SingleTxtG"/>
        <w:rPr>
          <w:i/>
        </w:rPr>
      </w:pPr>
      <w:r>
        <w:rPr>
          <w:i/>
        </w:rPr>
        <w:tab/>
      </w:r>
      <w:r>
        <w:rPr>
          <w:i/>
        </w:rPr>
        <w:tab/>
      </w:r>
      <w:r w:rsidRPr="00C10E05">
        <w:rPr>
          <w:i/>
        </w:rPr>
        <w:t xml:space="preserve">Включение определения </w:t>
      </w:r>
      <w:r>
        <w:rPr>
          <w:i/>
        </w:rPr>
        <w:t>«</w:t>
      </w:r>
      <w:r w:rsidRPr="00C10E05">
        <w:rPr>
          <w:i/>
        </w:rPr>
        <w:t>автономность</w:t>
      </w:r>
      <w:r>
        <w:rPr>
          <w:i/>
        </w:rPr>
        <w:t>»</w:t>
      </w:r>
      <w:r w:rsidRPr="00C10E05">
        <w:rPr>
          <w:i/>
        </w:rPr>
        <w:t xml:space="preserve"> транспортного средства в соответствии с пунктом </w:t>
      </w:r>
      <w:r w:rsidRPr="00C10E05">
        <w:rPr>
          <w:i/>
          <w:lang w:val="fr-FR"/>
        </w:rPr>
        <w:t>I</w:t>
      </w:r>
      <w:r w:rsidRPr="00C10E05">
        <w:rPr>
          <w:i/>
        </w:rPr>
        <w:t>.</w:t>
      </w:r>
    </w:p>
    <w:p w14:paraId="18E08B23" w14:textId="77777777" w:rsidR="00FF68E1" w:rsidRPr="00C10E05" w:rsidRDefault="00FF68E1" w:rsidP="00FF68E1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4684D2" w14:textId="77777777" w:rsidR="00E12C5F" w:rsidRPr="008D53B6" w:rsidRDefault="00E12C5F" w:rsidP="00D9145B"/>
    <w:sectPr w:rsidR="00E12C5F" w:rsidRPr="008D53B6" w:rsidSect="00612286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3F35F" w14:textId="77777777" w:rsidR="006A3C84" w:rsidRPr="00A312BC" w:rsidRDefault="006A3C84" w:rsidP="00A312BC"/>
  </w:endnote>
  <w:endnote w:type="continuationSeparator" w:id="0">
    <w:p w14:paraId="13163694" w14:textId="77777777" w:rsidR="006A3C84" w:rsidRPr="00A312BC" w:rsidRDefault="006A3C8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00644" w14:textId="3C0379BA" w:rsidR="00612286" w:rsidRPr="00612286" w:rsidRDefault="00612286">
    <w:pPr>
      <w:pStyle w:val="Footer"/>
    </w:pPr>
    <w:r w:rsidRPr="00612286">
      <w:rPr>
        <w:b/>
        <w:sz w:val="18"/>
      </w:rPr>
      <w:fldChar w:fldCharType="begin"/>
    </w:r>
    <w:r w:rsidRPr="00612286">
      <w:rPr>
        <w:b/>
        <w:sz w:val="18"/>
      </w:rPr>
      <w:instrText xml:space="preserve"> PAGE  \* MERGEFORMAT </w:instrText>
    </w:r>
    <w:r w:rsidRPr="00612286">
      <w:rPr>
        <w:b/>
        <w:sz w:val="18"/>
      </w:rPr>
      <w:fldChar w:fldCharType="separate"/>
    </w:r>
    <w:r w:rsidR="00812284">
      <w:rPr>
        <w:b/>
        <w:noProof/>
        <w:sz w:val="18"/>
      </w:rPr>
      <w:t>4</w:t>
    </w:r>
    <w:r w:rsidRPr="00612286">
      <w:rPr>
        <w:b/>
        <w:sz w:val="18"/>
      </w:rPr>
      <w:fldChar w:fldCharType="end"/>
    </w:r>
    <w:r>
      <w:rPr>
        <w:b/>
        <w:sz w:val="18"/>
      </w:rPr>
      <w:tab/>
    </w:r>
    <w:r>
      <w:t>GE.20-01072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2A83CD" w14:textId="01106A90" w:rsidR="00612286" w:rsidRPr="00612286" w:rsidRDefault="00612286" w:rsidP="00612286">
    <w:pPr>
      <w:pStyle w:val="Footer"/>
      <w:tabs>
        <w:tab w:val="clear" w:pos="9639"/>
        <w:tab w:val="right" w:pos="9638"/>
      </w:tabs>
      <w:rPr>
        <w:b/>
        <w:sz w:val="18"/>
      </w:rPr>
    </w:pPr>
    <w:r>
      <w:t>GE.20-01072</w:t>
    </w:r>
    <w:r>
      <w:tab/>
    </w:r>
    <w:r w:rsidRPr="00612286">
      <w:rPr>
        <w:b/>
        <w:sz w:val="18"/>
      </w:rPr>
      <w:fldChar w:fldCharType="begin"/>
    </w:r>
    <w:r w:rsidRPr="00612286">
      <w:rPr>
        <w:b/>
        <w:sz w:val="18"/>
      </w:rPr>
      <w:instrText xml:space="preserve"> PAGE  \* MERGEFORMAT </w:instrText>
    </w:r>
    <w:r w:rsidRPr="00612286">
      <w:rPr>
        <w:b/>
        <w:sz w:val="18"/>
      </w:rPr>
      <w:fldChar w:fldCharType="separate"/>
    </w:r>
    <w:r w:rsidR="00812284">
      <w:rPr>
        <w:b/>
        <w:noProof/>
        <w:sz w:val="18"/>
      </w:rPr>
      <w:t>3</w:t>
    </w:r>
    <w:r w:rsidRPr="0061228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03BAF" w14:textId="77777777" w:rsidR="00042B72" w:rsidRPr="00612286" w:rsidRDefault="00612286" w:rsidP="00612286">
    <w:pPr>
      <w:spacing w:before="120" w:line="240" w:lineRule="auto"/>
    </w:pPr>
    <w:r>
      <w:t>GE.</w:t>
    </w:r>
    <w:r w:rsidR="00DF71B9">
      <w:rPr>
        <w:b/>
        <w:noProof/>
        <w:lang w:val="en-US"/>
      </w:rPr>
      <w:drawing>
        <wp:anchor distT="0" distB="0" distL="114300" distR="114300" simplePos="0" relativeHeight="251658240" behindDoc="0" locked="0" layoutInCell="1" allowOverlap="1" wp14:anchorId="74B1DA15" wp14:editId="66084120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20-01072  (R)</w:t>
    </w:r>
    <w:r w:rsidR="00FF68E1">
      <w:t xml:space="preserve">  310120  030220</w:t>
    </w:r>
    <w:r>
      <w:br/>
    </w:r>
    <w:r w:rsidRPr="00612286">
      <w:rPr>
        <w:rFonts w:ascii="C39T30Lfz" w:hAnsi="C39T30Lfz"/>
        <w:kern w:val="14"/>
        <w:sz w:val="56"/>
      </w:rPr>
      <w:t></w:t>
    </w:r>
    <w:r w:rsidRPr="00612286">
      <w:rPr>
        <w:rFonts w:ascii="C39T30Lfz" w:hAnsi="C39T30Lfz"/>
        <w:kern w:val="14"/>
        <w:sz w:val="56"/>
      </w:rPr>
      <w:t></w:t>
    </w:r>
    <w:r w:rsidRPr="00612286">
      <w:rPr>
        <w:rFonts w:ascii="C39T30Lfz" w:hAnsi="C39T30Lfz"/>
        <w:kern w:val="14"/>
        <w:sz w:val="56"/>
      </w:rPr>
      <w:t></w:t>
    </w:r>
    <w:r w:rsidRPr="00612286">
      <w:rPr>
        <w:rFonts w:ascii="C39T30Lfz" w:hAnsi="C39T30Lfz"/>
        <w:kern w:val="14"/>
        <w:sz w:val="56"/>
      </w:rPr>
      <w:t></w:t>
    </w:r>
    <w:r w:rsidRPr="00612286">
      <w:rPr>
        <w:rFonts w:ascii="C39T30Lfz" w:hAnsi="C39T30Lfz"/>
        <w:kern w:val="14"/>
        <w:sz w:val="56"/>
      </w:rPr>
      <w:t></w:t>
    </w:r>
    <w:r w:rsidRPr="00612286">
      <w:rPr>
        <w:rFonts w:ascii="C39T30Lfz" w:hAnsi="C39T30Lfz"/>
        <w:kern w:val="14"/>
        <w:sz w:val="56"/>
      </w:rPr>
      <w:t></w:t>
    </w:r>
    <w:r w:rsidRPr="00612286">
      <w:rPr>
        <w:rFonts w:ascii="C39T30Lfz" w:hAnsi="C39T30Lfz"/>
        <w:kern w:val="14"/>
        <w:sz w:val="56"/>
      </w:rPr>
      <w:t></w:t>
    </w:r>
    <w:r w:rsidRPr="00612286">
      <w:rPr>
        <w:rFonts w:ascii="C39T30Lfz" w:hAnsi="C39T30Lfz"/>
        <w:kern w:val="14"/>
        <w:sz w:val="56"/>
      </w:rPr>
      <w:t></w:t>
    </w:r>
    <w:r w:rsidRPr="00612286">
      <w:rPr>
        <w:rFonts w:ascii="C39T30Lfz" w:hAnsi="C39T30Lfz"/>
        <w:kern w:val="14"/>
        <w:sz w:val="56"/>
      </w:rPr>
      <w:t></w: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8031700" wp14:editId="0996354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TRANS/WP.11/2020/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1/2020/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862B5" w14:textId="77777777" w:rsidR="006A3C84" w:rsidRPr="001075E9" w:rsidRDefault="006A3C8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A50502" w14:textId="77777777" w:rsidR="006A3C84" w:rsidRDefault="006A3C8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053F1" w14:textId="6416F788" w:rsidR="00612286" w:rsidRPr="00612286" w:rsidRDefault="00812284">
    <w:pPr>
      <w:pStyle w:val="Header"/>
    </w:pPr>
    <w:fldSimple w:instr=" TITLE  \* MERGEFORMAT ">
      <w:r>
        <w:t>ECE/TRANS/WP.11/2020/1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96974" w14:textId="3B3EBEAD" w:rsidR="00612286" w:rsidRPr="00612286" w:rsidRDefault="00812284" w:rsidP="00612286">
    <w:pPr>
      <w:pStyle w:val="Header"/>
      <w:jc w:val="right"/>
    </w:pPr>
    <w:fldSimple w:instr=" TITLE  \* MERGEFORMAT ">
      <w:r>
        <w:t>ECE/TRANS/WP.11/2020/1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 w:numId="22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3C84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B5D05"/>
    <w:rsid w:val="001C7A89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5580B"/>
    <w:rsid w:val="00472C5C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D7914"/>
    <w:rsid w:val="005E2B41"/>
    <w:rsid w:val="005F0B42"/>
    <w:rsid w:val="00612286"/>
    <w:rsid w:val="00617A43"/>
    <w:rsid w:val="006345DB"/>
    <w:rsid w:val="00640F49"/>
    <w:rsid w:val="00680D03"/>
    <w:rsid w:val="00681A10"/>
    <w:rsid w:val="00687FBA"/>
    <w:rsid w:val="006A1ED8"/>
    <w:rsid w:val="006A3C84"/>
    <w:rsid w:val="006C2031"/>
    <w:rsid w:val="006D461A"/>
    <w:rsid w:val="006F35EE"/>
    <w:rsid w:val="007021FF"/>
    <w:rsid w:val="00712895"/>
    <w:rsid w:val="00734ACB"/>
    <w:rsid w:val="00757357"/>
    <w:rsid w:val="00776155"/>
    <w:rsid w:val="00792497"/>
    <w:rsid w:val="00806737"/>
    <w:rsid w:val="00812284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85588"/>
    <w:rsid w:val="00BA3401"/>
    <w:rsid w:val="00BC18B2"/>
    <w:rsid w:val="00BC2389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C5230"/>
    <w:rsid w:val="00CE5A1A"/>
    <w:rsid w:val="00CF55F6"/>
    <w:rsid w:val="00D2305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076A8"/>
    <w:rsid w:val="00F2523A"/>
    <w:rsid w:val="00F43903"/>
    <w:rsid w:val="00F94155"/>
    <w:rsid w:val="00F9783F"/>
    <w:rsid w:val="00FD2EF7"/>
    <w:rsid w:val="00FE447E"/>
    <w:rsid w:val="00FF2E39"/>
    <w:rsid w:val="00FF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B75F3C"/>
  <w15:docId w15:val="{837862E8-B164-4674-9515-5029B37E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C71E84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617A43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617A43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617A43"/>
    <w:rPr>
      <w:sz w:val="16"/>
      <w:lang w:val="en-GB" w:eastAsia="ru-RU"/>
    </w:rPr>
  </w:style>
  <w:style w:type="character" w:styleId="FootnoteReference">
    <w:name w:val="footnote reference"/>
    <w:aliases w:val="4_G"/>
    <w:basedOn w:val="DefaultParagraphFont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"/>
    <w:basedOn w:val="Normal"/>
    <w:link w:val="FootnoteTextChar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617A43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617A43"/>
  </w:style>
  <w:style w:type="character" w:customStyle="1" w:styleId="EndnoteTextChar">
    <w:name w:val="Endnote Text Char"/>
    <w:aliases w:val="2_G Char"/>
    <w:basedOn w:val="DefaultParagraphFont"/>
    <w:link w:val="EndnoteText"/>
    <w:rsid w:val="00617A43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617A43"/>
    <w:rPr>
      <w:rFonts w:cs="Arial"/>
      <w:b/>
      <w:bCs/>
      <w:szCs w:val="32"/>
      <w:lang w:val="ru-RU" w:eastAsia="ru-RU"/>
    </w:rPr>
  </w:style>
  <w:style w:type="character" w:styleId="Hyperlink">
    <w:name w:val="Hyperlink"/>
    <w:basedOn w:val="DefaultParagraphFont"/>
    <w:rsid w:val="00617A43"/>
    <w:rPr>
      <w:color w:val="0000FF" w:themeColor="hyperlink"/>
      <w:u w:val="none"/>
    </w:rPr>
  </w:style>
  <w:style w:type="character" w:styleId="FollowedHyperlink">
    <w:name w:val="FollowedHyperlink"/>
    <w:basedOn w:val="DefaultParagraphFont"/>
    <w:rsid w:val="00617A43"/>
    <w:rPr>
      <w:color w:val="800080" w:themeColor="followedHyperlink"/>
      <w:u w:val="none"/>
    </w:rPr>
  </w:style>
  <w:style w:type="paragraph" w:customStyle="1" w:styleId="Standard">
    <w:name w:val="Standard"/>
    <w:rsid w:val="00FF68E1"/>
    <w:pPr>
      <w:suppressAutoHyphens/>
      <w:autoSpaceDN w:val="0"/>
      <w:snapToGrid w:val="0"/>
      <w:spacing w:line="240" w:lineRule="atLeast"/>
      <w:textAlignment w:val="baseline"/>
    </w:pPr>
    <w:rPr>
      <w:rFonts w:eastAsia="Calibri"/>
      <w:kern w:val="3"/>
      <w:lang w:val="fr-CH" w:eastAsia="en-US"/>
    </w:rPr>
  </w:style>
  <w:style w:type="character" w:customStyle="1" w:styleId="SingleTxtGChar">
    <w:name w:val="_ Single Txt_G Char"/>
    <w:link w:val="SingleTxtG"/>
    <w:rsid w:val="00FF68E1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5754</Characters>
  <Application>Microsoft Office Word</Application>
  <DocSecurity>0</DocSecurity>
  <Lines>47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ECE/TRANS/WP.11/2020/1</vt:lpstr>
      <vt:lpstr>ECE/TRANS/WP.11/2020/1</vt:lpstr>
      <vt:lpstr>A/</vt:lpstr>
    </vt:vector>
  </TitlesOfParts>
  <Company>DCM</Company>
  <LinksUpToDate>false</LinksUpToDate>
  <CharactersWithSpaces>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ECE/TRANS/WP.11/2020/1</dc:title>
  <dc:subject/>
  <dc:creator>Uliana ANTIPOVA</dc:creator>
  <cp:keywords/>
  <cp:lastModifiedBy>Lucille Caillot</cp:lastModifiedBy>
  <cp:revision>2</cp:revision>
  <cp:lastPrinted>2020-02-03T12:04:00Z</cp:lastPrinted>
  <dcterms:created xsi:type="dcterms:W3CDTF">2020-02-07T10:07:00Z</dcterms:created>
  <dcterms:modified xsi:type="dcterms:W3CDTF">2020-02-07T10:07:00Z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