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3C40FE" w:rsidTr="000D1B89">
        <w:trPr>
          <w:cantSplit/>
          <w:trHeight w:hRule="exact" w:val="851"/>
        </w:trPr>
        <w:tc>
          <w:tcPr>
            <w:tcW w:w="1276" w:type="dxa"/>
            <w:tcBorders>
              <w:bottom w:val="single" w:sz="4" w:space="0" w:color="auto"/>
            </w:tcBorders>
            <w:vAlign w:val="bottom"/>
          </w:tcPr>
          <w:p w:rsidR="00717266" w:rsidRPr="003C40FE" w:rsidRDefault="00717266" w:rsidP="000D1B89">
            <w:pPr>
              <w:spacing w:after="80"/>
            </w:pPr>
          </w:p>
        </w:tc>
        <w:tc>
          <w:tcPr>
            <w:tcW w:w="2268" w:type="dxa"/>
            <w:tcBorders>
              <w:bottom w:val="single" w:sz="4" w:space="0" w:color="auto"/>
            </w:tcBorders>
            <w:vAlign w:val="bottom"/>
          </w:tcPr>
          <w:p w:rsidR="00717266" w:rsidRPr="003C40FE" w:rsidRDefault="00717266" w:rsidP="000D1B89">
            <w:pPr>
              <w:spacing w:after="80" w:line="300" w:lineRule="exact"/>
              <w:rPr>
                <w:b/>
                <w:sz w:val="24"/>
                <w:szCs w:val="24"/>
              </w:rPr>
            </w:pPr>
            <w:r w:rsidRPr="003C40FE">
              <w:rPr>
                <w:sz w:val="28"/>
                <w:szCs w:val="28"/>
              </w:rPr>
              <w:t>United Nations</w:t>
            </w:r>
          </w:p>
        </w:tc>
        <w:tc>
          <w:tcPr>
            <w:tcW w:w="6095" w:type="dxa"/>
            <w:gridSpan w:val="2"/>
            <w:tcBorders>
              <w:bottom w:val="single" w:sz="4" w:space="0" w:color="auto"/>
            </w:tcBorders>
            <w:vAlign w:val="bottom"/>
          </w:tcPr>
          <w:p w:rsidR="00717266" w:rsidRPr="003C40FE" w:rsidRDefault="00792D42" w:rsidP="00792D42">
            <w:pPr>
              <w:suppressAutoHyphens w:val="0"/>
              <w:spacing w:after="20"/>
              <w:jc w:val="right"/>
            </w:pPr>
            <w:r w:rsidRPr="003C40FE">
              <w:rPr>
                <w:sz w:val="40"/>
              </w:rPr>
              <w:t>ECE</w:t>
            </w:r>
            <w:r w:rsidRPr="003C40FE">
              <w:t>/TRANS/WP.11/2020/1</w:t>
            </w:r>
          </w:p>
        </w:tc>
      </w:tr>
      <w:tr w:rsidR="00717266" w:rsidRPr="003C40FE" w:rsidTr="000D1B89">
        <w:trPr>
          <w:cantSplit/>
          <w:trHeight w:hRule="exact" w:val="2835"/>
        </w:trPr>
        <w:tc>
          <w:tcPr>
            <w:tcW w:w="1276" w:type="dxa"/>
            <w:tcBorders>
              <w:top w:val="single" w:sz="4" w:space="0" w:color="auto"/>
              <w:bottom w:val="single" w:sz="12" w:space="0" w:color="auto"/>
            </w:tcBorders>
          </w:tcPr>
          <w:p w:rsidR="00717266" w:rsidRPr="003C40FE" w:rsidRDefault="00717266" w:rsidP="000D1B89">
            <w:pPr>
              <w:spacing w:before="120"/>
            </w:pPr>
            <w:r w:rsidRPr="003C40FE">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3C40FE" w:rsidRDefault="00717266" w:rsidP="000D1B89">
            <w:pPr>
              <w:spacing w:before="120" w:line="420" w:lineRule="exact"/>
              <w:rPr>
                <w:sz w:val="40"/>
                <w:szCs w:val="40"/>
              </w:rPr>
            </w:pPr>
            <w:r w:rsidRPr="003C40FE">
              <w:rPr>
                <w:b/>
                <w:sz w:val="40"/>
                <w:szCs w:val="40"/>
              </w:rPr>
              <w:t>Economic and Social Council</w:t>
            </w:r>
          </w:p>
        </w:tc>
        <w:tc>
          <w:tcPr>
            <w:tcW w:w="2835" w:type="dxa"/>
            <w:tcBorders>
              <w:top w:val="single" w:sz="4" w:space="0" w:color="auto"/>
              <w:bottom w:val="single" w:sz="12" w:space="0" w:color="auto"/>
            </w:tcBorders>
          </w:tcPr>
          <w:p w:rsidR="00717266" w:rsidRPr="003C40FE" w:rsidRDefault="00792D42" w:rsidP="00792D42">
            <w:pPr>
              <w:spacing w:before="240"/>
            </w:pPr>
            <w:r w:rsidRPr="003C40FE">
              <w:t>Distr.: General</w:t>
            </w:r>
          </w:p>
          <w:p w:rsidR="00792D42" w:rsidRPr="003C40FE" w:rsidRDefault="00792D42" w:rsidP="00792D42">
            <w:pPr>
              <w:suppressAutoHyphens w:val="0"/>
            </w:pPr>
            <w:r w:rsidRPr="003C40FE">
              <w:t>24 January 2020</w:t>
            </w:r>
          </w:p>
          <w:p w:rsidR="00792D42" w:rsidRPr="003C40FE" w:rsidRDefault="00792D42" w:rsidP="00792D42">
            <w:pPr>
              <w:suppressAutoHyphens w:val="0"/>
            </w:pPr>
            <w:r w:rsidRPr="003C40FE">
              <w:t>English</w:t>
            </w:r>
          </w:p>
          <w:p w:rsidR="00792D42" w:rsidRPr="003C40FE" w:rsidRDefault="00792D42" w:rsidP="00792D42">
            <w:pPr>
              <w:suppressAutoHyphens w:val="0"/>
            </w:pPr>
            <w:r w:rsidRPr="003C40FE">
              <w:t>Original: French</w:t>
            </w:r>
          </w:p>
        </w:tc>
      </w:tr>
    </w:tbl>
    <w:p w:rsidR="00792D42" w:rsidRPr="003C40FE" w:rsidRDefault="00792D42" w:rsidP="00792D42">
      <w:pPr>
        <w:spacing w:before="120"/>
        <w:rPr>
          <w:b/>
          <w:sz w:val="28"/>
          <w:szCs w:val="28"/>
        </w:rPr>
      </w:pPr>
      <w:r w:rsidRPr="003C40FE">
        <w:rPr>
          <w:b/>
          <w:bCs/>
          <w:sz w:val="28"/>
          <w:szCs w:val="28"/>
        </w:rPr>
        <w:t>Economic Commission for Europe</w:t>
      </w:r>
    </w:p>
    <w:p w:rsidR="00792D42" w:rsidRPr="003C40FE" w:rsidRDefault="00792D42" w:rsidP="00792D42">
      <w:pPr>
        <w:spacing w:before="120"/>
        <w:rPr>
          <w:b/>
          <w:bCs/>
          <w:sz w:val="24"/>
          <w:szCs w:val="24"/>
        </w:rPr>
      </w:pPr>
      <w:r w:rsidRPr="003C40FE">
        <w:rPr>
          <w:b/>
          <w:bCs/>
          <w:sz w:val="24"/>
          <w:szCs w:val="24"/>
        </w:rPr>
        <w:t>Inland Transport Committee</w:t>
      </w:r>
    </w:p>
    <w:p w:rsidR="00792D42" w:rsidRPr="003C40FE" w:rsidRDefault="00792D42" w:rsidP="00792D42">
      <w:pPr>
        <w:spacing w:before="120"/>
        <w:rPr>
          <w:b/>
          <w:sz w:val="24"/>
          <w:szCs w:val="24"/>
        </w:rPr>
      </w:pPr>
      <w:r w:rsidRPr="003C40FE">
        <w:rPr>
          <w:b/>
          <w:bCs/>
        </w:rPr>
        <w:t>Working Party on the Transport of Perishable Foodstuffs</w:t>
      </w:r>
    </w:p>
    <w:p w:rsidR="00792D42" w:rsidRPr="003C40FE" w:rsidRDefault="00792D42" w:rsidP="00792D42">
      <w:pPr>
        <w:spacing w:before="120"/>
        <w:rPr>
          <w:b/>
        </w:rPr>
      </w:pPr>
      <w:r w:rsidRPr="003C40FE">
        <w:rPr>
          <w:b/>
          <w:bCs/>
        </w:rPr>
        <w:t>Seventy-sixth session</w:t>
      </w:r>
    </w:p>
    <w:p w:rsidR="00792D42" w:rsidRPr="003C40FE" w:rsidRDefault="00792D42" w:rsidP="00792D42">
      <w:r w:rsidRPr="003C40FE">
        <w:t>Geneva, 7–9 April 2020</w:t>
      </w:r>
    </w:p>
    <w:p w:rsidR="00792D42" w:rsidRPr="003C40FE" w:rsidRDefault="00792D42" w:rsidP="00792D42">
      <w:r w:rsidRPr="003C40FE">
        <w:t>Item 6 (a) of the provisional agenda</w:t>
      </w:r>
    </w:p>
    <w:p w:rsidR="00792D42" w:rsidRPr="003C40FE" w:rsidRDefault="00792D42" w:rsidP="00792D42">
      <w:pPr>
        <w:spacing w:line="240" w:lineRule="auto"/>
        <w:rPr>
          <w:b/>
        </w:rPr>
      </w:pPr>
      <w:r w:rsidRPr="003C40FE">
        <w:rPr>
          <w:b/>
          <w:bCs/>
        </w:rPr>
        <w:t>Proposals of amendments to ATP:</w:t>
      </w:r>
      <w:r w:rsidRPr="003C40FE">
        <w:rPr>
          <w:b/>
          <w:bCs/>
        </w:rPr>
        <w:br/>
        <w:t>Pending proposals</w:t>
      </w:r>
    </w:p>
    <w:p w:rsidR="00792D42" w:rsidRPr="003C40FE" w:rsidRDefault="00792D42" w:rsidP="00792D42">
      <w:pPr>
        <w:pStyle w:val="HChG"/>
      </w:pPr>
      <w:r w:rsidRPr="003C40FE">
        <w:tab/>
      </w:r>
      <w:r w:rsidRPr="003C40FE">
        <w:tab/>
        <w:t xml:space="preserve">Definition of the independence of a unit </w:t>
      </w:r>
      <w:proofErr w:type="gramStart"/>
      <w:r w:rsidRPr="003C40FE">
        <w:t>taking into account</w:t>
      </w:r>
      <w:proofErr w:type="gramEnd"/>
      <w:r w:rsidRPr="003C40FE">
        <w:t xml:space="preserve"> mixed energy source technologies</w:t>
      </w:r>
    </w:p>
    <w:p w:rsidR="00792D42" w:rsidRPr="003C40FE" w:rsidRDefault="00792D42" w:rsidP="00792D42">
      <w:pPr>
        <w:pStyle w:val="H1G"/>
      </w:pPr>
      <w:r w:rsidRPr="003C40FE">
        <w:tab/>
      </w:r>
      <w:r w:rsidRPr="003C40FE">
        <w:tab/>
        <w:t>Transmitted by the Government of France</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F255CF" w:rsidRPr="003C40FE" w:rsidTr="00646C73">
        <w:trPr>
          <w:jc w:val="center"/>
        </w:trPr>
        <w:tc>
          <w:tcPr>
            <w:tcW w:w="9637" w:type="dxa"/>
            <w:tcBorders>
              <w:bottom w:val="nil"/>
            </w:tcBorders>
          </w:tcPr>
          <w:p w:rsidR="00F255CF" w:rsidRPr="003C40FE" w:rsidRDefault="00F255CF" w:rsidP="00646C73">
            <w:pPr>
              <w:tabs>
                <w:tab w:val="left" w:pos="255"/>
              </w:tabs>
              <w:suppressAutoHyphens w:val="0"/>
              <w:spacing w:before="240" w:after="120"/>
              <w:rPr>
                <w:sz w:val="24"/>
              </w:rPr>
            </w:pPr>
            <w:r w:rsidRPr="003C40FE">
              <w:tab/>
            </w:r>
            <w:r w:rsidRPr="003C40FE">
              <w:rPr>
                <w:i/>
                <w:sz w:val="24"/>
              </w:rPr>
              <w:t>Summary</w:t>
            </w:r>
          </w:p>
        </w:tc>
      </w:tr>
      <w:tr w:rsidR="00F255CF" w:rsidRPr="003C40FE" w:rsidTr="00646C73">
        <w:trPr>
          <w:jc w:val="center"/>
        </w:trPr>
        <w:tc>
          <w:tcPr>
            <w:tcW w:w="9637" w:type="dxa"/>
            <w:tcBorders>
              <w:top w:val="nil"/>
              <w:bottom w:val="nil"/>
            </w:tcBorders>
            <w:shd w:val="clear" w:color="auto" w:fill="auto"/>
          </w:tcPr>
          <w:p w:rsidR="00F255CF" w:rsidRPr="003C40FE" w:rsidRDefault="00F255CF" w:rsidP="00646C73">
            <w:pPr>
              <w:pStyle w:val="SingleTxtG"/>
              <w:spacing w:after="60"/>
              <w:ind w:left="2552" w:hanging="2268"/>
              <w:rPr>
                <w:bCs/>
              </w:rPr>
            </w:pPr>
            <w:r w:rsidRPr="003C40FE">
              <w:rPr>
                <w:b/>
                <w:szCs w:val="22"/>
              </w:rPr>
              <w:t>Executive summary</w:t>
            </w:r>
            <w:r w:rsidRPr="003C40FE">
              <w:rPr>
                <w:szCs w:val="22"/>
              </w:rPr>
              <w:t>:</w:t>
            </w:r>
            <w:r w:rsidRPr="003C40FE">
              <w:rPr>
                <w:szCs w:val="22"/>
              </w:rPr>
              <w:tab/>
            </w:r>
            <w:r w:rsidRPr="003C40FE">
              <w:t>The purpose of this proposal is to put forward a definition of the concept of a unit</w:t>
            </w:r>
            <w:r w:rsidR="00591977" w:rsidRPr="003C40FE">
              <w:t>’</w:t>
            </w:r>
            <w:r w:rsidRPr="003C40FE">
              <w:t>s independence from the refrigeration source.</w:t>
            </w:r>
          </w:p>
        </w:tc>
      </w:tr>
      <w:tr w:rsidR="00F255CF" w:rsidRPr="003C40FE" w:rsidTr="00646C73">
        <w:trPr>
          <w:jc w:val="center"/>
        </w:trPr>
        <w:tc>
          <w:tcPr>
            <w:tcW w:w="9637" w:type="dxa"/>
            <w:tcBorders>
              <w:top w:val="nil"/>
              <w:bottom w:val="nil"/>
            </w:tcBorders>
            <w:shd w:val="clear" w:color="auto" w:fill="auto"/>
          </w:tcPr>
          <w:p w:rsidR="00F255CF" w:rsidRPr="003C40FE" w:rsidRDefault="00F255CF" w:rsidP="00646C73">
            <w:pPr>
              <w:pStyle w:val="SingleTxtG"/>
              <w:ind w:left="2552" w:hanging="2268"/>
              <w:rPr>
                <w:color w:val="6699FF"/>
                <w:szCs w:val="22"/>
              </w:rPr>
            </w:pPr>
            <w:r w:rsidRPr="003C40FE">
              <w:rPr>
                <w:b/>
                <w:szCs w:val="22"/>
              </w:rPr>
              <w:t>Action to be taken</w:t>
            </w:r>
            <w:r w:rsidRPr="003C40FE">
              <w:rPr>
                <w:szCs w:val="22"/>
              </w:rPr>
              <w:t>:</w:t>
            </w:r>
            <w:r w:rsidRPr="003C40FE">
              <w:rPr>
                <w:szCs w:val="22"/>
              </w:rPr>
              <w:tab/>
            </w:r>
            <w:r w:rsidRPr="003C40FE">
              <w:t>Amend the relevant part (annex I) of the ATP Agreement.</w:t>
            </w:r>
          </w:p>
        </w:tc>
      </w:tr>
      <w:tr w:rsidR="00F255CF" w:rsidRPr="003C40FE" w:rsidTr="00646C73">
        <w:trPr>
          <w:jc w:val="center"/>
        </w:trPr>
        <w:tc>
          <w:tcPr>
            <w:tcW w:w="9637" w:type="dxa"/>
            <w:tcBorders>
              <w:top w:val="nil"/>
              <w:bottom w:val="nil"/>
            </w:tcBorders>
            <w:shd w:val="clear" w:color="auto" w:fill="auto"/>
          </w:tcPr>
          <w:p w:rsidR="00F255CF" w:rsidRPr="003C40FE" w:rsidRDefault="00F255CF" w:rsidP="00646C73">
            <w:pPr>
              <w:pStyle w:val="SingleTxtG"/>
              <w:ind w:left="2552" w:hanging="2268"/>
              <w:rPr>
                <w:color w:val="6699FF"/>
                <w:szCs w:val="22"/>
              </w:rPr>
            </w:pPr>
            <w:r w:rsidRPr="003C40FE">
              <w:rPr>
                <w:b/>
                <w:szCs w:val="22"/>
              </w:rPr>
              <w:t>Related documents</w:t>
            </w:r>
            <w:r w:rsidRPr="003C40FE">
              <w:rPr>
                <w:szCs w:val="22"/>
              </w:rPr>
              <w:t>:</w:t>
            </w:r>
            <w:r w:rsidRPr="003C40FE">
              <w:rPr>
                <w:szCs w:val="22"/>
              </w:rPr>
              <w:tab/>
            </w:r>
            <w:r w:rsidRPr="003C40FE">
              <w:t>ECE/TRANS/WP.11/2019/8</w:t>
            </w:r>
          </w:p>
        </w:tc>
      </w:tr>
      <w:tr w:rsidR="00F255CF" w:rsidRPr="003C40FE" w:rsidTr="00646C73">
        <w:trPr>
          <w:jc w:val="center"/>
        </w:trPr>
        <w:tc>
          <w:tcPr>
            <w:tcW w:w="9637" w:type="dxa"/>
            <w:tcBorders>
              <w:top w:val="nil"/>
            </w:tcBorders>
          </w:tcPr>
          <w:p w:rsidR="00F255CF" w:rsidRPr="003C40FE" w:rsidRDefault="00F255CF" w:rsidP="00646C73">
            <w:pPr>
              <w:suppressAutoHyphens w:val="0"/>
            </w:pPr>
          </w:p>
        </w:tc>
      </w:tr>
    </w:tbl>
    <w:p w:rsidR="00792D42" w:rsidRPr="003C40FE" w:rsidRDefault="00792D42" w:rsidP="00792D42">
      <w:pPr>
        <w:pStyle w:val="HChG"/>
      </w:pPr>
      <w:r w:rsidRPr="003C40FE">
        <w:tab/>
      </w:r>
      <w:r w:rsidRPr="003C40FE">
        <w:tab/>
        <w:t>Introduction</w:t>
      </w:r>
      <w:bookmarkStart w:id="0" w:name="OLE_LINK2"/>
      <w:bookmarkStart w:id="1" w:name="OLE_LINK1"/>
      <w:bookmarkEnd w:id="0"/>
      <w:bookmarkEnd w:id="1"/>
    </w:p>
    <w:p w:rsidR="00792D42" w:rsidRPr="003C40FE" w:rsidRDefault="00792D42" w:rsidP="00792D42">
      <w:pPr>
        <w:pStyle w:val="SingleTxtG"/>
      </w:pPr>
      <w:r w:rsidRPr="003C40FE">
        <w:t>1.</w:t>
      </w:r>
      <w:r w:rsidRPr="003C40FE">
        <w:tab/>
        <w:t>Non-self-contained refrigeration units operated by mechanical vapour compression are driven by an external source of energy – electrical or mechanical – resulting from an energy conversion with an internal combustion engine operating.</w:t>
      </w:r>
    </w:p>
    <w:p w:rsidR="00792D42" w:rsidRPr="003C40FE" w:rsidRDefault="00792D42" w:rsidP="00792D42">
      <w:pPr>
        <w:pStyle w:val="SingleTxtG"/>
      </w:pPr>
      <w:r w:rsidRPr="003C40FE">
        <w:t>2.</w:t>
      </w:r>
      <w:r w:rsidRPr="003C40FE">
        <w:tab/>
        <w:t>Self-contained compression units rely indirectly on power whose source has traditionally been the contents of the tank of fossil fuel they are connected to. The tank is not part of the self-contained thermal unit but actually comprises a variable external component and is tested by the official testing station.</w:t>
      </w:r>
    </w:p>
    <w:p w:rsidR="00792D42" w:rsidRPr="003C40FE" w:rsidRDefault="00792D42" w:rsidP="00792D42">
      <w:pPr>
        <w:pStyle w:val="SingleTxtG"/>
      </w:pPr>
      <w:r w:rsidRPr="003C40FE">
        <w:t>3.</w:t>
      </w:r>
      <w:r w:rsidRPr="003C40FE">
        <w:tab/>
        <w:t>In both cases the refrigeration process depends on tank capacity, the difference being whether the vehicle engine needs to be running or not.</w:t>
      </w:r>
    </w:p>
    <w:p w:rsidR="00792D42" w:rsidRPr="003C40FE" w:rsidRDefault="00792D42" w:rsidP="00792D42">
      <w:pPr>
        <w:pStyle w:val="SingleTxtG"/>
      </w:pPr>
      <w:r w:rsidRPr="003C40FE">
        <w:t>4.</w:t>
      </w:r>
      <w:r w:rsidRPr="003C40FE">
        <w:tab/>
        <w:t xml:space="preserve">It is now no longer possible for ATP to ignore the pressure from new technologies, and in particular equipment powered by electric storage battery, dedicated or otherwise. Such batteries can even be charged while the vehicle engine is running and the refrigeration equipment is operating. There is no denying that electric storage batteries make for greater independence, but how are we to classify equipment of this kind, powered by mixed energy </w:t>
      </w:r>
      <w:r w:rsidRPr="003C40FE">
        <w:lastRenderedPageBreak/>
        <w:t xml:space="preserve">sources, in relation to conventional equipment of the kind ATP was designed to deal with? We suggest that it would be most logical to classify such devices as </w:t>
      </w:r>
      <w:r w:rsidR="00591977" w:rsidRPr="003C40FE">
        <w:t>“</w:t>
      </w:r>
      <w:r w:rsidRPr="003C40FE">
        <w:t>hybrid</w:t>
      </w:r>
      <w:r w:rsidR="00591977" w:rsidRPr="003C40FE">
        <w:t>”</w:t>
      </w:r>
      <w:r w:rsidRPr="003C40FE">
        <w:t>.</w:t>
      </w:r>
    </w:p>
    <w:p w:rsidR="00792D42" w:rsidRPr="003C40FE" w:rsidRDefault="00792D42" w:rsidP="00792D42">
      <w:pPr>
        <w:pStyle w:val="SingleTxtG"/>
      </w:pPr>
      <w:r w:rsidRPr="003C40FE">
        <w:t>5.</w:t>
      </w:r>
      <w:r w:rsidRPr="003C40FE">
        <w:tab/>
        <w:t>The fact is that it is difficult to discuss the degree of independence of a refrigeration unit without considering the equipment where it is to be fitted, how it is to be used and the vehicle that is to carry the whole arrangement.</w:t>
      </w:r>
    </w:p>
    <w:p w:rsidR="00792D42" w:rsidRPr="003C40FE" w:rsidRDefault="00792D42" w:rsidP="00100036">
      <w:pPr>
        <w:pStyle w:val="HChG"/>
      </w:pPr>
      <w:r w:rsidRPr="003C40FE">
        <w:tab/>
        <w:t>I.</w:t>
      </w:r>
      <w:r w:rsidRPr="003C40FE">
        <w:tab/>
        <w:t>Proposal</w:t>
      </w:r>
    </w:p>
    <w:p w:rsidR="00792D42" w:rsidRPr="003C40FE" w:rsidRDefault="00792D42" w:rsidP="00792D42">
      <w:pPr>
        <w:pStyle w:val="SingleTxtG"/>
      </w:pPr>
      <w:bookmarkStart w:id="2" w:name="_Hlk30687072"/>
      <w:r w:rsidRPr="003C40FE">
        <w:t>6.</w:t>
      </w:r>
      <w:r w:rsidRPr="003C40FE">
        <w:tab/>
        <w:t>Definition of the independence of a unit</w:t>
      </w:r>
    </w:p>
    <w:bookmarkEnd w:id="2"/>
    <w:p w:rsidR="00792D42" w:rsidRPr="003C40FE" w:rsidRDefault="00792D42" w:rsidP="00792D42">
      <w:pPr>
        <w:pStyle w:val="SingleTxtG"/>
        <w:rPr>
          <w:b/>
          <w:i/>
        </w:rPr>
      </w:pPr>
      <w:r w:rsidRPr="003C40FE">
        <w:rPr>
          <w:b/>
          <w:bCs/>
          <w:i/>
          <w:iCs/>
        </w:rPr>
        <w:t>A unit is self-contained if:</w:t>
      </w:r>
    </w:p>
    <w:p w:rsidR="00792D42" w:rsidRPr="003C40FE" w:rsidRDefault="00792D42" w:rsidP="00792D42">
      <w:pPr>
        <w:pStyle w:val="SingleTxtG"/>
        <w:rPr>
          <w:b/>
          <w:i/>
        </w:rPr>
      </w:pPr>
      <w:r w:rsidRPr="003C40FE">
        <w:rPr>
          <w:b/>
          <w:bCs/>
          <w:i/>
          <w:iCs/>
        </w:rPr>
        <w:t>Case 1</w:t>
      </w:r>
    </w:p>
    <w:p w:rsidR="00792D42" w:rsidRPr="003C40FE" w:rsidRDefault="00747F86" w:rsidP="00792D42">
      <w:pPr>
        <w:pStyle w:val="SingleTxtG"/>
        <w:rPr>
          <w:i/>
        </w:rPr>
      </w:pPr>
      <w:r w:rsidRPr="003C40FE">
        <w:rPr>
          <w:i/>
          <w:iCs/>
        </w:rPr>
        <w:t>–</w:t>
      </w:r>
      <w:r w:rsidR="00792D42" w:rsidRPr="003C40FE">
        <w:tab/>
      </w:r>
      <w:r w:rsidR="00792D42" w:rsidRPr="003C40FE">
        <w:rPr>
          <w:i/>
          <w:iCs/>
        </w:rPr>
        <w:t>The charge time for the energy reservoir is deemed negligible,</w:t>
      </w:r>
    </w:p>
    <w:p w:rsidR="00792D42" w:rsidRPr="003C40FE" w:rsidRDefault="00747F86" w:rsidP="00792D42">
      <w:pPr>
        <w:pStyle w:val="SingleTxtG"/>
        <w:rPr>
          <w:i/>
        </w:rPr>
      </w:pPr>
      <w:r w:rsidRPr="003C40FE">
        <w:rPr>
          <w:i/>
          <w:iCs/>
        </w:rPr>
        <w:t>–</w:t>
      </w:r>
      <w:r w:rsidR="00792D42" w:rsidRPr="003C40FE">
        <w:tab/>
      </w:r>
      <w:r w:rsidR="00792D42" w:rsidRPr="003C40FE">
        <w:rPr>
          <w:i/>
          <w:iCs/>
        </w:rPr>
        <w:t>The refrigeration or heating process relies on an energy source that:</w:t>
      </w:r>
    </w:p>
    <w:p w:rsidR="00792D42" w:rsidRPr="003C40FE" w:rsidRDefault="00792D42" w:rsidP="00792D42">
      <w:pPr>
        <w:pStyle w:val="SingleTxtG"/>
        <w:numPr>
          <w:ilvl w:val="2"/>
          <w:numId w:val="8"/>
        </w:numPr>
        <w:suppressAutoHyphens w:val="0"/>
        <w:rPr>
          <w:i/>
        </w:rPr>
      </w:pPr>
      <w:r w:rsidRPr="003C40FE">
        <w:rPr>
          <w:i/>
          <w:iCs/>
        </w:rPr>
        <w:t>Is always available;</w:t>
      </w:r>
    </w:p>
    <w:p w:rsidR="00792D42" w:rsidRPr="003C40FE" w:rsidRDefault="00792D42" w:rsidP="00792D42">
      <w:pPr>
        <w:pStyle w:val="SingleTxtG"/>
        <w:numPr>
          <w:ilvl w:val="2"/>
          <w:numId w:val="8"/>
        </w:numPr>
        <w:suppressAutoHyphens w:val="0"/>
        <w:rPr>
          <w:i/>
        </w:rPr>
      </w:pPr>
      <w:r w:rsidRPr="003C40FE">
        <w:rPr>
          <w:i/>
          <w:iCs/>
        </w:rPr>
        <w:t>Cannot be interrupted except where essential for the safety of property or persons;</w:t>
      </w:r>
    </w:p>
    <w:p w:rsidR="00792D42" w:rsidRPr="003C40FE" w:rsidRDefault="00792D42" w:rsidP="00792D42">
      <w:pPr>
        <w:pStyle w:val="SingleTxtG"/>
        <w:numPr>
          <w:ilvl w:val="2"/>
          <w:numId w:val="8"/>
        </w:numPr>
        <w:suppressAutoHyphens w:val="0"/>
        <w:rPr>
          <w:i/>
        </w:rPr>
      </w:pPr>
      <w:r w:rsidRPr="003C40FE">
        <w:t xml:space="preserve"> </w:t>
      </w:r>
      <w:r w:rsidRPr="003C40FE">
        <w:rPr>
          <w:i/>
          <w:iCs/>
        </w:rPr>
        <w:t>Is not shared except for fuel used in engines.</w:t>
      </w:r>
    </w:p>
    <w:p w:rsidR="00792D42" w:rsidRPr="003C40FE" w:rsidRDefault="00747F86" w:rsidP="00792D42">
      <w:pPr>
        <w:pStyle w:val="SingleTxtG"/>
        <w:rPr>
          <w:i/>
        </w:rPr>
      </w:pPr>
      <w:r w:rsidRPr="003C40FE">
        <w:rPr>
          <w:i/>
          <w:iCs/>
        </w:rPr>
        <w:t>–</w:t>
      </w:r>
      <w:r w:rsidR="00792D42" w:rsidRPr="003C40FE">
        <w:tab/>
      </w:r>
      <w:r w:rsidR="00792D42" w:rsidRPr="003C40FE">
        <w:rPr>
          <w:i/>
          <w:iCs/>
        </w:rPr>
        <w:t>The refrigeration or heating process can run for 3 hours at full power without its power source requiring recharge.</w:t>
      </w:r>
    </w:p>
    <w:p w:rsidR="00792D42" w:rsidRPr="003C40FE" w:rsidRDefault="00792D42" w:rsidP="00792D42">
      <w:pPr>
        <w:pStyle w:val="SingleTxtG"/>
        <w:rPr>
          <w:i/>
        </w:rPr>
      </w:pPr>
      <w:r w:rsidRPr="003C40FE">
        <w:rPr>
          <w:i/>
          <w:iCs/>
        </w:rPr>
        <w:t>Entry in the ATP handbook:</w:t>
      </w:r>
    </w:p>
    <w:p w:rsidR="00792D42" w:rsidRPr="003C40FE" w:rsidRDefault="00792D42" w:rsidP="00792D42">
      <w:pPr>
        <w:pStyle w:val="SingleTxtG"/>
        <w:rPr>
          <w:i/>
        </w:rPr>
      </w:pPr>
      <w:r w:rsidRPr="003C40FE">
        <w:rPr>
          <w:i/>
          <w:iCs/>
        </w:rPr>
        <w:t>Any procedure for charging the energy reservoir that takes less than a quarter of an hour is deemed negligible.</w:t>
      </w:r>
    </w:p>
    <w:p w:rsidR="00792D42" w:rsidRPr="003C40FE" w:rsidRDefault="00792D42" w:rsidP="00792D42">
      <w:pPr>
        <w:pStyle w:val="SingleTxtG"/>
        <w:rPr>
          <w:b/>
          <w:i/>
        </w:rPr>
      </w:pPr>
      <w:r w:rsidRPr="003C40FE">
        <w:rPr>
          <w:b/>
          <w:bCs/>
          <w:i/>
          <w:iCs/>
        </w:rPr>
        <w:t>Case 2</w:t>
      </w:r>
    </w:p>
    <w:p w:rsidR="00792D42" w:rsidRPr="003C40FE" w:rsidRDefault="00747F86" w:rsidP="00792D42">
      <w:pPr>
        <w:pStyle w:val="SingleTxtG"/>
        <w:rPr>
          <w:i/>
        </w:rPr>
      </w:pPr>
      <w:r w:rsidRPr="003C40FE">
        <w:rPr>
          <w:i/>
          <w:iCs/>
        </w:rPr>
        <w:t>–</w:t>
      </w:r>
      <w:r w:rsidR="00792D42" w:rsidRPr="003C40FE">
        <w:tab/>
      </w:r>
      <w:r w:rsidR="00792D42" w:rsidRPr="003C40FE">
        <w:rPr>
          <w:i/>
          <w:iCs/>
        </w:rPr>
        <w:t>Refrigeration or heating relies on an energy source that is permanently available, not shared and not interruptible;</w:t>
      </w:r>
    </w:p>
    <w:p w:rsidR="00792D42" w:rsidRPr="003C40FE" w:rsidRDefault="00747F86" w:rsidP="00792D42">
      <w:pPr>
        <w:pStyle w:val="SingleTxtG"/>
        <w:rPr>
          <w:i/>
        </w:rPr>
      </w:pPr>
      <w:r w:rsidRPr="003C40FE">
        <w:rPr>
          <w:i/>
          <w:iCs/>
        </w:rPr>
        <w:t>–</w:t>
      </w:r>
      <w:r w:rsidR="00792D42" w:rsidRPr="003C40FE">
        <w:tab/>
      </w:r>
      <w:r w:rsidR="00792D42" w:rsidRPr="003C40FE">
        <w:rPr>
          <w:i/>
          <w:iCs/>
        </w:rPr>
        <w:t>Refrigeration or heating can maintain the class temperature of the equipment without recharging of the power source for at least 12 hours.</w:t>
      </w:r>
      <w:r w:rsidR="00792D42" w:rsidRPr="003C40FE">
        <w:t xml:space="preserve"> </w:t>
      </w:r>
      <w:r w:rsidR="00792D42" w:rsidRPr="003C40FE">
        <w:rPr>
          <w:i/>
          <w:iCs/>
        </w:rPr>
        <w:t>To be tested in accordance with annex 1, appendix 2, section 3 of ATP.</w:t>
      </w:r>
    </w:p>
    <w:p w:rsidR="00792D42" w:rsidRPr="003C40FE" w:rsidRDefault="00792D42" w:rsidP="00792D42">
      <w:pPr>
        <w:pStyle w:val="SingleTxtG"/>
        <w:rPr>
          <w:b/>
          <w:i/>
        </w:rPr>
      </w:pPr>
      <w:r w:rsidRPr="003C40FE">
        <w:rPr>
          <w:b/>
          <w:bCs/>
          <w:i/>
          <w:iCs/>
        </w:rPr>
        <w:t>A unit is hybrid if:</w:t>
      </w:r>
    </w:p>
    <w:p w:rsidR="00792D42" w:rsidRPr="003C40FE" w:rsidRDefault="00747F86" w:rsidP="00792D42">
      <w:pPr>
        <w:pStyle w:val="SingleTxtG"/>
        <w:rPr>
          <w:i/>
        </w:rPr>
      </w:pPr>
      <w:r w:rsidRPr="003C40FE">
        <w:rPr>
          <w:i/>
          <w:iCs/>
        </w:rPr>
        <w:t>–</w:t>
      </w:r>
      <w:r w:rsidR="00792D42" w:rsidRPr="003C40FE">
        <w:tab/>
      </w:r>
      <w:r w:rsidR="00792D42" w:rsidRPr="003C40FE">
        <w:rPr>
          <w:i/>
          <w:iCs/>
        </w:rPr>
        <w:t>The charge time for the energy reservoir is deemed negligible,</w:t>
      </w:r>
    </w:p>
    <w:p w:rsidR="00792D42" w:rsidRPr="003C40FE" w:rsidRDefault="00747F86" w:rsidP="00792D42">
      <w:pPr>
        <w:pStyle w:val="SingleTxtG"/>
        <w:rPr>
          <w:i/>
        </w:rPr>
      </w:pPr>
      <w:r w:rsidRPr="003C40FE">
        <w:rPr>
          <w:i/>
          <w:iCs/>
        </w:rPr>
        <w:t>–</w:t>
      </w:r>
      <w:r w:rsidR="00792D42" w:rsidRPr="003C40FE">
        <w:tab/>
      </w:r>
      <w:r w:rsidR="00792D42" w:rsidRPr="003C40FE">
        <w:rPr>
          <w:i/>
          <w:iCs/>
        </w:rPr>
        <w:t>The refrigeration or heating process relies on at least two power sources, at least one of which:</w:t>
      </w:r>
    </w:p>
    <w:p w:rsidR="00792D42" w:rsidRPr="003C40FE" w:rsidRDefault="00792D42" w:rsidP="00792D42">
      <w:pPr>
        <w:pStyle w:val="SingleTxtG"/>
        <w:numPr>
          <w:ilvl w:val="2"/>
          <w:numId w:val="8"/>
        </w:numPr>
        <w:suppressAutoHyphens w:val="0"/>
        <w:rPr>
          <w:i/>
        </w:rPr>
      </w:pPr>
      <w:r w:rsidRPr="003C40FE">
        <w:rPr>
          <w:i/>
          <w:iCs/>
        </w:rPr>
        <w:t>Is always available;</w:t>
      </w:r>
    </w:p>
    <w:p w:rsidR="00792D42" w:rsidRPr="003C40FE" w:rsidRDefault="00792D42" w:rsidP="00792D42">
      <w:pPr>
        <w:pStyle w:val="SingleTxtG"/>
        <w:numPr>
          <w:ilvl w:val="2"/>
          <w:numId w:val="8"/>
        </w:numPr>
        <w:suppressAutoHyphens w:val="0"/>
        <w:rPr>
          <w:i/>
        </w:rPr>
      </w:pPr>
      <w:r w:rsidRPr="003C40FE">
        <w:rPr>
          <w:i/>
          <w:iCs/>
        </w:rPr>
        <w:t>Cannot be interrupted, except where essential for the safety of property or persons;</w:t>
      </w:r>
    </w:p>
    <w:p w:rsidR="00792D42" w:rsidRPr="003C40FE" w:rsidRDefault="00747F86" w:rsidP="00792D42">
      <w:pPr>
        <w:pStyle w:val="SingleTxtG"/>
      </w:pPr>
      <w:r w:rsidRPr="003C40FE">
        <w:rPr>
          <w:i/>
          <w:iCs/>
        </w:rPr>
        <w:t>–</w:t>
      </w:r>
      <w:r w:rsidR="00792D42" w:rsidRPr="003C40FE">
        <w:tab/>
      </w:r>
      <w:r w:rsidR="00792D42" w:rsidRPr="003C40FE">
        <w:rPr>
          <w:i/>
          <w:iCs/>
        </w:rPr>
        <w:t>The refrigeration or heating process can run for 2 hours at full power with its power source at lowest capacity, without requiring charging.</w:t>
      </w:r>
    </w:p>
    <w:p w:rsidR="00792D42" w:rsidRPr="003C40FE" w:rsidRDefault="00792D42" w:rsidP="00792D42">
      <w:pPr>
        <w:pStyle w:val="SingleTxtG"/>
        <w:rPr>
          <w:i/>
        </w:rPr>
      </w:pPr>
      <w:r w:rsidRPr="003C40FE">
        <w:rPr>
          <w:i/>
          <w:iCs/>
        </w:rPr>
        <w:t>Entry in the ATP handbook:</w:t>
      </w:r>
    </w:p>
    <w:p w:rsidR="00792D42" w:rsidRPr="003C40FE" w:rsidRDefault="00792D42" w:rsidP="00792D42">
      <w:pPr>
        <w:pStyle w:val="SingleTxtG"/>
        <w:rPr>
          <w:i/>
        </w:rPr>
      </w:pPr>
      <w:r w:rsidRPr="003C40FE">
        <w:rPr>
          <w:i/>
          <w:iCs/>
        </w:rPr>
        <w:t>Any procedure for charging the energy reservoir that takes less than an hour is deemed negligible.</w:t>
      </w:r>
    </w:p>
    <w:p w:rsidR="00792D42" w:rsidRPr="003C40FE" w:rsidRDefault="00792D42" w:rsidP="00792D42">
      <w:pPr>
        <w:pStyle w:val="SingleTxtG"/>
        <w:rPr>
          <w:i/>
        </w:rPr>
      </w:pPr>
      <w:r w:rsidRPr="003C40FE">
        <w:rPr>
          <w:i/>
          <w:iCs/>
        </w:rPr>
        <w:t>Where the competent authority intends to adopt a mathematical approach to estimating the length of the class temperature-maintenance period, it will need to assume that the refrigeration or heating systems are operating at rated speed as noted in the ATP test reports.</w:t>
      </w:r>
    </w:p>
    <w:p w:rsidR="00792D42" w:rsidRPr="003C40FE" w:rsidRDefault="00792D42" w:rsidP="00792D42">
      <w:pPr>
        <w:pStyle w:val="SingleTxtG"/>
        <w:rPr>
          <w:i/>
        </w:rPr>
      </w:pPr>
      <w:r w:rsidRPr="003C40FE">
        <w:rPr>
          <w:i/>
          <w:iCs/>
        </w:rPr>
        <w:t>When refrigeration or heating systems permit, capacity can be regulated by applying running times in the form of on/off cycles.</w:t>
      </w:r>
      <w:r w:rsidRPr="003C40FE">
        <w:t xml:space="preserve"> </w:t>
      </w:r>
      <w:r w:rsidRPr="003C40FE">
        <w:rPr>
          <w:i/>
          <w:iCs/>
        </w:rPr>
        <w:t xml:space="preserve">Otherwise only the rated capacity over the </w:t>
      </w:r>
      <w:bookmarkStart w:id="3" w:name="_GoBack"/>
      <w:bookmarkEnd w:id="3"/>
      <w:r w:rsidRPr="003C40FE">
        <w:rPr>
          <w:i/>
          <w:iCs/>
        </w:rPr>
        <w:lastRenderedPageBreak/>
        <w:t>required maintenance period or the temperature-maintenance time need be taken into account.</w:t>
      </w:r>
    </w:p>
    <w:p w:rsidR="00792D42" w:rsidRPr="003C40FE" w:rsidRDefault="00792D42" w:rsidP="00792D42">
      <w:pPr>
        <w:pStyle w:val="SingleTxtG"/>
        <w:rPr>
          <w:b/>
          <w:i/>
        </w:rPr>
      </w:pPr>
      <w:r w:rsidRPr="003C40FE">
        <w:rPr>
          <w:b/>
          <w:bCs/>
          <w:i/>
          <w:iCs/>
        </w:rPr>
        <w:t>Equipment is non-self-contained in other cases.</w:t>
      </w:r>
    </w:p>
    <w:p w:rsidR="00792D42" w:rsidRPr="003C40FE" w:rsidRDefault="00792D42" w:rsidP="00792D42">
      <w:pPr>
        <w:pStyle w:val="HChG"/>
      </w:pPr>
      <w:r w:rsidRPr="003C40FE">
        <w:tab/>
        <w:t>II.</w:t>
      </w:r>
      <w:r w:rsidRPr="003C40FE">
        <w:tab/>
        <w:t>Justification</w:t>
      </w:r>
    </w:p>
    <w:p w:rsidR="00792D42" w:rsidRPr="003C40FE" w:rsidRDefault="00792D42" w:rsidP="00792D42">
      <w:pPr>
        <w:pStyle w:val="SingleTxtG"/>
      </w:pPr>
      <w:r w:rsidRPr="003C40FE">
        <w:t>7.</w:t>
      </w:r>
      <w:r w:rsidR="009B05A6" w:rsidRPr="003C40FE">
        <w:t xml:space="preserve"> </w:t>
      </w:r>
      <w:r w:rsidRPr="003C40FE">
        <w:tab/>
        <w:t>Technological developments in refrigeration equipment make it necessary to revise the concept of the independence of units in ATP.</w:t>
      </w:r>
    </w:p>
    <w:p w:rsidR="00792D42" w:rsidRPr="003C40FE" w:rsidRDefault="00792D42" w:rsidP="00792D42">
      <w:pPr>
        <w:pStyle w:val="HChG"/>
      </w:pPr>
      <w:r w:rsidRPr="003C40FE">
        <w:tab/>
        <w:t>III.</w:t>
      </w:r>
      <w:r w:rsidRPr="003C40FE">
        <w:tab/>
        <w:t>Cost</w:t>
      </w:r>
    </w:p>
    <w:p w:rsidR="00792D42" w:rsidRPr="003C40FE" w:rsidRDefault="00792D42" w:rsidP="00792D42">
      <w:pPr>
        <w:pStyle w:val="SingleTxtG"/>
      </w:pPr>
      <w:r w:rsidRPr="003C40FE">
        <w:t>8.</w:t>
      </w:r>
      <w:r w:rsidR="009B05A6" w:rsidRPr="003C40FE">
        <w:t xml:space="preserve"> </w:t>
      </w:r>
      <w:r w:rsidRPr="003C40FE">
        <w:tab/>
        <w:t>No additional costs are expected for official ATP test stations, or for manufacturers who will need to have available the additional parameters required by this proposal as part of their production management.</w:t>
      </w:r>
    </w:p>
    <w:p w:rsidR="00792D42" w:rsidRPr="003C40FE" w:rsidRDefault="00792D42" w:rsidP="00792D42">
      <w:pPr>
        <w:pStyle w:val="HChG"/>
      </w:pPr>
      <w:r w:rsidRPr="003C40FE">
        <w:tab/>
        <w:t>IV.</w:t>
      </w:r>
      <w:r w:rsidRPr="003C40FE">
        <w:tab/>
        <w:t>Feasibility</w:t>
      </w:r>
    </w:p>
    <w:p w:rsidR="00792D42" w:rsidRPr="003C40FE" w:rsidRDefault="00792D42" w:rsidP="00792D42">
      <w:pPr>
        <w:pStyle w:val="SingleTxtG"/>
      </w:pPr>
      <w:r w:rsidRPr="003C40FE">
        <w:t>9.</w:t>
      </w:r>
      <w:r w:rsidR="009B05A6" w:rsidRPr="003C40FE">
        <w:t xml:space="preserve"> </w:t>
      </w:r>
      <w:r w:rsidRPr="003C40FE">
        <w:tab/>
        <w:t>There are no additional requirements for official ATP test stations.</w:t>
      </w:r>
    </w:p>
    <w:p w:rsidR="00792D42" w:rsidRPr="003C40FE" w:rsidRDefault="00792D42" w:rsidP="00792D42">
      <w:pPr>
        <w:pStyle w:val="HChG"/>
      </w:pPr>
      <w:r w:rsidRPr="003C40FE">
        <w:tab/>
        <w:t>V.</w:t>
      </w:r>
      <w:r w:rsidRPr="003C40FE">
        <w:tab/>
        <w:t>Applicability</w:t>
      </w:r>
    </w:p>
    <w:p w:rsidR="00792D42" w:rsidRPr="003C40FE" w:rsidRDefault="00792D42" w:rsidP="00792D42">
      <w:pPr>
        <w:pStyle w:val="SingleTxtG"/>
        <w:rPr>
          <w:b/>
          <w:bCs/>
        </w:rPr>
      </w:pPr>
      <w:r w:rsidRPr="003C40FE">
        <w:t>10.</w:t>
      </w:r>
      <w:r w:rsidR="009B05A6" w:rsidRPr="003C40FE">
        <w:t xml:space="preserve"> </w:t>
      </w:r>
      <w:r w:rsidRPr="003C40FE">
        <w:tab/>
        <w:t>No problems are foreseen in implementing the proposals.</w:t>
      </w:r>
    </w:p>
    <w:p w:rsidR="00792D42" w:rsidRPr="003C40FE" w:rsidRDefault="00792D42" w:rsidP="00792D42">
      <w:pPr>
        <w:pStyle w:val="HChG"/>
      </w:pPr>
      <w:r w:rsidRPr="003C40FE">
        <w:tab/>
        <w:t xml:space="preserve">VI. </w:t>
      </w:r>
      <w:r w:rsidRPr="003C40FE">
        <w:tab/>
        <w:t>Introduction of the proposed amendment to ATP</w:t>
      </w:r>
    </w:p>
    <w:p w:rsidR="00792D42" w:rsidRPr="003C40FE" w:rsidRDefault="00792D42" w:rsidP="00792D42">
      <w:pPr>
        <w:pStyle w:val="SingleTxtG"/>
      </w:pPr>
      <w:r w:rsidRPr="003C40FE">
        <w:t>11.</w:t>
      </w:r>
      <w:r w:rsidRPr="003C40FE">
        <w:tab/>
        <w:t>Part of ATP concerned: Annex 1.</w:t>
      </w:r>
    </w:p>
    <w:p w:rsidR="00792D42" w:rsidRPr="003C40FE" w:rsidRDefault="00792D42" w:rsidP="00792D42">
      <w:pPr>
        <w:pStyle w:val="SingleTxtG"/>
        <w:rPr>
          <w:i/>
        </w:rPr>
      </w:pPr>
      <w:r w:rsidRPr="003C40FE">
        <w:rPr>
          <w:i/>
          <w:iCs/>
        </w:rPr>
        <w:t>Addition of a definition of the independence of a unit in accordance with point I.</w:t>
      </w:r>
    </w:p>
    <w:p w:rsidR="007268F9" w:rsidRPr="003C40FE" w:rsidRDefault="00792D42" w:rsidP="00792D42">
      <w:pPr>
        <w:spacing w:before="240"/>
        <w:jc w:val="center"/>
        <w:rPr>
          <w:u w:val="single"/>
        </w:rPr>
      </w:pPr>
      <w:r w:rsidRPr="003C40FE">
        <w:rPr>
          <w:u w:val="single"/>
        </w:rPr>
        <w:tab/>
      </w:r>
      <w:r w:rsidRPr="003C40FE">
        <w:rPr>
          <w:u w:val="single"/>
        </w:rPr>
        <w:tab/>
      </w:r>
      <w:r w:rsidRPr="003C40FE">
        <w:rPr>
          <w:u w:val="single"/>
        </w:rPr>
        <w:tab/>
      </w:r>
    </w:p>
    <w:sectPr w:rsidR="007268F9" w:rsidRPr="003C40F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DB7" w:rsidRPr="00FB1744" w:rsidRDefault="00635DB7" w:rsidP="00FB1744">
      <w:pPr>
        <w:pStyle w:val="Footer"/>
      </w:pPr>
    </w:p>
  </w:endnote>
  <w:endnote w:type="continuationSeparator" w:id="0">
    <w:p w:rsidR="00635DB7" w:rsidRPr="00FB1744" w:rsidRDefault="00635DB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D42" w:rsidRDefault="00792D42" w:rsidP="00792D42">
    <w:pPr>
      <w:pStyle w:val="Footer"/>
      <w:tabs>
        <w:tab w:val="right" w:pos="9638"/>
      </w:tabs>
    </w:pPr>
    <w:r w:rsidRPr="00792D42">
      <w:rPr>
        <w:b/>
        <w:bCs/>
        <w:sz w:val="18"/>
      </w:rPr>
      <w:fldChar w:fldCharType="begin"/>
    </w:r>
    <w:r w:rsidRPr="00792D42">
      <w:rPr>
        <w:b/>
        <w:bCs/>
        <w:sz w:val="18"/>
      </w:rPr>
      <w:instrText xml:space="preserve"> PAGE  \* MERGEFORMAT </w:instrText>
    </w:r>
    <w:r w:rsidRPr="00792D42">
      <w:rPr>
        <w:b/>
        <w:bCs/>
        <w:sz w:val="18"/>
      </w:rPr>
      <w:fldChar w:fldCharType="separate"/>
    </w:r>
    <w:r w:rsidR="00100036">
      <w:rPr>
        <w:b/>
        <w:bCs/>
        <w:noProof/>
        <w:sz w:val="18"/>
      </w:rPr>
      <w:t>2</w:t>
    </w:r>
    <w:r w:rsidRPr="00792D42">
      <w:rPr>
        <w:b/>
        <w:bCs/>
        <w:sz w:val="18"/>
      </w:rPr>
      <w:fldChar w:fldCharType="end"/>
    </w:r>
    <w:r>
      <w:tab/>
      <w:t>GE.20-01072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D42" w:rsidRDefault="00792D42" w:rsidP="00792D42">
    <w:pPr>
      <w:pStyle w:val="Footer"/>
      <w:tabs>
        <w:tab w:val="right" w:pos="9638"/>
      </w:tabs>
    </w:pPr>
    <w:r>
      <w:t>GE.20-01072</w:t>
    </w:r>
    <w:r>
      <w:tab/>
    </w:r>
    <w:r w:rsidRPr="00792D42">
      <w:rPr>
        <w:b/>
        <w:bCs/>
        <w:sz w:val="18"/>
      </w:rPr>
      <w:fldChar w:fldCharType="begin"/>
    </w:r>
    <w:r w:rsidRPr="00792D42">
      <w:rPr>
        <w:b/>
        <w:bCs/>
        <w:sz w:val="18"/>
      </w:rPr>
      <w:instrText xml:space="preserve"> PAGE  \* MERGEFORMAT </w:instrText>
    </w:r>
    <w:r w:rsidRPr="00792D42">
      <w:rPr>
        <w:b/>
        <w:bCs/>
        <w:sz w:val="18"/>
      </w:rPr>
      <w:fldChar w:fldCharType="separate"/>
    </w:r>
    <w:r w:rsidR="00100036">
      <w:rPr>
        <w:b/>
        <w:bCs/>
        <w:noProof/>
        <w:sz w:val="18"/>
      </w:rPr>
      <w:t>3</w:t>
    </w:r>
    <w:r w:rsidRPr="00792D4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D42" w:rsidRDefault="00792D42">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92D42" w:rsidRDefault="00792D42" w:rsidP="00792D42">
    <w:pPr>
      <w:pStyle w:val="Footer"/>
      <w:rPr>
        <w:sz w:val="20"/>
      </w:rPr>
    </w:pPr>
    <w:r>
      <w:rPr>
        <w:sz w:val="20"/>
      </w:rPr>
      <w:t>GE.20-</w:t>
    </w:r>
    <w:proofErr w:type="gramStart"/>
    <w:r>
      <w:rPr>
        <w:sz w:val="20"/>
      </w:rPr>
      <w:t>01072  (</w:t>
    </w:r>
    <w:proofErr w:type="gramEnd"/>
    <w:r>
      <w:rPr>
        <w:sz w:val="20"/>
      </w:rPr>
      <w:t>E)</w:t>
    </w:r>
    <w:r w:rsidR="00747F86">
      <w:rPr>
        <w:sz w:val="20"/>
      </w:rPr>
      <w:t xml:space="preserve">    040220    040220</w:t>
    </w:r>
  </w:p>
  <w:p w:rsidR="00792D42" w:rsidRPr="00792D42" w:rsidRDefault="00792D42" w:rsidP="00792D4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2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DB7" w:rsidRPr="00FB1744" w:rsidRDefault="00635DB7" w:rsidP="00FB1744">
      <w:pPr>
        <w:tabs>
          <w:tab w:val="right" w:pos="2155"/>
        </w:tabs>
        <w:spacing w:after="80" w:line="240" w:lineRule="auto"/>
        <w:ind w:left="680"/>
      </w:pPr>
      <w:r>
        <w:rPr>
          <w:u w:val="single"/>
        </w:rPr>
        <w:tab/>
      </w:r>
    </w:p>
  </w:footnote>
  <w:footnote w:type="continuationSeparator" w:id="0">
    <w:p w:rsidR="00635DB7" w:rsidRPr="00FB1744" w:rsidRDefault="00635DB7"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D42" w:rsidRDefault="00792D42" w:rsidP="00792D42">
    <w:pPr>
      <w:pStyle w:val="Header"/>
    </w:pPr>
    <w:r>
      <w:t>ECE/TRANS/WP.11/2020/1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D42" w:rsidRDefault="00792D42" w:rsidP="00792D42">
    <w:pPr>
      <w:pStyle w:val="Header"/>
      <w:jc w:val="right"/>
    </w:pPr>
    <w:r>
      <w:t>ECE/TRANS/WP.11/2020/1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E5A0A"/>
    <w:multiLevelType w:val="multilevel"/>
    <w:tmpl w:val="C9101478"/>
    <w:styleLink w:val="WW8Num17"/>
    <w:lvl w:ilvl="0">
      <w:numFmt w:val="bullet"/>
      <w:lvlText w:val="-"/>
      <w:lvlJc w:val="left"/>
      <w:pPr>
        <w:ind w:left="720" w:hanging="360"/>
      </w:pPr>
      <w:rPr>
        <w:rFonts w:ascii="Calibri" w:eastAsia="Calibri" w:hAnsi="Calibri" w:cs="Times New Roman"/>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0"/>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0"/>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0"/>
        <w:szCs w:val="20"/>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lvlOverride w:ilvl="2">
      <w:lvl w:ilvl="2">
        <w:numFmt w:val="bullet"/>
        <w:lvlText w:val=""/>
        <w:lvlJc w:val="left"/>
        <w:pPr>
          <w:ind w:left="2160" w:hanging="360"/>
        </w:pPr>
        <w:rPr>
          <w:rFonts w:ascii="Wingdings" w:hAnsi="Wingdings" w:cs="Wingdings"/>
          <w:color w:val="000000"/>
          <w:sz w:val="20"/>
          <w:szCs w:val="20"/>
          <w:lang w:val="en-GB"/>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B7"/>
    <w:rsid w:val="00046E92"/>
    <w:rsid w:val="000D1B89"/>
    <w:rsid w:val="00100036"/>
    <w:rsid w:val="001170DC"/>
    <w:rsid w:val="00247E2C"/>
    <w:rsid w:val="002D6C53"/>
    <w:rsid w:val="002F5595"/>
    <w:rsid w:val="00334F6A"/>
    <w:rsid w:val="00342AC8"/>
    <w:rsid w:val="003B4550"/>
    <w:rsid w:val="003C40FE"/>
    <w:rsid w:val="0043448D"/>
    <w:rsid w:val="00461253"/>
    <w:rsid w:val="005042C2"/>
    <w:rsid w:val="00506C12"/>
    <w:rsid w:val="0056599A"/>
    <w:rsid w:val="00587690"/>
    <w:rsid w:val="00591977"/>
    <w:rsid w:val="00635DB7"/>
    <w:rsid w:val="00671529"/>
    <w:rsid w:val="00717266"/>
    <w:rsid w:val="007268F9"/>
    <w:rsid w:val="00747F86"/>
    <w:rsid w:val="00792D42"/>
    <w:rsid w:val="007C52B0"/>
    <w:rsid w:val="009411B4"/>
    <w:rsid w:val="009B05A6"/>
    <w:rsid w:val="009D0139"/>
    <w:rsid w:val="009F5CDC"/>
    <w:rsid w:val="00A429CD"/>
    <w:rsid w:val="00A775CF"/>
    <w:rsid w:val="00AB3C7E"/>
    <w:rsid w:val="00B06045"/>
    <w:rsid w:val="00C35A27"/>
    <w:rsid w:val="00C6058F"/>
    <w:rsid w:val="00D17780"/>
    <w:rsid w:val="00E02C2B"/>
    <w:rsid w:val="00ED6C48"/>
    <w:rsid w:val="00F255CF"/>
    <w:rsid w:val="00F65F5D"/>
    <w:rsid w:val="00F86A3A"/>
    <w:rsid w:val="00FB1744"/>
    <w:rsid w:val="00FC04AB"/>
    <w:rsid w:val="00FC4C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9F66F2B-F009-4555-BB13-E111A986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792D42"/>
    <w:rPr>
      <w:rFonts w:ascii="Times New Roman" w:eastAsia="Times New Roman" w:hAnsi="Times New Roman" w:cs="Times New Roman"/>
      <w:b/>
      <w:sz w:val="28"/>
      <w:szCs w:val="20"/>
      <w:lang w:eastAsia="en-US"/>
    </w:rPr>
  </w:style>
  <w:style w:type="numbering" w:customStyle="1" w:styleId="WW8Num17">
    <w:name w:val="WW8Num17"/>
    <w:basedOn w:val="NoList"/>
    <w:rsid w:val="00792D4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A3F4-1D44-4B0B-BE5F-95DB7820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ECE/TRANS/WP.11/2020/1</vt:lpstr>
    </vt:vector>
  </TitlesOfParts>
  <Company>DCM</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dc:title>
  <dc:subject>2001072</dc:subject>
  <dc:creator>cpm</dc:creator>
  <cp:keywords/>
  <dc:description/>
  <cp:lastModifiedBy>Lucille Caillot</cp:lastModifiedBy>
  <cp:revision>2</cp:revision>
  <cp:lastPrinted>2020-02-04T09:26:00Z</cp:lastPrinted>
  <dcterms:created xsi:type="dcterms:W3CDTF">2020-02-07T10:05:00Z</dcterms:created>
  <dcterms:modified xsi:type="dcterms:W3CDTF">2020-02-07T10:05:00Z</dcterms:modified>
</cp:coreProperties>
</file>