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523FD2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14774B" w14:textId="77777777" w:rsidR="002D5AAC" w:rsidRDefault="002D5AAC" w:rsidP="00C31E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93126E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AF3228" w14:textId="77777777" w:rsidR="002D5AAC" w:rsidRDefault="00C31E63" w:rsidP="00C31E63">
            <w:pPr>
              <w:jc w:val="right"/>
            </w:pPr>
            <w:r w:rsidRPr="00C31E63">
              <w:rPr>
                <w:sz w:val="40"/>
              </w:rPr>
              <w:t>ECE</w:t>
            </w:r>
            <w:r>
              <w:t>/TRANS/SC.1/414</w:t>
            </w:r>
          </w:p>
        </w:tc>
      </w:tr>
      <w:tr w:rsidR="002D5AAC" w:rsidRPr="00CB6B50" w14:paraId="52D6679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B291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4D474B" wp14:editId="65B4E2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7A98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2A9144" w14:textId="77777777" w:rsidR="00C31E63" w:rsidRDefault="00C31E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313936E" w14:textId="77777777" w:rsidR="00C31E63" w:rsidRPr="00CB6B50" w:rsidRDefault="00C31E63" w:rsidP="00C31E63">
            <w:pPr>
              <w:spacing w:line="240" w:lineRule="exact"/>
              <w:rPr>
                <w:lang w:val="en-US"/>
              </w:rPr>
            </w:pPr>
            <w:r w:rsidRPr="00CB6B50">
              <w:rPr>
                <w:lang w:val="en-US"/>
              </w:rPr>
              <w:t>19 October 2020</w:t>
            </w:r>
          </w:p>
          <w:p w14:paraId="110B9F82" w14:textId="77777777" w:rsidR="00C31E63" w:rsidRDefault="00C31E63" w:rsidP="00C31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F2E8B7" w14:textId="77777777" w:rsidR="00C31E63" w:rsidRPr="008D53B6" w:rsidRDefault="00C31E63" w:rsidP="00C31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509454" w14:textId="77777777" w:rsidR="00C31E6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56FBC8" w14:textId="77777777" w:rsidR="00C31E63" w:rsidRPr="00CB2B9C" w:rsidRDefault="00C31E63" w:rsidP="00C31E63">
      <w:pPr>
        <w:spacing w:before="120"/>
        <w:rPr>
          <w:sz w:val="28"/>
          <w:szCs w:val="28"/>
        </w:rPr>
      </w:pPr>
      <w:r w:rsidRPr="00CB2B9C">
        <w:rPr>
          <w:sz w:val="28"/>
          <w:szCs w:val="28"/>
        </w:rPr>
        <w:t>Комитет по внутреннему транспорту</w:t>
      </w:r>
    </w:p>
    <w:p w14:paraId="10061A60" w14:textId="77777777" w:rsidR="00C31E63" w:rsidRPr="00CB2B9C" w:rsidRDefault="00C31E63" w:rsidP="00C31E63">
      <w:pPr>
        <w:spacing w:before="120"/>
        <w:rPr>
          <w:b/>
          <w:sz w:val="24"/>
          <w:szCs w:val="24"/>
        </w:rPr>
      </w:pPr>
      <w:r w:rsidRPr="00CB2B9C">
        <w:rPr>
          <w:b/>
          <w:sz w:val="24"/>
          <w:szCs w:val="24"/>
        </w:rPr>
        <w:t>Рабочая группа по автомобильному транспорту</w:t>
      </w:r>
    </w:p>
    <w:p w14:paraId="552E8BDF" w14:textId="77777777" w:rsidR="00C31E63" w:rsidRDefault="00C31E63" w:rsidP="00C31E63">
      <w:pPr>
        <w:spacing w:before="120"/>
      </w:pPr>
      <w:r>
        <w:rPr>
          <w:b/>
          <w:lang w:val="fr-CH"/>
        </w:rPr>
        <w:t>C</w:t>
      </w:r>
      <w:r>
        <w:rPr>
          <w:b/>
        </w:rPr>
        <w:t>то пятнадцата</w:t>
      </w:r>
      <w:r w:rsidRPr="00CB2B9C">
        <w:rPr>
          <w:b/>
        </w:rPr>
        <w:t>я сессия</w:t>
      </w:r>
      <w:r>
        <w:rPr>
          <w:b/>
        </w:rPr>
        <w:br/>
      </w:r>
      <w:r>
        <w:t>Женева, 14 октября 2020 года</w:t>
      </w:r>
    </w:p>
    <w:p w14:paraId="75B8D049" w14:textId="77777777" w:rsidR="00C31E63" w:rsidRPr="00AE1AB1" w:rsidRDefault="00C31E63" w:rsidP="00C31E63">
      <w:pPr>
        <w:pStyle w:val="HChG"/>
      </w:pPr>
      <w:r>
        <w:tab/>
      </w:r>
      <w:r>
        <w:tab/>
      </w:r>
      <w:r w:rsidRPr="00AE1AB1">
        <w:rPr>
          <w:bCs/>
        </w:rPr>
        <w:t xml:space="preserve">Доклад Рабочей группы по автомобильному транспорту о работе ее </w:t>
      </w:r>
      <w:r>
        <w:rPr>
          <w:bCs/>
        </w:rPr>
        <w:t>сто пятнадцато</w:t>
      </w:r>
      <w:r w:rsidRPr="00AE1AB1">
        <w:rPr>
          <w:bCs/>
        </w:rPr>
        <w:t>й сессии</w:t>
      </w:r>
      <w:r w:rsidRPr="00AE1AB1">
        <w:t xml:space="preserve"> </w:t>
      </w:r>
    </w:p>
    <w:p w14:paraId="4E1B7E66" w14:textId="77777777" w:rsidR="00C31E63" w:rsidRPr="00AE1AB1" w:rsidRDefault="00C31E63" w:rsidP="00C31E63">
      <w:pPr>
        <w:pStyle w:val="HChG"/>
      </w:pPr>
      <w:r>
        <w:tab/>
      </w:r>
      <w:r w:rsidRPr="00AE1AB1">
        <w:t>I.</w:t>
      </w:r>
      <w:r w:rsidRPr="00AE1AB1">
        <w:tab/>
      </w:r>
      <w:r w:rsidRPr="00AE1AB1">
        <w:tab/>
      </w:r>
      <w:r w:rsidRPr="00AE1AB1">
        <w:rPr>
          <w:bCs/>
        </w:rPr>
        <w:t>Участники</w:t>
      </w:r>
    </w:p>
    <w:p w14:paraId="0FCCEEE4" w14:textId="6CC9F420" w:rsidR="00C31E63" w:rsidRPr="00AE1AB1" w:rsidRDefault="00C31E63" w:rsidP="00C31E63">
      <w:pPr>
        <w:pStyle w:val="SingleTxtG"/>
      </w:pPr>
      <w:r w:rsidRPr="00AE1AB1">
        <w:t>1.</w:t>
      </w:r>
      <w:r w:rsidRPr="00AE1AB1">
        <w:tab/>
        <w:t xml:space="preserve">Рабочая группа по автомобильному транспорту (SC.1) провела свою </w:t>
      </w:r>
      <w:r>
        <w:t>сто пятнадцату</w:t>
      </w:r>
      <w:r w:rsidRPr="00AE1AB1">
        <w:t xml:space="preserve">ю сессию 14 октября 2020 года под председательством г-на Р. Симоненко (Украина). На сессии были представлены следующие государства </w:t>
      </w:r>
      <w:r w:rsidR="00CB6B50" w:rsidRPr="00504618">
        <w:t>—</w:t>
      </w:r>
      <w:r w:rsidRPr="00AE1AB1">
        <w:t xml:space="preserve"> члены Европейской экономической комиссии Организации Объединенных Наций (ЕЭК ООН): Австрия, Андорра, Германия, Грузия, Израиль, Латвия, Лихтенштейн, Польша, Российская Федерация, Словакия, Словения, Турция, Украина, Финляндия, Швейцария и Швеция.</w:t>
      </w:r>
    </w:p>
    <w:p w14:paraId="43F56084" w14:textId="77777777" w:rsidR="00C31E63" w:rsidRPr="00AE1AB1" w:rsidRDefault="00C31E63" w:rsidP="00C31E63">
      <w:pPr>
        <w:pStyle w:val="SingleTxtG"/>
        <w:rPr>
          <w:szCs w:val="24"/>
        </w:rPr>
      </w:pPr>
      <w:bookmarkStart w:id="1" w:name="_Hlk528581737"/>
      <w:r w:rsidRPr="00AE1AB1">
        <w:t>2.</w:t>
      </w:r>
      <w:r w:rsidRPr="00AE1AB1">
        <w:tab/>
        <w:t xml:space="preserve">Были представлены Европейская комиссия, </w:t>
      </w:r>
      <w:r>
        <w:t>«</w:t>
      </w:r>
      <w:proofErr w:type="spellStart"/>
      <w:r w:rsidRPr="00AE1AB1">
        <w:t>Евро</w:t>
      </w:r>
      <w:r>
        <w:t>М</w:t>
      </w:r>
      <w:r w:rsidRPr="00AE1AB1">
        <w:t>ед</w:t>
      </w:r>
      <w:proofErr w:type="spellEnd"/>
      <w:r>
        <w:t>»</w:t>
      </w:r>
      <w:r w:rsidRPr="00AE1AB1">
        <w:t xml:space="preserve">, Международный транспортный форум (МТФ-ОЭСР) и следующие неправительственные организации: Ассоциация международных автомобильных перевозчиков (АСМАП), Совет страховых бюро (ССБ), «Ин </w:t>
      </w:r>
      <w:proofErr w:type="spellStart"/>
      <w:r>
        <w:t>г</w:t>
      </w:r>
      <w:r w:rsidRPr="00AE1AB1">
        <w:t>руп</w:t>
      </w:r>
      <w:proofErr w:type="spellEnd"/>
      <w:r w:rsidRPr="00AE1AB1">
        <w:t>», Международный союз автомобильного транспорта (МСАТ), Московская торгово-промышленная палата, Национальная ассоциация предприятий автомобильного и городского пассажирского транспорта и Конфедерация организаций по обеспечению соблюдения требований безопасности на автомобильном транспорте (КОРТЕ).</w:t>
      </w:r>
    </w:p>
    <w:p w14:paraId="378490EE" w14:textId="77777777" w:rsidR="00C31E63" w:rsidRPr="00AE1AB1" w:rsidRDefault="00C31E63" w:rsidP="00C31E63">
      <w:pPr>
        <w:pStyle w:val="HChG"/>
      </w:pPr>
      <w:r>
        <w:tab/>
      </w:r>
      <w:r w:rsidRPr="00AE1AB1">
        <w:t>II.</w:t>
      </w:r>
      <w:r w:rsidRPr="00AE1AB1">
        <w:tab/>
      </w:r>
      <w:r w:rsidRPr="00AE1AB1">
        <w:tab/>
      </w:r>
      <w:r w:rsidRPr="00AE1AB1">
        <w:rPr>
          <w:bCs/>
        </w:rPr>
        <w:t>Утверждение повестки дня (пункт 1 повестки дня)</w:t>
      </w:r>
    </w:p>
    <w:bookmarkEnd w:id="1"/>
    <w:p w14:paraId="73B8C04B" w14:textId="77777777" w:rsidR="00C31E63" w:rsidRPr="00AE1AB1" w:rsidRDefault="00C31E63" w:rsidP="00C31E63">
      <w:pPr>
        <w:pStyle w:val="SingleTxtG"/>
        <w:rPr>
          <w:rStyle w:val="SingleTxtGChar"/>
        </w:rPr>
      </w:pPr>
      <w:r w:rsidRPr="00AE1AB1">
        <w:t>3.</w:t>
      </w:r>
      <w:r w:rsidRPr="00AE1AB1">
        <w:tab/>
        <w:t>Рабочая группа по автомобильному транспорту (SC.1) утвердила повестку дня сессии (ECE/TRANS/SC.1/413).</w:t>
      </w:r>
    </w:p>
    <w:p w14:paraId="11B5E22D" w14:textId="77777777" w:rsidR="00C31E63" w:rsidRPr="00C31E63" w:rsidRDefault="00C31E63" w:rsidP="00C31E63">
      <w:pPr>
        <w:pStyle w:val="SingleTxtG"/>
      </w:pPr>
      <w:r w:rsidRPr="00AE1AB1">
        <w:t>4.</w:t>
      </w:r>
      <w:r w:rsidRPr="00AE1AB1">
        <w:tab/>
        <w:t xml:space="preserve">Секретариат пояснил, что из-за ситуации, обусловленной COVID-19, нынешняя сессия проходит в двойном формате. Участники могут присутствовать очно или подключаться через </w:t>
      </w:r>
      <w:r>
        <w:t>и</w:t>
      </w:r>
      <w:r w:rsidRPr="00AE1AB1">
        <w:t xml:space="preserve">нтернет-платформу, позволяющую осуществлять синхронный перевод на три официальных языка. Кроме того, в связи с тем, что Организация Объединенных Наций испытывает трудности с ресурсами и продолжительность сессий сокращена с трех до двух часов, </w:t>
      </w:r>
      <w:r>
        <w:t>нынешняя</w:t>
      </w:r>
      <w:r w:rsidRPr="00AE1AB1">
        <w:t xml:space="preserve"> сессия была значительно укорочена до одного дня (вместо трех дней) и часть совещания проходила только на английском языке. Несмотря на </w:t>
      </w:r>
      <w:proofErr w:type="gramStart"/>
      <w:r w:rsidRPr="00AE1AB1">
        <w:t>то</w:t>
      </w:r>
      <w:proofErr w:type="gramEnd"/>
      <w:r w:rsidRPr="00AE1AB1">
        <w:t xml:space="preserve"> что SC.1 высоко оценивает поддержку секретариата и принимает во внимание текущие обстоятельства, она выразила сожаление по поводу </w:t>
      </w:r>
      <w:r w:rsidRPr="00AE1AB1">
        <w:lastRenderedPageBreak/>
        <w:t>такого развития событий и отметила, что предметное обсуждение многих вопросов придется отложить в связи с нехваткой времени на этой сессии. Председатель SC.1 просил секретариат принять меры для обеспечения полноценной продолжительности рабочего времени (три дня) для следующей сессии.</w:t>
      </w:r>
    </w:p>
    <w:p w14:paraId="09B2A59A" w14:textId="77777777" w:rsidR="00C31E63" w:rsidRPr="00AE1AB1" w:rsidRDefault="00C31E63" w:rsidP="00C31E63">
      <w:pPr>
        <w:pStyle w:val="HChG"/>
      </w:pPr>
      <w:r>
        <w:tab/>
      </w:r>
      <w:r w:rsidRPr="00AE1AB1">
        <w:t>III.</w:t>
      </w:r>
      <w:r w:rsidRPr="00AE1AB1">
        <w:tab/>
      </w:r>
      <w:r w:rsidRPr="00AE1AB1">
        <w:tab/>
      </w:r>
      <w:r w:rsidRPr="00AE1AB1">
        <w:rPr>
          <w:bCs/>
        </w:rPr>
        <w:t>Документы по внутреннему транспорту</w:t>
      </w:r>
      <w:r>
        <w:rPr>
          <w:bCs/>
        </w:rPr>
        <w:br/>
      </w:r>
      <w:r w:rsidRPr="00AE1AB1">
        <w:rPr>
          <w:bCs/>
        </w:rPr>
        <w:t>(пункт 2 повестки дня)</w:t>
      </w:r>
    </w:p>
    <w:p w14:paraId="2587C2D7" w14:textId="77777777" w:rsidR="00C31E63" w:rsidRPr="00AE1AB1" w:rsidRDefault="00C31E63" w:rsidP="00C31E63">
      <w:pPr>
        <w:pStyle w:val="H1G"/>
      </w:pPr>
      <w:r>
        <w:tab/>
      </w:r>
      <w:r w:rsidRPr="00AE1AB1">
        <w:t>A.</w:t>
      </w:r>
      <w:r w:rsidRPr="00AE1AB1">
        <w:tab/>
      </w:r>
      <w:r w:rsidRPr="00AE1AB1">
        <w:rPr>
          <w:bCs/>
        </w:rPr>
        <w:t>Европейское соглашение, касающееся работы экипажей транспортных средств, производящих международные автомобильные перевозки (ЕСТР)</w:t>
      </w:r>
    </w:p>
    <w:p w14:paraId="644A66EE" w14:textId="77777777" w:rsidR="00C31E63" w:rsidRPr="00AE1AB1" w:rsidRDefault="00C31E63" w:rsidP="00C31E63">
      <w:pPr>
        <w:pStyle w:val="H23G"/>
      </w:pPr>
      <w:r>
        <w:tab/>
      </w:r>
      <w:r w:rsidRPr="00AE1AB1">
        <w:t>1.</w:t>
      </w:r>
      <w:r w:rsidRPr="00AE1AB1">
        <w:tab/>
      </w:r>
      <w:r w:rsidRPr="00AE1AB1">
        <w:rPr>
          <w:bCs/>
        </w:rPr>
        <w:t>Статус Соглашения</w:t>
      </w:r>
    </w:p>
    <w:p w14:paraId="155B947A" w14:textId="77777777" w:rsidR="00C31E63" w:rsidRPr="00AE1AB1" w:rsidRDefault="00C31E63" w:rsidP="00C31E63">
      <w:pPr>
        <w:pStyle w:val="SingleTxtG"/>
      </w:pPr>
      <w:r w:rsidRPr="00AE1AB1">
        <w:t>5.</w:t>
      </w:r>
      <w:r w:rsidRPr="00AE1AB1">
        <w:tab/>
        <w:t xml:space="preserve">Секретариат проинформировал SC.1 о статусе Соглашения ЕСТР, в частности о заинтересованности правительства Египта в принятии поправки к статье 14, с тем чтобы эта страна могла присоединиться к Соглашению ЕСТР. Представитель Проекта </w:t>
      </w:r>
      <w:r>
        <w:t>«</w:t>
      </w:r>
      <w:proofErr w:type="spellStart"/>
      <w:r w:rsidRPr="00AE1AB1">
        <w:t>ЕвроМед</w:t>
      </w:r>
      <w:proofErr w:type="spellEnd"/>
      <w:r>
        <w:t>»</w:t>
      </w:r>
      <w:r w:rsidRPr="00AE1AB1">
        <w:t xml:space="preserve"> по поддержке развития транспорта проинформировал SC.1 о том, что правительство Греции предпринимает шаги для того, чтобы в ближайшее время представить с этой целью предложение о поправках. SC.1 была также проинформирована о заинтересованности Израиля в возможном присоединении к Соглашению ЕСТР.</w:t>
      </w:r>
    </w:p>
    <w:p w14:paraId="755BC1E4" w14:textId="77777777" w:rsidR="00C31E63" w:rsidRPr="00AE1AB1" w:rsidRDefault="00C31E63" w:rsidP="00C31E63">
      <w:pPr>
        <w:pStyle w:val="H23G"/>
        <w:rPr>
          <w:sz w:val="24"/>
          <w:szCs w:val="24"/>
        </w:rPr>
      </w:pPr>
      <w:r>
        <w:tab/>
      </w:r>
      <w:r w:rsidRPr="00AE1AB1">
        <w:t>2.</w:t>
      </w:r>
      <w:r w:rsidRPr="00AE1AB1">
        <w:tab/>
      </w:r>
      <w:r w:rsidRPr="00AE1AB1">
        <w:rPr>
          <w:bCs/>
        </w:rPr>
        <w:t>Группа экспертов по ЕСТР</w:t>
      </w:r>
    </w:p>
    <w:p w14:paraId="5C2A4329" w14:textId="77777777" w:rsidR="00C31E63" w:rsidRPr="00AE1AB1" w:rsidRDefault="00C31E63" w:rsidP="00C31E63">
      <w:pPr>
        <w:pStyle w:val="SingleTxtG"/>
      </w:pPr>
      <w:r w:rsidRPr="00AE1AB1">
        <w:t>6.</w:t>
      </w:r>
      <w:r w:rsidRPr="00AE1AB1">
        <w:tab/>
        <w:t xml:space="preserve">Председатель и секретарь Группы экспертов по ЕСТР представили SC.1 обновленную информацию о работе Группы экспертов по ЕСТР, в частности о ее работе по устранению различий в режимах ЕСТР в договаривающихся сторонах </w:t>
      </w:r>
      <w:r w:rsidRPr="00504618">
        <w:t>—</w:t>
      </w:r>
      <w:r w:rsidRPr="00AE1AB1">
        <w:t xml:space="preserve"> членах Европейского союза и договаривающихся сторонах, не входящих в Европейский союз, после внедрения 15 июня 2019 года в Европейском союзе</w:t>
      </w:r>
      <w:r>
        <w:br/>
      </w:r>
      <w:r w:rsidRPr="00AE1AB1">
        <w:t>смарт-тахографов.</w:t>
      </w:r>
    </w:p>
    <w:p w14:paraId="5C5F5522" w14:textId="77777777" w:rsidR="00C31E63" w:rsidRPr="00AE1AB1" w:rsidRDefault="00C31E63" w:rsidP="00C31E63">
      <w:pPr>
        <w:pStyle w:val="SingleTxtG"/>
      </w:pPr>
      <w:r w:rsidRPr="00AE1AB1">
        <w:t>7.</w:t>
      </w:r>
      <w:r w:rsidRPr="00AE1AB1">
        <w:tab/>
        <w:t>На последней сессии SC.1 рассмотрела вопрос об изменении названия Соглашения ЕСТР путем исключения из названия термина «Европейское»</w:t>
      </w:r>
      <w:r>
        <w:br/>
      </w:r>
      <w:r w:rsidRPr="00AE1AB1">
        <w:t xml:space="preserve">и согласилась сохранить этот вопрос в повестке дня будущих сессий. Внесение этого изменения соответствовало бы нынешней ситуации, когда право присоединиться к Соглашению имеют пять стран, не входящих в Европейский союз, а также указанным в </w:t>
      </w:r>
      <w:r>
        <w:t>С</w:t>
      </w:r>
      <w:r w:rsidRPr="00AE1AB1">
        <w:t>тратегии Комитета по внутреннему транспорту (КВТ) (ECE/TRANS/288/Add.2, таблица 1) приоритетным действиям по внесению поправок в правовые документы с учетом географических и процедурных барьеров до 2025 года. В связи с нехваткой времени SC.1 было предложено вернуться к обсуждению этого вопроса на следующей сессии.</w:t>
      </w:r>
    </w:p>
    <w:p w14:paraId="5051E001" w14:textId="77777777" w:rsidR="00C31E63" w:rsidRPr="00AE1AB1" w:rsidRDefault="00C31E63" w:rsidP="00C31E63">
      <w:pPr>
        <w:pStyle w:val="SingleTxtG"/>
      </w:pPr>
      <w:r w:rsidRPr="00AE1AB1">
        <w:t>8.</w:t>
      </w:r>
      <w:r w:rsidRPr="00AE1AB1">
        <w:tab/>
        <w:t>SC.1 решила продлить действие мандата Группы экспертов до 30 июня</w:t>
      </w:r>
      <w:r w:rsidR="00DF5CC4">
        <w:br/>
      </w:r>
      <w:r w:rsidRPr="00AE1AB1">
        <w:t xml:space="preserve">2023 года и просила </w:t>
      </w:r>
      <w:r>
        <w:t>Отдел</w:t>
      </w:r>
      <w:r w:rsidRPr="00AE1AB1">
        <w:t xml:space="preserve"> обслуживания конференций Отделения ООН в Женеве предоставить залы заседаний и услуги по устному </w:t>
      </w:r>
      <w:r>
        <w:t xml:space="preserve">переводу </w:t>
      </w:r>
      <w:r w:rsidRPr="00AE1AB1">
        <w:t>и письменному переводу документов для проведения трех совещаний в год.</w:t>
      </w:r>
    </w:p>
    <w:p w14:paraId="700B5A5B" w14:textId="77777777" w:rsidR="00C31E63" w:rsidRPr="00AE1AB1" w:rsidRDefault="00C31E63" w:rsidP="00C31E63">
      <w:pPr>
        <w:pStyle w:val="SingleTxtG"/>
      </w:pPr>
      <w:r w:rsidRPr="00AE1AB1">
        <w:t>9.</w:t>
      </w:r>
      <w:r w:rsidRPr="00AE1AB1">
        <w:tab/>
        <w:t xml:space="preserve">Что касается Меморандума о взаимопонимании с Объединенным исследовательским центром (ОИЦ), согласно которому ОИЦ признается </w:t>
      </w:r>
      <w:r>
        <w:t>корнев</w:t>
      </w:r>
      <w:r w:rsidRPr="00AE1AB1">
        <w:t xml:space="preserve">ым </w:t>
      </w:r>
      <w:r>
        <w:t xml:space="preserve">центром </w:t>
      </w:r>
      <w:r w:rsidRPr="00AE1AB1">
        <w:t>сертифи</w:t>
      </w:r>
      <w:r>
        <w:t>кации</w:t>
      </w:r>
      <w:r w:rsidRPr="00AE1AB1">
        <w:t xml:space="preserve"> </w:t>
      </w:r>
      <w:r>
        <w:t xml:space="preserve">ЕСТР </w:t>
      </w:r>
      <w:r w:rsidRPr="00AE1AB1">
        <w:t xml:space="preserve">и центром сертификации эксплуатационной совместимости для </w:t>
      </w:r>
      <w:r>
        <w:t>д</w:t>
      </w:r>
      <w:r w:rsidRPr="00AE1AB1">
        <w:t>оговаривающихся сторон ЕСТР, не являющихся членами Европейского союза, то секретариат проинформировал SC.1 о том, что предложенное дополнение к этому меморандуму, нацеленное на продление срока его действия</w:t>
      </w:r>
      <w:r w:rsidR="00DF5CC4">
        <w:br/>
      </w:r>
      <w:r w:rsidRPr="00AE1AB1">
        <w:t>до 31 декабря 2022 года, обсуждалось с должностными лицами Европейской комиссии на последнем совещании Группы экспертов по ЕСТР.</w:t>
      </w:r>
    </w:p>
    <w:p w14:paraId="7E9646A5" w14:textId="77777777" w:rsidR="00C31E63" w:rsidRPr="00AE1AB1" w:rsidRDefault="00C31E63" w:rsidP="00DF5CC4">
      <w:pPr>
        <w:pStyle w:val="H1G"/>
        <w:rPr>
          <w:szCs w:val="24"/>
        </w:rPr>
      </w:pPr>
      <w:r>
        <w:lastRenderedPageBreak/>
        <w:tab/>
      </w:r>
      <w:r w:rsidRPr="00AE1AB1">
        <w:t>B.</w:t>
      </w:r>
      <w:r w:rsidRPr="00AE1AB1">
        <w:tab/>
        <w:t>Европейское соглашение о международных автомагистралях (СМА)</w:t>
      </w:r>
    </w:p>
    <w:p w14:paraId="6621363A" w14:textId="77777777" w:rsidR="00C31E63" w:rsidRPr="00AE1AB1" w:rsidRDefault="00C31E63" w:rsidP="00C31E63">
      <w:pPr>
        <w:pStyle w:val="H23G"/>
      </w:pPr>
      <w:r>
        <w:tab/>
      </w:r>
      <w:r w:rsidRPr="00AE1AB1">
        <w:t>1.</w:t>
      </w:r>
      <w:r w:rsidRPr="00AE1AB1">
        <w:tab/>
      </w:r>
      <w:r w:rsidRPr="00AE1AB1">
        <w:rPr>
          <w:bCs/>
        </w:rPr>
        <w:t>Статус Соглашения</w:t>
      </w:r>
    </w:p>
    <w:p w14:paraId="232A4CE1" w14:textId="77777777" w:rsidR="00C31E63" w:rsidRPr="00AE1AB1" w:rsidRDefault="00C31E63" w:rsidP="00C31E63">
      <w:pPr>
        <w:pStyle w:val="SingleTxtG"/>
      </w:pPr>
      <w:r w:rsidRPr="00AE1AB1">
        <w:t>10.</w:t>
      </w:r>
      <w:r w:rsidRPr="00AE1AB1">
        <w:tab/>
        <w:t xml:space="preserve">Секретариат сообщил SC.1, что после присоединения к СМА Туркменистана общее число </w:t>
      </w:r>
      <w:r>
        <w:t>д</w:t>
      </w:r>
      <w:r w:rsidRPr="00AE1AB1">
        <w:t>оговаривающихся сторон достигло 38.</w:t>
      </w:r>
    </w:p>
    <w:p w14:paraId="28D4063E" w14:textId="77777777" w:rsidR="00C31E63" w:rsidRPr="00AE1AB1" w:rsidRDefault="00C31E63" w:rsidP="00C31E63">
      <w:pPr>
        <w:pStyle w:val="H23G"/>
      </w:pPr>
      <w:r>
        <w:tab/>
      </w:r>
      <w:r w:rsidRPr="00AE1AB1">
        <w:t>2.</w:t>
      </w:r>
      <w:r w:rsidRPr="00AE1AB1">
        <w:tab/>
      </w:r>
      <w:r w:rsidRPr="00AE1AB1">
        <w:rPr>
          <w:bCs/>
        </w:rPr>
        <w:t>Поправки к Соглашению</w:t>
      </w:r>
    </w:p>
    <w:p w14:paraId="69003C55" w14:textId="77777777" w:rsidR="00C31E63" w:rsidRPr="00AE1AB1" w:rsidRDefault="00C31E63" w:rsidP="00C31E63">
      <w:pPr>
        <w:pStyle w:val="SingleTxtG"/>
      </w:pPr>
      <w:r w:rsidRPr="00AE1AB1">
        <w:t>11.</w:t>
      </w:r>
      <w:r w:rsidRPr="00AE1AB1">
        <w:tab/>
        <w:t>На последней сессии секретариат обратил внимание на статью 5 СМА,</w:t>
      </w:r>
      <w:r w:rsidR="00DF5CC4">
        <w:br/>
      </w:r>
      <w:r w:rsidRPr="00AE1AB1">
        <w:t xml:space="preserve">в которой рассматривается вопрос о праве стать договаривающейся стороной. Члены SC.1 решили проконсультироваться с правительствами своих стран относительно целесообразности открытия Соглашения для присоединения стран, не являющихся членами ЕЭК, и вернуться к этому вопросу на нынешней сессии. Поскольку ни один из членов SC.1 не представил новой информации, SC.1 </w:t>
      </w:r>
      <w:r>
        <w:t>согласилась</w:t>
      </w:r>
      <w:r w:rsidRPr="00AE1AB1">
        <w:t xml:space="preserve"> отложить принятие решения по этому пункту до следующей сессии.</w:t>
      </w:r>
    </w:p>
    <w:p w14:paraId="4917717B" w14:textId="77777777" w:rsidR="00C31E63" w:rsidRPr="00AE1AB1" w:rsidRDefault="00C31E63" w:rsidP="00C31E63">
      <w:pPr>
        <w:pStyle w:val="H1G"/>
      </w:pPr>
      <w:r>
        <w:tab/>
      </w:r>
      <w:r w:rsidRPr="00AE1AB1">
        <w:t>C.</w:t>
      </w:r>
      <w:r w:rsidRPr="00AE1AB1">
        <w:tab/>
      </w:r>
      <w:r w:rsidRPr="00AE1AB1">
        <w:rPr>
          <w:bCs/>
        </w:rPr>
        <w:t>Конвенция о договоре международной дорожной перевозки</w:t>
      </w:r>
      <w:r w:rsidR="00DF5CC4">
        <w:rPr>
          <w:bCs/>
        </w:rPr>
        <w:br/>
      </w:r>
      <w:r w:rsidRPr="00AE1AB1">
        <w:rPr>
          <w:bCs/>
        </w:rPr>
        <w:t>грузов (КДПГ)</w:t>
      </w:r>
    </w:p>
    <w:p w14:paraId="2369450A" w14:textId="77777777" w:rsidR="00C31E63" w:rsidRPr="00AE1AB1" w:rsidRDefault="00C31E63" w:rsidP="00C31E63">
      <w:pPr>
        <w:pStyle w:val="H23G"/>
      </w:pPr>
      <w:r>
        <w:tab/>
      </w:r>
      <w:r w:rsidRPr="00AE1AB1">
        <w:t>1.</w:t>
      </w:r>
      <w:r w:rsidRPr="00AE1AB1">
        <w:tab/>
      </w:r>
      <w:r w:rsidRPr="00AE1AB1">
        <w:rPr>
          <w:bCs/>
        </w:rPr>
        <w:t>Статус Конвенции</w:t>
      </w:r>
    </w:p>
    <w:p w14:paraId="188A63CE" w14:textId="77777777" w:rsidR="00C31E63" w:rsidRPr="00AE1AB1" w:rsidRDefault="00C31E63" w:rsidP="00C31E63">
      <w:pPr>
        <w:pStyle w:val="SingleTxtG"/>
      </w:pPr>
      <w:r w:rsidRPr="00AE1AB1">
        <w:t>12.</w:t>
      </w:r>
      <w:r w:rsidRPr="00AE1AB1">
        <w:tab/>
        <w:t xml:space="preserve">Секретариат сообщил SC.1, что после присоединения к КДПГ Омана и Афганистана общее число </w:t>
      </w:r>
      <w:r>
        <w:t>ее д</w:t>
      </w:r>
      <w:r w:rsidRPr="00AE1AB1">
        <w:t>оговаривающихся сторон достигло 58.</w:t>
      </w:r>
    </w:p>
    <w:p w14:paraId="1023A124" w14:textId="77777777" w:rsidR="00C31E63" w:rsidRPr="00AE1AB1" w:rsidRDefault="00C31E63" w:rsidP="00C31E63">
      <w:pPr>
        <w:pStyle w:val="H23G"/>
      </w:pPr>
      <w:r>
        <w:tab/>
      </w:r>
      <w:r w:rsidRPr="00AE1AB1">
        <w:t>2.</w:t>
      </w:r>
      <w:r w:rsidRPr="00AE1AB1">
        <w:tab/>
      </w:r>
      <w:r w:rsidRPr="00AE1AB1">
        <w:rPr>
          <w:bCs/>
        </w:rPr>
        <w:t>Протокол к Конвенции о договоре международной дорожной перевозки грузов</w:t>
      </w:r>
    </w:p>
    <w:p w14:paraId="41E9AA9C" w14:textId="77777777" w:rsidR="00C31E63" w:rsidRPr="00AE1AB1" w:rsidRDefault="00C31E63" w:rsidP="00C31E63">
      <w:pPr>
        <w:pStyle w:val="SingleTxtG"/>
      </w:pPr>
      <w:r w:rsidRPr="00AE1AB1">
        <w:t>13.</w:t>
      </w:r>
      <w:r w:rsidRPr="00AE1AB1">
        <w:tab/>
        <w:t xml:space="preserve">Секретариат сообщил SC.1, что после присоединения к Протоколу к КДПГ Боснии и Герцеговины, Сербии и Украины общее число </w:t>
      </w:r>
      <w:r>
        <w:t>его д</w:t>
      </w:r>
      <w:r w:rsidRPr="00AE1AB1">
        <w:t>оговаривающихся сторон достигло 45.</w:t>
      </w:r>
    </w:p>
    <w:p w14:paraId="3C42F5EB" w14:textId="77777777" w:rsidR="00C31E63" w:rsidRPr="00AE1AB1" w:rsidRDefault="00C31E63" w:rsidP="00C31E63">
      <w:pPr>
        <w:pStyle w:val="H23G"/>
      </w:pPr>
      <w:r>
        <w:tab/>
      </w:r>
      <w:r w:rsidRPr="00AE1AB1">
        <w:t>3.</w:t>
      </w:r>
      <w:r w:rsidRPr="00AE1AB1">
        <w:tab/>
      </w:r>
      <w:r w:rsidRPr="00AE1AB1">
        <w:rPr>
          <w:bCs/>
        </w:rPr>
        <w:t>Дополнительный протокол к КДПГ, касающийся электронной</w:t>
      </w:r>
      <w:r w:rsidR="00DF5CC4">
        <w:rPr>
          <w:bCs/>
        </w:rPr>
        <w:br/>
      </w:r>
      <w:r w:rsidRPr="00AE1AB1">
        <w:rPr>
          <w:bCs/>
        </w:rPr>
        <w:t>накладной (e-CMR)</w:t>
      </w:r>
    </w:p>
    <w:p w14:paraId="6FE10AA4" w14:textId="77777777" w:rsidR="00C31E63" w:rsidRPr="00AE1AB1" w:rsidRDefault="00C31E63" w:rsidP="00C31E63">
      <w:pPr>
        <w:pStyle w:val="SingleTxtG"/>
      </w:pPr>
      <w:r w:rsidRPr="00AE1AB1">
        <w:t>14.</w:t>
      </w:r>
      <w:r w:rsidRPr="00AE1AB1">
        <w:tab/>
        <w:t xml:space="preserve">Секретариат сообщил SC.1, что после присоединения к e-CMR Соединенного Королевства, Швеции, Украины, Норвегии и Омана общее число </w:t>
      </w:r>
      <w:r>
        <w:t>его д</w:t>
      </w:r>
      <w:r w:rsidRPr="00AE1AB1">
        <w:t>оговаривающихся сторон достигло 28.</w:t>
      </w:r>
    </w:p>
    <w:p w14:paraId="2762205A" w14:textId="77777777" w:rsidR="00C31E63" w:rsidRPr="00AE1AB1" w:rsidRDefault="00C31E63" w:rsidP="00C31E63">
      <w:pPr>
        <w:pStyle w:val="SingleTxtG"/>
      </w:pPr>
      <w:r w:rsidRPr="00AE1AB1">
        <w:t>15.</w:t>
      </w:r>
      <w:r w:rsidRPr="00AE1AB1">
        <w:tab/>
        <w:t>На своей последней сессии SC.1 одобрила руководящую записку на «беспристрастной» основе по правовым аспектам e-CMR (ECE/TRANS/SC.1/</w:t>
      </w:r>
      <w:r w:rsidR="00DF5CC4">
        <w:t xml:space="preserve"> </w:t>
      </w:r>
      <w:r w:rsidRPr="00AE1AB1">
        <w:t>2018/1/Rev.1) и поручила секретариату разместить ее на английском, русском и французском языках на веб-сайте SC.1. Секретариат подтвердил, что это поручение было выполнено, и с руководящей запиской можно ознакомиться по следующим адресам:</w:t>
      </w:r>
      <w:r w:rsidR="00DF5CC4">
        <w:br/>
      </w:r>
      <w:hyperlink r:id="rId11" w:history="1">
        <w:r w:rsidR="00DF5CC4" w:rsidRPr="00065B8F">
          <w:rPr>
            <w:rStyle w:val="Hyperlink"/>
          </w:rPr>
          <w:t>http://www.unece.org/fileadmin/DAM/trans/main/sc1/eCMR_Brochure_EN.pdf</w:t>
        </w:r>
      </w:hyperlink>
      <w:r w:rsidRPr="00AE1AB1">
        <w:t xml:space="preserve">, </w:t>
      </w:r>
      <w:hyperlink r:id="rId12" w:history="1">
        <w:r w:rsidR="00DF5CC4" w:rsidRPr="00DF5CC4">
          <w:rPr>
            <w:rStyle w:val="Hyperlink"/>
          </w:rPr>
          <w:t>http://www.unece.org/fileadmin/DAM/trans/main/sc1/eCMR_Brochure_FR.pdf</w:t>
        </w:r>
      </w:hyperlink>
      <w:r w:rsidR="00DF5CC4">
        <w:rPr>
          <w:rStyle w:val="Hyperlink"/>
        </w:rPr>
        <w:br/>
      </w:r>
      <w:r w:rsidRPr="00AE1AB1">
        <w:t xml:space="preserve">и </w:t>
      </w:r>
      <w:hyperlink r:id="rId13" w:history="1">
        <w:r w:rsidR="00DF5CC4" w:rsidRPr="00DF5CC4">
          <w:rPr>
            <w:rStyle w:val="Hyperlink"/>
          </w:rPr>
          <w:t>http://www.unece.org/fileadmin/DAM/trans/main/sc1/eCMR_Brochure_RU.pdf</w:t>
        </w:r>
      </w:hyperlink>
      <w:r w:rsidRPr="00AE1AB1">
        <w:t>.</w:t>
      </w:r>
    </w:p>
    <w:p w14:paraId="7A7FF063" w14:textId="77777777" w:rsidR="00C31E63" w:rsidRPr="00AE1AB1" w:rsidRDefault="00C31E63" w:rsidP="00C31E63">
      <w:pPr>
        <w:pStyle w:val="SingleTxtG"/>
      </w:pPr>
      <w:r w:rsidRPr="00AE1AB1">
        <w:t>16.</w:t>
      </w:r>
      <w:r w:rsidRPr="00AE1AB1">
        <w:tab/>
        <w:t xml:space="preserve">Кроме того, на прошлой сессии SC.1 учредила неофициальную группу экспертов в составе представителей Германии, Латвии, Российской Федерации, Словении (Председатель), Турции, МСАТ и Европейской комиссии с целью подготовки проекта для рассмотрения в SC.1 на нынешней сессии. На своей </w:t>
      </w:r>
      <w:r>
        <w:t>восемьдесят перво</w:t>
      </w:r>
      <w:r w:rsidRPr="00AE1AB1">
        <w:t xml:space="preserve">й сессии в феврале 2019 года КВТ просил подготовить документ с подробным изложением исследований и других рекомендованных мер. Председатель неофициальной группы экспертов представил обзор работы, сроки и информацию о прогрессе, достигнутом неофициальной группой на данный момент. Он </w:t>
      </w:r>
      <w:r>
        <w:t>внес</w:t>
      </w:r>
      <w:r w:rsidRPr="00AE1AB1">
        <w:t xml:space="preserve"> </w:t>
      </w:r>
      <w:r>
        <w:t xml:space="preserve">также на рассмотрение </w:t>
      </w:r>
      <w:r w:rsidRPr="00AE1AB1">
        <w:t>предл</w:t>
      </w:r>
      <w:r>
        <w:t>оженное</w:t>
      </w:r>
      <w:r w:rsidRPr="00AE1AB1">
        <w:t xml:space="preserve"> содержание проекта документа (неофициальный документ № 1). Председатель призвал неофициальную группу добиться прогресса в </w:t>
      </w:r>
      <w:r w:rsidR="00DF5CC4">
        <w:t>с</w:t>
      </w:r>
      <w:r w:rsidRPr="00AE1AB1">
        <w:t>воей работе и представить официальный документ для рассмотрения SC.1 на следующей сессии.</w:t>
      </w:r>
    </w:p>
    <w:p w14:paraId="1936020C" w14:textId="77777777" w:rsidR="00C31E63" w:rsidRPr="00AE1AB1" w:rsidRDefault="00C31E63" w:rsidP="00C31E63">
      <w:pPr>
        <w:pStyle w:val="SingleTxtG"/>
      </w:pPr>
      <w:r w:rsidRPr="00AE1AB1">
        <w:lastRenderedPageBreak/>
        <w:t>17.</w:t>
      </w:r>
      <w:r w:rsidRPr="00AE1AB1">
        <w:tab/>
        <w:t xml:space="preserve">Латвия выступила с кратким </w:t>
      </w:r>
      <w:r>
        <w:t>сообщение</w:t>
      </w:r>
      <w:r w:rsidRPr="00AE1AB1">
        <w:t>м, в котором был представлен ее пилотный проект, посвященный e-CMR (доклад также размещен на веб-сайте SC.1). SC.1 предложила Латвии выступить на следующей сессии с более подробным докладом.</w:t>
      </w:r>
    </w:p>
    <w:p w14:paraId="47F95868" w14:textId="77777777" w:rsidR="00C31E63" w:rsidRPr="00AE1AB1" w:rsidRDefault="00C31E63" w:rsidP="00C31E63">
      <w:pPr>
        <w:pStyle w:val="SingleTxtG"/>
      </w:pPr>
      <w:r w:rsidRPr="00AE1AB1">
        <w:t>18.</w:t>
      </w:r>
      <w:r w:rsidRPr="00AE1AB1">
        <w:tab/>
        <w:t xml:space="preserve">Секретариат проинформировал SC.1 о своем участии в проекте Исламского банка развития по поощрению присоединения к e-CMR и </w:t>
      </w:r>
      <w:r>
        <w:t xml:space="preserve">его </w:t>
      </w:r>
      <w:r w:rsidRPr="00AE1AB1">
        <w:t>введени</w:t>
      </w:r>
      <w:r>
        <w:t>я</w:t>
      </w:r>
      <w:r w:rsidRPr="00AE1AB1">
        <w:t xml:space="preserve"> в действие в Азербайджане, Афганистане, Иране (Исламской Республике), Казахстане, Кыргызстане, Пакистане, Таджикистане, Туркменистане, Турции и Узбекистане.</w:t>
      </w:r>
      <w:r w:rsidR="00DF5CC4">
        <w:br/>
      </w:r>
      <w:r w:rsidRPr="00AE1AB1">
        <w:t>SC.1 просила представить обновленную информацию на следующей сессии.</w:t>
      </w:r>
    </w:p>
    <w:p w14:paraId="43C163A6" w14:textId="77777777" w:rsidR="00C31E63" w:rsidRPr="00AE1AB1" w:rsidRDefault="00C31E63" w:rsidP="00C31E63">
      <w:pPr>
        <w:pStyle w:val="H1G"/>
      </w:pPr>
      <w:r w:rsidRPr="00AE1AB1">
        <w:tab/>
      </w:r>
      <w:r w:rsidRPr="00AE1AB1">
        <w:rPr>
          <w:bCs/>
        </w:rPr>
        <w:t>D.</w:t>
      </w:r>
      <w:r w:rsidRPr="00AE1AB1">
        <w:tab/>
      </w:r>
      <w:r w:rsidRPr="00AE1AB1">
        <w:rPr>
          <w:bCs/>
        </w:rPr>
        <w:t>Новый(е) правовой(</w:t>
      </w:r>
      <w:proofErr w:type="spellStart"/>
      <w:r w:rsidRPr="00AE1AB1">
        <w:rPr>
          <w:bCs/>
        </w:rPr>
        <w:t>ые</w:t>
      </w:r>
      <w:proofErr w:type="spellEnd"/>
      <w:r w:rsidRPr="00AE1AB1">
        <w:rPr>
          <w:bCs/>
        </w:rPr>
        <w:t>) документ(ы)</w:t>
      </w:r>
    </w:p>
    <w:p w14:paraId="6D18B749" w14:textId="77777777" w:rsidR="00C31E63" w:rsidRPr="00AE1AB1" w:rsidRDefault="00C31E63" w:rsidP="00C31E63">
      <w:pPr>
        <w:pStyle w:val="H23G"/>
      </w:pPr>
      <w:r w:rsidRPr="00AE1AB1">
        <w:tab/>
      </w:r>
      <w:r w:rsidRPr="00AE1AB1">
        <w:tab/>
      </w:r>
      <w:r w:rsidRPr="00AE1AB1">
        <w:rPr>
          <w:bCs/>
        </w:rPr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</w:t>
      </w:r>
      <w:proofErr w:type="spellStart"/>
      <w:r w:rsidRPr="00AE1AB1">
        <w:rPr>
          <w:bCs/>
        </w:rPr>
        <w:t>ОмниБУС</w:t>
      </w:r>
      <w:proofErr w:type="spellEnd"/>
      <w:r w:rsidRPr="00AE1AB1">
        <w:rPr>
          <w:bCs/>
        </w:rPr>
        <w:t>)</w:t>
      </w:r>
    </w:p>
    <w:p w14:paraId="683C5F82" w14:textId="77777777" w:rsidR="00C31E63" w:rsidRPr="00AE1AB1" w:rsidRDefault="00C31E63" w:rsidP="00C31E63">
      <w:pPr>
        <w:pStyle w:val="SingleTxtG"/>
      </w:pPr>
      <w:r w:rsidRPr="00AE1AB1">
        <w:t>19.</w:t>
      </w:r>
      <w:r w:rsidRPr="00AE1AB1">
        <w:tab/>
        <w:t>На своей последней сессии SC.1 возобновила обсуждение с участием представителей Российской Федерации, Турции и Швейцарии. Российская Федерация отметила, что готова принять предлагаемую формулировку, отраженную в пункте 3 статьи 25 в документе ECE/TRANS/SC.1/2015/3, но не «альтернативный вариант». Российская Федерация сняла свою оговорку к пункту 10 приложения VI. Кроме того, Российская Федерация предложила дополнительный текст к разделу «Важное предупреждение» в заявке на выдачу разрешения, содержащейся в приложении I.</w:t>
      </w:r>
    </w:p>
    <w:p w14:paraId="6F28DEF5" w14:textId="77777777" w:rsidR="00C31E63" w:rsidRPr="00AE1AB1" w:rsidRDefault="00C31E63" w:rsidP="00C31E63">
      <w:pPr>
        <w:pStyle w:val="SingleTxtG"/>
      </w:pPr>
      <w:r w:rsidRPr="00AE1AB1">
        <w:t>20.</w:t>
      </w:r>
      <w:r w:rsidRPr="00AE1AB1">
        <w:tab/>
        <w:t xml:space="preserve">Помимо этого, Председатель просил Российскую Федерацию, Турцию и Швейцарию объединить усилия (например, в рамках совещаний «друзей Председателя» либо с использованием других неофициальных методов), чтобы доработать текст проекта соглашения, и представить доработанный текст для его принятия на нынешней сессии. В связи с перебоями в обычных рабочих процессах, вызванными пандемией COVID-19, в первой половине 2020 года такие совещания не проводились. </w:t>
      </w:r>
      <w:r>
        <w:t>П</w:t>
      </w:r>
      <w:r w:rsidRPr="00AE1AB1">
        <w:t xml:space="preserve">ри содействии секретариата Председатель пригласил Российскую Федерацию, </w:t>
      </w:r>
      <w:r>
        <w:t xml:space="preserve">Турцию и </w:t>
      </w:r>
      <w:r w:rsidRPr="00AE1AB1">
        <w:t>Швейцарию на неофициальное совещание и представит обновленную информацию по этому вопросу на следующей сессии.</w:t>
      </w:r>
    </w:p>
    <w:p w14:paraId="0DFE49F4" w14:textId="77777777" w:rsidR="00C31E63" w:rsidRPr="00AE1AB1" w:rsidRDefault="00C31E63" w:rsidP="00C31E63">
      <w:pPr>
        <w:pStyle w:val="SingleTxtG"/>
      </w:pPr>
      <w:r w:rsidRPr="00AE1AB1">
        <w:t>21.</w:t>
      </w:r>
      <w:r w:rsidRPr="00AE1AB1">
        <w:tab/>
        <w:t xml:space="preserve">Европейская комиссия проинформировала о состоянии проектов протоколов к Соглашению </w:t>
      </w:r>
      <w:proofErr w:type="spellStart"/>
      <w:r w:rsidRPr="00AE1AB1">
        <w:t>ИнтерБус</w:t>
      </w:r>
      <w:proofErr w:type="spellEnd"/>
      <w:r w:rsidRPr="00AE1AB1">
        <w:t xml:space="preserve"> (один — для расширения сферы охвата регулярных международных перевозок, а второй — с целью предоставить Марокко возможность присоединиться к Соглашению </w:t>
      </w:r>
      <w:proofErr w:type="spellStart"/>
      <w:r w:rsidRPr="00AE1AB1">
        <w:t>ИнтерБус</w:t>
      </w:r>
      <w:proofErr w:type="spellEnd"/>
      <w:r w:rsidRPr="00AE1AB1">
        <w:t>). SC.1 приняла эту информацию к сведению и предложила Европейской комиссии представить обновленную информацию на следующей сессии.</w:t>
      </w:r>
    </w:p>
    <w:p w14:paraId="6F67CD4F" w14:textId="77777777" w:rsidR="00C31E63" w:rsidRPr="00AE1AB1" w:rsidRDefault="00C31E63" w:rsidP="00C31E63">
      <w:pPr>
        <w:pStyle w:val="H1G"/>
      </w:pPr>
      <w:r>
        <w:tab/>
      </w:r>
      <w:r w:rsidRPr="00AE1AB1">
        <w:t>E.</w:t>
      </w:r>
      <w:r w:rsidRPr="00AE1AB1">
        <w:tab/>
      </w:r>
      <w:r w:rsidRPr="00AE1AB1">
        <w:rPr>
          <w:bCs/>
        </w:rPr>
        <w:t>Сводная резолюция об облегчении международных автомобильных перевозок (СР.4)</w:t>
      </w:r>
    </w:p>
    <w:p w14:paraId="7C3C4E53" w14:textId="77777777" w:rsidR="00C31E63" w:rsidRPr="00AE1AB1" w:rsidRDefault="00C31E63" w:rsidP="00C31E63">
      <w:pPr>
        <w:pStyle w:val="H23G"/>
      </w:pPr>
      <w:r w:rsidRPr="00AE1AB1">
        <w:tab/>
      </w:r>
      <w:r w:rsidRPr="00AE1AB1">
        <w:tab/>
      </w:r>
      <w:r w:rsidRPr="00AE1AB1">
        <w:rPr>
          <w:bCs/>
        </w:rPr>
        <w:t>Связь между происхождением товаров и транспортными операциями</w:t>
      </w:r>
    </w:p>
    <w:p w14:paraId="3095C575" w14:textId="77777777" w:rsidR="00C31E63" w:rsidRPr="00AE1AB1" w:rsidRDefault="00C31E63" w:rsidP="00C31E63">
      <w:pPr>
        <w:pStyle w:val="SingleTxtG"/>
      </w:pPr>
      <w:r w:rsidRPr="00AE1AB1">
        <w:t>22.</w:t>
      </w:r>
      <w:r w:rsidRPr="00AE1AB1">
        <w:tab/>
        <w:t>На последней сессии Польша представила документ ECE/TRANS/SC.1/2019/3, в котором содержалось предложение по поправкам с целью пересмотра СР.4 для включения определения «двусторонних перевозок» в качестве нового подпункта 4.1.9.</w:t>
      </w:r>
    </w:p>
    <w:p w14:paraId="7CC4E45B" w14:textId="77777777" w:rsidR="00C31E63" w:rsidRPr="00AE1AB1" w:rsidRDefault="00C31E63" w:rsidP="00C31E63">
      <w:pPr>
        <w:pStyle w:val="SingleTxtG"/>
      </w:pPr>
      <w:r w:rsidRPr="00AE1AB1">
        <w:t>23.</w:t>
      </w:r>
      <w:r w:rsidRPr="00AE1AB1">
        <w:tab/>
        <w:t>SC.1 просила Латвию, Польшу, Российскую Федерацию и Турцию обсудить альтернативные определения, перечисленные в пунктах 47 и 48 доклада о работе последней сессии (ECE/TRANS/SC.1/412), и согласовать определение, которое будет предложено в документе ECE/TRANS/SC.1/2019/3/Rev.1 для нынешней сессии. Кроме того, членам SC.1 было предложено напрямую связаться с представителями Польши для передачи других альтернативных вариантов.</w:t>
      </w:r>
    </w:p>
    <w:p w14:paraId="28796282" w14:textId="77777777" w:rsidR="00C31E63" w:rsidRPr="00AE1AB1" w:rsidRDefault="00C31E63" w:rsidP="00C31E63">
      <w:pPr>
        <w:pStyle w:val="SingleTxtG"/>
      </w:pPr>
      <w:r w:rsidRPr="00AE1AB1">
        <w:t>24.</w:t>
      </w:r>
      <w:r w:rsidRPr="00AE1AB1">
        <w:tab/>
        <w:t>Польша представила неофициальный документ № 5 вместо документа ECE/</w:t>
      </w:r>
      <w:r w:rsidR="00704D2E">
        <w:t xml:space="preserve"> </w:t>
      </w:r>
      <w:r w:rsidRPr="00AE1AB1">
        <w:t xml:space="preserve">TRANS/SC.1/2019/3/Rev.1 и внесла на рассмотрение свое предложение. После обсуждения Председатель предложил Польше, Российской Федерации и Турции </w:t>
      </w:r>
      <w:r w:rsidRPr="00AE1AB1">
        <w:lastRenderedPageBreak/>
        <w:t>объединить усилия, чтобы на следующей сессии представить совместное предложение или, в качестве альтернативы, отдельные предложения.</w:t>
      </w:r>
    </w:p>
    <w:p w14:paraId="53C4DAFC" w14:textId="77777777" w:rsidR="00C31E63" w:rsidRPr="00AE1AB1" w:rsidRDefault="00C31E63" w:rsidP="00C31E63">
      <w:pPr>
        <w:pStyle w:val="HChG"/>
      </w:pPr>
      <w:r>
        <w:tab/>
      </w:r>
      <w:r w:rsidRPr="00AE1AB1">
        <w:t>IV.</w:t>
      </w:r>
      <w:r w:rsidRPr="00AE1AB1">
        <w:tab/>
      </w:r>
      <w:r w:rsidRPr="00AE1AB1">
        <w:tab/>
      </w:r>
      <w:r w:rsidRPr="00AE1AB1">
        <w:rPr>
          <w:bCs/>
        </w:rPr>
        <w:t>Поддержка новых технологий и инноваций</w:t>
      </w:r>
      <w:r w:rsidR="00704D2E">
        <w:rPr>
          <w:bCs/>
        </w:rPr>
        <w:br/>
      </w:r>
      <w:r w:rsidRPr="00AE1AB1">
        <w:rPr>
          <w:bCs/>
        </w:rPr>
        <w:t>на внутреннем транспорте (пункт 3 повестки дня)</w:t>
      </w:r>
    </w:p>
    <w:p w14:paraId="4211D382" w14:textId="77777777" w:rsidR="00C31E63" w:rsidRPr="00AE1AB1" w:rsidRDefault="00C31E63" w:rsidP="00C31E63">
      <w:pPr>
        <w:pStyle w:val="H1G"/>
      </w:pPr>
      <w:r w:rsidRPr="00AE1AB1">
        <w:tab/>
      </w:r>
      <w:r w:rsidRPr="00AE1AB1">
        <w:tab/>
      </w:r>
      <w:r w:rsidRPr="00AE1AB1">
        <w:rPr>
          <w:bCs/>
        </w:rPr>
        <w:t>Цифровая</w:t>
      </w:r>
      <w:proofErr w:type="gramStart"/>
      <w:r w:rsidRPr="00AE1AB1">
        <w:rPr>
          <w:bCs/>
        </w:rPr>
        <w:t>/«</w:t>
      </w:r>
      <w:proofErr w:type="gramEnd"/>
      <w:r w:rsidRPr="00AE1AB1">
        <w:rPr>
          <w:bCs/>
        </w:rPr>
        <w:t>умная» дорожная инфраструктура</w:t>
      </w:r>
    </w:p>
    <w:p w14:paraId="40EBF386" w14:textId="77777777" w:rsidR="00C31E63" w:rsidRPr="00AE1AB1" w:rsidRDefault="00C31E63" w:rsidP="00C31E63">
      <w:pPr>
        <w:pStyle w:val="SingleTxtG"/>
      </w:pPr>
      <w:r w:rsidRPr="00AE1AB1">
        <w:t>25.</w:t>
      </w:r>
      <w:r w:rsidRPr="00AE1AB1">
        <w:tab/>
        <w:t xml:space="preserve">На прошлой сессии Лихтенштейн заявил о заинтересованности в организации на нынешней сессии презентации по вопросу о контроле срока эксплуатации транспортного средства при помощи технологии </w:t>
      </w:r>
      <w:proofErr w:type="spellStart"/>
      <w:r w:rsidRPr="00AE1AB1">
        <w:t>блокчейн</w:t>
      </w:r>
      <w:proofErr w:type="spellEnd"/>
      <w:r w:rsidRPr="00AE1AB1">
        <w:t>. SC.1 высоко оценила краткое выступление Лихтенштейна, посвященное введению в эту тему, и просила отложить полноценный доклад до следующей сессии.</w:t>
      </w:r>
    </w:p>
    <w:p w14:paraId="36EA3897" w14:textId="77777777" w:rsidR="00C31E63" w:rsidRPr="00AE1AB1" w:rsidRDefault="00C31E63" w:rsidP="00C31E63">
      <w:pPr>
        <w:pStyle w:val="SingleTxtG"/>
      </w:pPr>
      <w:r w:rsidRPr="00AE1AB1">
        <w:t>26.</w:t>
      </w:r>
      <w:r w:rsidRPr="00AE1AB1">
        <w:tab/>
        <w:t>Другим членам SC.1 было также предложено связаться с секретариатом, если они пожелают представить на следующей сессии инициативы по цифровизации дорожных систем или дорожной инфраструктуры в своих странах либо обменяться информацией по этому вопросу.</w:t>
      </w:r>
    </w:p>
    <w:p w14:paraId="5289DBAF" w14:textId="77777777" w:rsidR="00C31E63" w:rsidRPr="00AE1AB1" w:rsidRDefault="00C31E63" w:rsidP="00C31E63">
      <w:pPr>
        <w:pStyle w:val="HChG"/>
      </w:pPr>
      <w:r>
        <w:tab/>
      </w:r>
      <w:r w:rsidRPr="00AE1AB1">
        <w:t>V.</w:t>
      </w:r>
      <w:r w:rsidRPr="00AE1AB1">
        <w:tab/>
      </w:r>
      <w:r w:rsidRPr="00AE1AB1">
        <w:tab/>
      </w:r>
      <w:r w:rsidRPr="00AE1AB1">
        <w:rPr>
          <w:bCs/>
        </w:rPr>
        <w:t>Региональный, межрегиональный и глобальный диалог по вопросам политики в области внутреннего транспорта (пункт 4 повестки дня)</w:t>
      </w:r>
    </w:p>
    <w:p w14:paraId="0DBDB8D2" w14:textId="77777777" w:rsidR="00C31E63" w:rsidRPr="00AE1AB1" w:rsidRDefault="00C31E63" w:rsidP="00C31E63">
      <w:pPr>
        <w:pStyle w:val="H1G"/>
      </w:pPr>
      <w:r w:rsidRPr="00AE1AB1">
        <w:tab/>
      </w:r>
      <w:r w:rsidRPr="00AE1AB1">
        <w:tab/>
      </w:r>
      <w:r w:rsidRPr="00AE1AB1">
        <w:rPr>
          <w:bCs/>
        </w:rPr>
        <w:t>Количественные ограничения на международные автомобильные перевозки грузов</w:t>
      </w:r>
    </w:p>
    <w:p w14:paraId="42680783" w14:textId="77777777" w:rsidR="00C31E63" w:rsidRPr="00AE1AB1" w:rsidRDefault="00C31E63" w:rsidP="00C31E63">
      <w:pPr>
        <w:pStyle w:val="SingleTxtG"/>
      </w:pPr>
      <w:r w:rsidRPr="00AE1AB1">
        <w:t>27.</w:t>
      </w:r>
      <w:r w:rsidRPr="00AE1AB1">
        <w:tab/>
        <w:t>На последней сессии Европейская комиссия сообщила, что взимание в Болгарии, Греции и Румынии транзитных сборов с перевозчиков из Турции не противоречит Таможенному союзу между Европейским союзом и Турцией. Представитель Австрии сослался на решение Европейского суда C629/16, в котором система двусторонних квот была признана соответствующей договору о Таможенном союзе между Европейским союзом и Турцией. SC.1 решила сохранить этот пункт в повестке дня нынешней сессии, с тем чтобы Турция и Европейская комиссия могли при желании передать обновленную информацию о любом новом исследовании по этому вопросу.</w:t>
      </w:r>
    </w:p>
    <w:p w14:paraId="2BF50169" w14:textId="77777777" w:rsidR="00C31E63" w:rsidRPr="00AE1AB1" w:rsidRDefault="00C31E63" w:rsidP="00C31E63">
      <w:pPr>
        <w:pStyle w:val="SingleTxtG"/>
      </w:pPr>
      <w:r w:rsidRPr="00AE1AB1">
        <w:t>28.</w:t>
      </w:r>
      <w:r w:rsidRPr="00AE1AB1">
        <w:tab/>
        <w:t>В связи с нехваткой времени SC.1 не смогла обсудить этот пункт и решила сохранить его в повестке дня своей следующей сессии, с тем чтобы Турция и Европейская комиссия могли при желании передать обновленную информацию по этому вопросу.</w:t>
      </w:r>
    </w:p>
    <w:p w14:paraId="7143E44C" w14:textId="77777777" w:rsidR="00C31E63" w:rsidRPr="00AE1AB1" w:rsidRDefault="00C31E63" w:rsidP="00C31E63">
      <w:pPr>
        <w:pStyle w:val="HChG"/>
      </w:pPr>
      <w:r>
        <w:tab/>
      </w:r>
      <w:r w:rsidRPr="00AE1AB1">
        <w:t>VI.</w:t>
      </w:r>
      <w:r w:rsidRPr="00AE1AB1">
        <w:tab/>
      </w:r>
      <w:r w:rsidRPr="00AE1AB1">
        <w:tab/>
      </w:r>
      <w:r w:rsidRPr="00AE1AB1">
        <w:rPr>
          <w:bCs/>
        </w:rPr>
        <w:t>Содействие обеспечению устойчивого регионального</w:t>
      </w:r>
      <w:r w:rsidR="00704D2E">
        <w:rPr>
          <w:bCs/>
        </w:rPr>
        <w:br/>
      </w:r>
      <w:r w:rsidRPr="00AE1AB1">
        <w:rPr>
          <w:bCs/>
        </w:rPr>
        <w:t>и межрегионального сообщения и мобильности</w:t>
      </w:r>
      <w:r w:rsidR="00704D2E">
        <w:rPr>
          <w:bCs/>
        </w:rPr>
        <w:br/>
      </w:r>
      <w:r w:rsidRPr="00AE1AB1">
        <w:rPr>
          <w:bCs/>
        </w:rPr>
        <w:t>на внутреннем транспорте (пункт 5 повестки дня)</w:t>
      </w:r>
    </w:p>
    <w:p w14:paraId="549A1891" w14:textId="77777777" w:rsidR="00C31E63" w:rsidRPr="00AE1AB1" w:rsidRDefault="00C31E63" w:rsidP="00C31E63">
      <w:pPr>
        <w:pStyle w:val="H1G"/>
      </w:pPr>
      <w:r>
        <w:tab/>
      </w:r>
      <w:r w:rsidRPr="00AE1AB1">
        <w:t>A.</w:t>
      </w:r>
      <w:r w:rsidRPr="00AE1AB1">
        <w:tab/>
      </w:r>
      <w:r w:rsidRPr="00AE1AB1">
        <w:rPr>
          <w:bCs/>
        </w:rPr>
        <w:t>Безопасная и устойчивая дорожная инфраструктура</w:t>
      </w:r>
    </w:p>
    <w:p w14:paraId="36AD4E50" w14:textId="77777777" w:rsidR="00C31E63" w:rsidRPr="00AE1AB1" w:rsidRDefault="00C31E63" w:rsidP="00C31E63">
      <w:pPr>
        <w:pStyle w:val="H23G"/>
      </w:pPr>
      <w:r>
        <w:tab/>
      </w:r>
      <w:r w:rsidRPr="00AE1AB1">
        <w:t>1.</w:t>
      </w:r>
      <w:r w:rsidRPr="00AE1AB1">
        <w:tab/>
      </w:r>
      <w:r w:rsidRPr="00AE1AB1">
        <w:rPr>
          <w:bCs/>
        </w:rPr>
        <w:t>Проверки и аудиты безопасности дорог</w:t>
      </w:r>
    </w:p>
    <w:p w14:paraId="31A23286" w14:textId="77777777" w:rsidR="00C31E63" w:rsidRPr="00AE1AB1" w:rsidRDefault="00C31E63" w:rsidP="00C31E63">
      <w:pPr>
        <w:pStyle w:val="SingleTxtG"/>
      </w:pPr>
      <w:r w:rsidRPr="00AE1AB1">
        <w:t>29.</w:t>
      </w:r>
      <w:r w:rsidRPr="00AE1AB1">
        <w:tab/>
        <w:t>На последней сессии SC.1 решила рассмотреть тему безопасной и устойчивой дорожной инфраструктуры в целом в качестве нового пункта своей повестки дня будущих сессий (пункт 25, ECE/TRANS/SC.1/412).</w:t>
      </w:r>
    </w:p>
    <w:p w14:paraId="367901E4" w14:textId="77777777" w:rsidR="00C31E63" w:rsidRPr="00AE1AB1" w:rsidRDefault="00C31E63" w:rsidP="00C31E63">
      <w:pPr>
        <w:pStyle w:val="SingleTxtG"/>
      </w:pPr>
      <w:r w:rsidRPr="00AE1AB1">
        <w:t>30.</w:t>
      </w:r>
      <w:r w:rsidRPr="00AE1AB1">
        <w:tab/>
        <w:t xml:space="preserve">В связи с нехваткой времени SC.1 решила отложить обсуждение этого вопроса до следующей сессии. Членам SC.1 было также предложено связаться с секретариатом </w:t>
      </w:r>
      <w:r>
        <w:t>и обозначить</w:t>
      </w:r>
      <w:r w:rsidRPr="00AE1AB1">
        <w:t xml:space="preserve"> возможны</w:t>
      </w:r>
      <w:r>
        <w:t>е</w:t>
      </w:r>
      <w:r w:rsidRPr="00AE1AB1">
        <w:t xml:space="preserve"> тем</w:t>
      </w:r>
      <w:r>
        <w:t>ы</w:t>
      </w:r>
      <w:r w:rsidRPr="00AE1AB1">
        <w:t xml:space="preserve"> для обсуждения на следующей сессии.</w:t>
      </w:r>
    </w:p>
    <w:p w14:paraId="5B4A5F0B" w14:textId="77777777" w:rsidR="00C31E63" w:rsidRPr="00AE1AB1" w:rsidRDefault="00C31E63" w:rsidP="00C31E63">
      <w:pPr>
        <w:pStyle w:val="H23G"/>
        <w:rPr>
          <w:sz w:val="24"/>
          <w:szCs w:val="24"/>
        </w:rPr>
      </w:pPr>
      <w:r>
        <w:lastRenderedPageBreak/>
        <w:tab/>
      </w:r>
      <w:r w:rsidRPr="00AE1AB1">
        <w:t>2.</w:t>
      </w:r>
      <w:r w:rsidRPr="00AE1AB1">
        <w:tab/>
      </w:r>
      <w:r w:rsidRPr="00AE1AB1">
        <w:rPr>
          <w:bCs/>
        </w:rPr>
        <w:t>Оценка последствий изменения климата для внутреннего транспорта</w:t>
      </w:r>
      <w:r w:rsidR="00EA2B97">
        <w:rPr>
          <w:bCs/>
        </w:rPr>
        <w:br/>
      </w:r>
      <w:r w:rsidRPr="00AE1AB1">
        <w:rPr>
          <w:bCs/>
        </w:rPr>
        <w:t>и адаптация к ним</w:t>
      </w:r>
    </w:p>
    <w:p w14:paraId="4F2D1352" w14:textId="77777777" w:rsidR="00C31E63" w:rsidRPr="00AE1AB1" w:rsidRDefault="00C31E63" w:rsidP="00C31E63">
      <w:pPr>
        <w:pStyle w:val="SingleTxtG"/>
      </w:pPr>
      <w:r w:rsidRPr="00AE1AB1">
        <w:t>31.</w:t>
      </w:r>
      <w:r w:rsidRPr="00AE1AB1">
        <w:tab/>
        <w:t>Секретарь Группы экспертов ЕЭК по оценке последствий изменения климата для внутреннего транспорта и адаптации к ним (ранее — Группа экспертов по последствиям изменения климата для международных транспортных сетей и узлов и адаптации к ним) представил обновленную информацию о работе этой группы, которая занимается анализом последствий изменения климата для основных транспортных активов в регионе ЕЭК</w:t>
      </w:r>
      <w:r>
        <w:t>.</w:t>
      </w:r>
      <w:r w:rsidRPr="00AE1AB1">
        <w:t xml:space="preserve"> SC.1 высоко оценила эту информацию и просила оставить </w:t>
      </w:r>
      <w:r>
        <w:t xml:space="preserve">данный </w:t>
      </w:r>
      <w:r w:rsidRPr="00AE1AB1">
        <w:t>пункт в повестке дня, с тем чтобы секретарь Группы экспертов мог в дальнейшем представлять обновленную информацию с учетом актуальности этой темы для работы SC.1.</w:t>
      </w:r>
    </w:p>
    <w:p w14:paraId="0F4B00F7" w14:textId="77777777" w:rsidR="00C31E63" w:rsidRPr="00AE1AB1" w:rsidRDefault="00C31E63" w:rsidP="00C31E63">
      <w:pPr>
        <w:pStyle w:val="SingleTxtG"/>
      </w:pPr>
      <w:r w:rsidRPr="00AE1AB1">
        <w:t>32.</w:t>
      </w:r>
      <w:r w:rsidRPr="00AE1AB1">
        <w:tab/>
        <w:t xml:space="preserve">На последней сессии членам SC.1 было предложено представить в секретариат </w:t>
      </w:r>
      <w:proofErr w:type="spellStart"/>
      <w:r w:rsidRPr="00AE1AB1">
        <w:t>шейп</w:t>
      </w:r>
      <w:proofErr w:type="spellEnd"/>
      <w:r w:rsidRPr="00AE1AB1">
        <w:t>-файлы (т.</w:t>
      </w:r>
      <w:r w:rsidR="00BF16A5">
        <w:rPr>
          <w:lang w:val="fr-CH"/>
        </w:rPr>
        <w:t> </w:t>
      </w:r>
      <w:r w:rsidRPr="00AE1AB1">
        <w:t>е. такие проекционные данные, как EPSG 3857, и по крайней мере одно поле, содержащее номер/а дороги/дорог категории E) дорог категории E в своих странах, которые можно было бы использовать для обновления карты дорог</w:t>
      </w:r>
      <w:r w:rsidR="00BF16A5">
        <w:br/>
      </w:r>
      <w:r w:rsidRPr="00AE1AB1">
        <w:t xml:space="preserve">категории E. Кроме того, представитель Германии предложил секретариату запросить </w:t>
      </w:r>
      <w:proofErr w:type="spellStart"/>
      <w:r w:rsidRPr="00AE1AB1">
        <w:t>шейп</w:t>
      </w:r>
      <w:proofErr w:type="spellEnd"/>
      <w:r w:rsidRPr="00AE1AB1">
        <w:t xml:space="preserve">-файлы, касающиеся дорог категории Е, из базы данных TEС-T. Секретариат сообщил, что, несмотря на напоминания, он еще не получил </w:t>
      </w:r>
      <w:proofErr w:type="spellStart"/>
      <w:r w:rsidRPr="00AE1AB1">
        <w:t>шейп</w:t>
      </w:r>
      <w:proofErr w:type="spellEnd"/>
      <w:r w:rsidRPr="00AE1AB1">
        <w:t xml:space="preserve">-файлы, и вновь повторил просьбу, адресованную членам SC.1. Что касается </w:t>
      </w:r>
      <w:proofErr w:type="spellStart"/>
      <w:r w:rsidRPr="00AE1AB1">
        <w:t>шейп</w:t>
      </w:r>
      <w:proofErr w:type="spellEnd"/>
      <w:r w:rsidRPr="00AE1AB1">
        <w:t>-файлов из базы данных TEС-T, то секретариат обратился с запросом к региональному советнику ЕЭК по транспорту. Секретариат будет следить за этой работой и представит обновленную информацию на следующей сессии.</w:t>
      </w:r>
    </w:p>
    <w:p w14:paraId="4B70C4D8" w14:textId="77777777" w:rsidR="00C31E63" w:rsidRPr="00AE1AB1" w:rsidRDefault="00C31E63" w:rsidP="00C31E63">
      <w:pPr>
        <w:pStyle w:val="H23G"/>
      </w:pPr>
      <w:r>
        <w:tab/>
      </w:r>
      <w:r w:rsidRPr="00AE1AB1">
        <w:t>3.</w:t>
      </w:r>
      <w:r w:rsidRPr="00AE1AB1">
        <w:tab/>
      </w:r>
      <w:r w:rsidRPr="00AE1AB1">
        <w:rPr>
          <w:bCs/>
        </w:rPr>
        <w:t>Сопоставительный анализ для транспортной инфраструктуры</w:t>
      </w:r>
      <w:r w:rsidRPr="00AE1AB1">
        <w:t xml:space="preserve"> </w:t>
      </w:r>
    </w:p>
    <w:p w14:paraId="403C6664" w14:textId="77777777" w:rsidR="00C31E63" w:rsidRPr="00AE1AB1" w:rsidRDefault="00C31E63" w:rsidP="00C31E63">
      <w:pPr>
        <w:pStyle w:val="SingleTxtG"/>
      </w:pPr>
      <w:r w:rsidRPr="00AE1AB1">
        <w:t>33.</w:t>
      </w:r>
      <w:r w:rsidRPr="00AE1AB1">
        <w:tab/>
        <w:t xml:space="preserve">Секретарь Группы экспертов по сопоставительному анализу затрат на строительство транспортной инфраструктуры представил обновленную информацию о работе Группы, которая занимается определением моделей, методологий, инструментов и передовой практики для оценки, расчета и анализа расходов на транспортную инфраструктуру </w:t>
      </w:r>
      <w:r>
        <w:t>по</w:t>
      </w:r>
      <w:r w:rsidRPr="00AE1AB1">
        <w:t xml:space="preserve"> все</w:t>
      </w:r>
      <w:r>
        <w:t>м</w:t>
      </w:r>
      <w:r w:rsidRPr="00AE1AB1">
        <w:t xml:space="preserve"> вид</w:t>
      </w:r>
      <w:r>
        <w:t>ам</w:t>
      </w:r>
      <w:r w:rsidRPr="00AE1AB1">
        <w:t xml:space="preserve"> транспорта (автомобильного, железнодорожного, внутреннего водного и интермодального). На последней сессии членам SC.1 было предложено заполнить вопросник. Срок для заполнения вопросника был продлен до января 2021 года. SC.1 высоко оценила эту информацию и просила оставить </w:t>
      </w:r>
      <w:r>
        <w:t>данный</w:t>
      </w:r>
      <w:r w:rsidRPr="00AE1AB1">
        <w:t xml:space="preserve"> пункт в повестке дня, с тем чтобы секретарь Группы экспертов мог на периодической основе представлять обновленную информацию с учетом актуальности этой темы для работы SC.1.</w:t>
      </w:r>
    </w:p>
    <w:p w14:paraId="6830CE96" w14:textId="77777777" w:rsidR="00C31E63" w:rsidRPr="00AE1AB1" w:rsidRDefault="00C31E63" w:rsidP="00C31E63">
      <w:pPr>
        <w:pStyle w:val="H1G"/>
      </w:pPr>
      <w:r>
        <w:tab/>
      </w:r>
      <w:r w:rsidRPr="00AE1AB1">
        <w:t>B.</w:t>
      </w:r>
      <w:r w:rsidRPr="00AE1AB1">
        <w:tab/>
      </w:r>
      <w:r w:rsidRPr="00AE1AB1">
        <w:rPr>
          <w:bCs/>
        </w:rPr>
        <w:t xml:space="preserve">Проект </w:t>
      </w:r>
      <w:r>
        <w:rPr>
          <w:bCs/>
        </w:rPr>
        <w:t>Т</w:t>
      </w:r>
      <w:r w:rsidRPr="00AE1AB1">
        <w:rPr>
          <w:bCs/>
        </w:rPr>
        <w:t>рансъевропейской автомагистрали Север — Юг (ТЕА)</w:t>
      </w:r>
    </w:p>
    <w:p w14:paraId="33723C8A" w14:textId="77777777" w:rsidR="00C31E63" w:rsidRPr="00AE1AB1" w:rsidRDefault="00C31E63" w:rsidP="00C31E63">
      <w:pPr>
        <w:pStyle w:val="SingleTxtG"/>
      </w:pPr>
      <w:r w:rsidRPr="00AE1AB1">
        <w:t>34.</w:t>
      </w:r>
      <w:r w:rsidRPr="00AE1AB1">
        <w:tab/>
        <w:t>Управляющий проекта ТЕА представил доклад о существенном прогрессе, достигнутом в рамках проекта ТЕА с момента проведения последней сессии. В этот доклад были также включены области взаимодействия и возможности для сотрудничества между SC.1 и Группой по проекту ТЕА. Что касается последнего вопроса, то членам SC.1 было предложено принять участие в рабочем совещании, которое будет организовано управляющим проекта ТЕА весной 2021 года</w:t>
      </w:r>
      <w:r w:rsidR="00BF16A5">
        <w:br/>
      </w:r>
      <w:r w:rsidRPr="00AE1AB1">
        <w:t xml:space="preserve">(по стратегиям управления использованием дорог, взиманию платы за пользование дорогами, безопасности дорожного движения, перевозкам негабаритных и тяжеловесных грузов, а также </w:t>
      </w:r>
      <w:r>
        <w:t>связности</w:t>
      </w:r>
      <w:r w:rsidRPr="00AE1AB1">
        <w:t xml:space="preserve"> и мобильности).</w:t>
      </w:r>
    </w:p>
    <w:p w14:paraId="40895120" w14:textId="77777777" w:rsidR="00C31E63" w:rsidRPr="00AE1AB1" w:rsidRDefault="00C31E63" w:rsidP="00C31E63">
      <w:pPr>
        <w:pStyle w:val="HChG"/>
      </w:pPr>
      <w:r>
        <w:tab/>
      </w:r>
      <w:r w:rsidRPr="00AE1AB1">
        <w:t>VII.</w:t>
      </w:r>
      <w:r w:rsidRPr="00AE1AB1">
        <w:tab/>
      </w:r>
      <w:r w:rsidRPr="00AE1AB1">
        <w:tab/>
      </w:r>
      <w:r w:rsidRPr="00AE1AB1">
        <w:rPr>
          <w:bCs/>
        </w:rPr>
        <w:t>Облегчение международных автомобильных перевозок (пункт 6 повестки дня)</w:t>
      </w:r>
    </w:p>
    <w:p w14:paraId="6EFA0E0A" w14:textId="77777777" w:rsidR="00C31E63" w:rsidRPr="00AE1AB1" w:rsidRDefault="00C31E63" w:rsidP="00C31E63">
      <w:pPr>
        <w:pStyle w:val="H23G"/>
        <w:rPr>
          <w:bCs/>
          <w:sz w:val="24"/>
          <w:szCs w:val="24"/>
        </w:rPr>
      </w:pPr>
      <w:r w:rsidRPr="00AE1AB1">
        <w:tab/>
      </w:r>
      <w:r w:rsidRPr="00AE1AB1">
        <w:tab/>
      </w:r>
      <w:r w:rsidRPr="00AE1AB1">
        <w:rPr>
          <w:bCs/>
        </w:rPr>
        <w:t>Международная система страхования автотранспортных средств</w:t>
      </w:r>
      <w:r w:rsidR="00BF16A5">
        <w:rPr>
          <w:bCs/>
        </w:rPr>
        <w:br/>
      </w:r>
      <w:r w:rsidRPr="00AE1AB1">
        <w:rPr>
          <w:bCs/>
        </w:rPr>
        <w:t>(«Зеленая карта»)</w:t>
      </w:r>
    </w:p>
    <w:p w14:paraId="09F99889" w14:textId="77777777" w:rsidR="00C31E63" w:rsidRPr="00AE1AB1" w:rsidRDefault="00C31E63" w:rsidP="00C31E63">
      <w:pPr>
        <w:pStyle w:val="SingleTxtG"/>
      </w:pPr>
      <w:r w:rsidRPr="00AE1AB1">
        <w:t>35.</w:t>
      </w:r>
      <w:r w:rsidRPr="00AE1AB1">
        <w:tab/>
        <w:t>Директор-распорядитель Совета страховых бюро представил доклад (ECE/</w:t>
      </w:r>
      <w:r w:rsidR="00BF16A5" w:rsidRPr="00BF16A5">
        <w:t xml:space="preserve"> </w:t>
      </w:r>
      <w:r w:rsidRPr="00AE1AB1">
        <w:t>TRANS/SC.1/2020/1) и выступил с сообщением, в котором проинформировал SC.1</w:t>
      </w:r>
      <w:r w:rsidR="00BF16A5">
        <w:br/>
      </w:r>
      <w:r w:rsidRPr="00AE1AB1">
        <w:lastRenderedPageBreak/>
        <w:t xml:space="preserve">о последних изменениях в системе «Зеленая карта», в том числе о возможности использования </w:t>
      </w:r>
      <w:r>
        <w:t>з</w:t>
      </w:r>
      <w:r w:rsidRPr="00AE1AB1">
        <w:t>еленой карты в формате PDF на электронных устройствах. SC.1 предложила ССБ при желании представить на следующей сессии предложение по этому вопросу.</w:t>
      </w:r>
    </w:p>
    <w:p w14:paraId="475D7FD5" w14:textId="77777777" w:rsidR="00C31E63" w:rsidRPr="00AE1AB1" w:rsidRDefault="00C31E63" w:rsidP="00C31E63">
      <w:pPr>
        <w:pStyle w:val="HChG"/>
      </w:pPr>
      <w:r>
        <w:tab/>
      </w:r>
      <w:r w:rsidRPr="00AE1AB1">
        <w:t>VIII.</w:t>
      </w:r>
      <w:r w:rsidRPr="00AE1AB1">
        <w:tab/>
      </w:r>
      <w:r w:rsidRPr="00AE1AB1">
        <w:tab/>
      </w:r>
      <w:r w:rsidRPr="00AE1AB1">
        <w:rPr>
          <w:bCs/>
        </w:rPr>
        <w:t>Пересмотр круга ведения и правил процедуры SC.1 (пункт 7 повестки дня)</w:t>
      </w:r>
    </w:p>
    <w:p w14:paraId="68FDF3D4" w14:textId="77777777" w:rsidR="00C31E63" w:rsidRPr="00AE1AB1" w:rsidRDefault="00C31E63" w:rsidP="00C31E63">
      <w:pPr>
        <w:pStyle w:val="SingleTxtG"/>
      </w:pPr>
      <w:r w:rsidRPr="00AE1AB1">
        <w:t>36.</w:t>
      </w:r>
      <w:r w:rsidRPr="00AE1AB1">
        <w:tab/>
        <w:t xml:space="preserve">В 2016 году Бельгия и Германия </w:t>
      </w:r>
      <w:r>
        <w:t>представили</w:t>
      </w:r>
      <w:r w:rsidRPr="00AE1AB1">
        <w:t xml:space="preserve"> предложение о</w:t>
      </w:r>
      <w:r>
        <w:t xml:space="preserve"> внесении</w:t>
      </w:r>
      <w:r w:rsidRPr="00AE1AB1">
        <w:t xml:space="preserve"> изменени</w:t>
      </w:r>
      <w:r>
        <w:t>й</w:t>
      </w:r>
      <w:r w:rsidRPr="00AE1AB1">
        <w:t xml:space="preserve"> </w:t>
      </w:r>
      <w:r>
        <w:t>в</w:t>
      </w:r>
      <w:r w:rsidRPr="00AE1AB1">
        <w:t xml:space="preserve"> круг ведения и правила процедуры SC.1 (неофициальные документы</w:t>
      </w:r>
      <w:r w:rsidR="00BF16A5">
        <w:br/>
      </w:r>
      <w:r w:rsidRPr="00AE1AB1">
        <w:t>№ 3 и 4 (2016 год)). На последней сессии SC.1 возобновила отложенные ранее обсуждения. Германия координировала обсуждение по неофициальному</w:t>
      </w:r>
      <w:r w:rsidR="00BF16A5">
        <w:br/>
      </w:r>
      <w:r w:rsidRPr="00AE1AB1">
        <w:t>документу № 4 (2019 год).</w:t>
      </w:r>
    </w:p>
    <w:p w14:paraId="718009F8" w14:textId="77777777" w:rsidR="00C31E63" w:rsidRPr="00AE1AB1" w:rsidRDefault="00C31E63" w:rsidP="00C31E63">
      <w:pPr>
        <w:pStyle w:val="SingleTxtG"/>
      </w:pPr>
      <w:r w:rsidRPr="00AE1AB1">
        <w:t>37.</w:t>
      </w:r>
      <w:r w:rsidRPr="00AE1AB1">
        <w:tab/>
        <w:t>В соответствии с просьбой SC.1 Германия представила документ ECE/TRANS/</w:t>
      </w:r>
      <w:r w:rsidR="00BF16A5" w:rsidRPr="00BF16A5">
        <w:t xml:space="preserve"> </w:t>
      </w:r>
      <w:r w:rsidRPr="00AE1AB1">
        <w:t>SC.1/2020/2 с предлагаемыми изменениями и внесла его на рассмотрение. В связи с нехваткой времени SC.1 решила отложить обсуждение этого вопроса до следующей сессии.</w:t>
      </w:r>
    </w:p>
    <w:p w14:paraId="580B55E5" w14:textId="77777777" w:rsidR="00C31E63" w:rsidRPr="00AE1AB1" w:rsidRDefault="00C31E63" w:rsidP="00C31E63">
      <w:pPr>
        <w:pStyle w:val="HChG"/>
      </w:pPr>
      <w:r>
        <w:tab/>
      </w:r>
      <w:r w:rsidRPr="00AE1AB1">
        <w:t>IX.</w:t>
      </w:r>
      <w:r w:rsidRPr="00AE1AB1">
        <w:tab/>
      </w:r>
      <w:r w:rsidRPr="00AE1AB1">
        <w:tab/>
      </w:r>
      <w:r w:rsidRPr="00AE1AB1">
        <w:rPr>
          <w:bCs/>
        </w:rPr>
        <w:t>Деятельность, представляющая интерес для Рабочей группы (пункт 8 повестки дня)</w:t>
      </w:r>
    </w:p>
    <w:p w14:paraId="45EB141F" w14:textId="77777777" w:rsidR="00C31E63" w:rsidRPr="00AE1AB1" w:rsidRDefault="00C31E63" w:rsidP="00C31E63">
      <w:pPr>
        <w:pStyle w:val="H1G"/>
      </w:pPr>
      <w:r>
        <w:tab/>
      </w:r>
      <w:r w:rsidRPr="00AE1AB1">
        <w:t>A.</w:t>
      </w:r>
      <w:r w:rsidRPr="00AE1AB1">
        <w:tab/>
      </w:r>
      <w:r w:rsidRPr="00AE1AB1">
        <w:tab/>
      </w:r>
      <w:r w:rsidRPr="00AE1AB1">
        <w:rPr>
          <w:bCs/>
        </w:rPr>
        <w:t>Национальные делегации</w:t>
      </w:r>
    </w:p>
    <w:p w14:paraId="666FD29C" w14:textId="77777777" w:rsidR="00C31E63" w:rsidRPr="00AE1AB1" w:rsidRDefault="00C31E63" w:rsidP="00C31E63">
      <w:pPr>
        <w:pStyle w:val="SingleTxtG"/>
      </w:pPr>
      <w:r w:rsidRPr="00AE1AB1">
        <w:t>38.</w:t>
      </w:r>
      <w:r w:rsidRPr="00AE1AB1">
        <w:tab/>
        <w:t>В связи с нехваткой времени SC.1 просила национальные делегации отложить свои выступления по этому пункту до следующей сессии.</w:t>
      </w:r>
    </w:p>
    <w:p w14:paraId="6AEF9358" w14:textId="77777777" w:rsidR="00C31E63" w:rsidRPr="00AE1AB1" w:rsidRDefault="00C31E63" w:rsidP="00C31E63">
      <w:pPr>
        <w:pStyle w:val="H1G"/>
        <w:rPr>
          <w:rStyle w:val="H1GChar"/>
          <w:b/>
        </w:rPr>
      </w:pPr>
      <w:r>
        <w:tab/>
      </w:r>
      <w:r w:rsidRPr="00AE1AB1">
        <w:t>B.</w:t>
      </w:r>
      <w:r w:rsidRPr="00AE1AB1">
        <w:tab/>
      </w:r>
      <w:r w:rsidRPr="00AE1AB1">
        <w:rPr>
          <w:bCs/>
        </w:rPr>
        <w:t>Международные организации</w:t>
      </w:r>
    </w:p>
    <w:p w14:paraId="03F48DA9" w14:textId="77777777" w:rsidR="00C31E63" w:rsidRPr="00AE1AB1" w:rsidRDefault="00C31E63" w:rsidP="00C31E63">
      <w:pPr>
        <w:pStyle w:val="SingleTxtG"/>
      </w:pPr>
      <w:r w:rsidRPr="00AE1AB1">
        <w:t>39.</w:t>
      </w:r>
      <w:r w:rsidRPr="00AE1AB1">
        <w:tab/>
        <w:t>В связи с нехваткой времени SC.1 просила представителей международных организаций отложить свои выступления по этому пункту до следующей сессии.</w:t>
      </w:r>
    </w:p>
    <w:p w14:paraId="57EB3514" w14:textId="77777777" w:rsidR="00C31E63" w:rsidRPr="00AE1AB1" w:rsidRDefault="00C31E63" w:rsidP="00C31E63">
      <w:pPr>
        <w:pStyle w:val="H1G"/>
      </w:pPr>
      <w:r>
        <w:tab/>
      </w:r>
      <w:r w:rsidRPr="00AE1AB1">
        <w:t>C.</w:t>
      </w:r>
      <w:r w:rsidRPr="00AE1AB1">
        <w:tab/>
      </w:r>
      <w:r w:rsidRPr="00AE1AB1">
        <w:rPr>
          <w:bCs/>
        </w:rPr>
        <w:t>Деятельность органов Европейской экономической комиссии Организации Объединенных Наций (ЕЭК ООН) и других организаций системы Организации Объединенных Наций</w:t>
      </w:r>
    </w:p>
    <w:p w14:paraId="7560324E" w14:textId="77777777" w:rsidR="00C31E63" w:rsidRPr="00AE1AB1" w:rsidRDefault="00C31E63" w:rsidP="00C31E63">
      <w:pPr>
        <w:pStyle w:val="SingleTxtG"/>
      </w:pPr>
      <w:r w:rsidRPr="00AE1AB1">
        <w:t>40.</w:t>
      </w:r>
      <w:r w:rsidRPr="00AE1AB1">
        <w:tab/>
        <w:t>Рабочая группа была проинформирована о результатах соответствующих сессий КВТ и его вспомогательных органов.</w:t>
      </w:r>
    </w:p>
    <w:p w14:paraId="0676C5B6" w14:textId="77777777" w:rsidR="00C31E63" w:rsidRPr="00AE1AB1" w:rsidRDefault="00C31E63" w:rsidP="00C31E63">
      <w:pPr>
        <w:pStyle w:val="SingleTxtG"/>
      </w:pPr>
      <w:r w:rsidRPr="00AE1AB1">
        <w:t>41.</w:t>
      </w:r>
      <w:r w:rsidRPr="00AE1AB1">
        <w:tab/>
        <w:t>Заместитель секретаря КВТ представил обзор осуществления Стратегии КВТ на период до 2030 года (неофициальный документ № 6). SC.1 выразила свою поддержку в отношении предлагаемого плана и содержащихся в нем конкретных задач, воз</w:t>
      </w:r>
      <w:r>
        <w:t>лагаемых</w:t>
      </w:r>
      <w:r w:rsidRPr="00AE1AB1">
        <w:t xml:space="preserve"> на SC.1. Секретариат в краткой форме рассказал</w:t>
      </w:r>
      <w:r>
        <w:t xml:space="preserve"> о</w:t>
      </w:r>
      <w:r w:rsidRPr="00AE1AB1">
        <w:t xml:space="preserve"> проведенной на данный момент работе SC.1 по выполнению задач 5.6, 5.14 и 5.16.</w:t>
      </w:r>
    </w:p>
    <w:p w14:paraId="158B95D6" w14:textId="77777777" w:rsidR="00C31E63" w:rsidRPr="00AE1AB1" w:rsidRDefault="00C31E63" w:rsidP="00C31E63">
      <w:pPr>
        <w:pStyle w:val="SingleTxtG"/>
      </w:pPr>
      <w:r w:rsidRPr="00AE1AB1">
        <w:t>42.</w:t>
      </w:r>
      <w:r w:rsidRPr="00AE1AB1">
        <w:tab/>
        <w:t>Учитывая расширение сотрудничества SC.1 с Глобальным форумом по безопасности дорожного движения (WP.1) и Всемирным форумом для согласования правил в области транспортных средств (WP.29), SC.1 предложила секретарям WP.1</w:t>
      </w:r>
      <w:r w:rsidR="00BF16A5">
        <w:br/>
      </w:r>
      <w:r w:rsidRPr="00AE1AB1">
        <w:t>и WP.29 принять участие в работе нынешней сессии и представить обзор вопросов, имеющих отношение к SC.1, которые были рассмотрены на их недавних сессиях. Секретарь WP.1 проинформировал SC.1 о последних изменениях в области автоматизированных транспортных средств, в частности о поправках к Конвенции о дорожном движении 1968 года.</w:t>
      </w:r>
    </w:p>
    <w:p w14:paraId="26FFE77E" w14:textId="77777777" w:rsidR="00C31E63" w:rsidRPr="00AE1AB1" w:rsidRDefault="00C31E63" w:rsidP="00C31E63">
      <w:pPr>
        <w:pStyle w:val="SingleTxtG"/>
      </w:pPr>
      <w:r w:rsidRPr="00AE1AB1">
        <w:t>43.</w:t>
      </w:r>
      <w:r w:rsidRPr="00AE1AB1">
        <w:tab/>
        <w:t>Секретарь WP.29 представил обновленную информацию о состоянии рамочного документа по безопасности автоматизированных транспортных средств и о работе Группы экспертов по разработке правил, касающихся автономных/</w:t>
      </w:r>
      <w:r w:rsidR="00BF16A5" w:rsidRPr="00BF16A5">
        <w:t xml:space="preserve"> </w:t>
      </w:r>
      <w:r w:rsidRPr="00AE1AB1">
        <w:lastRenderedPageBreak/>
        <w:t>автоматизированных и подключенных транспортных средств (в том числе кибербезопасности) (известной также как WP.29/GRVA).</w:t>
      </w:r>
    </w:p>
    <w:p w14:paraId="4260A1D1" w14:textId="2E3DD71E" w:rsidR="00C31E63" w:rsidRPr="00AE1AB1" w:rsidRDefault="00C31E63" w:rsidP="00C31E63">
      <w:pPr>
        <w:pStyle w:val="SingleTxtG"/>
      </w:pPr>
      <w:r w:rsidRPr="00AE1AB1">
        <w:t>44.</w:t>
      </w:r>
      <w:r w:rsidRPr="00AE1AB1">
        <w:tab/>
        <w:t xml:space="preserve">Секретариат WP.29 представил также информацию об обновлении «дорожной карты» ИТС (решение 18 КВТ, неофициальный документ № 10/Rev.6). </w:t>
      </w:r>
      <w:r>
        <w:t>«</w:t>
      </w:r>
      <w:r w:rsidRPr="00AE1AB1">
        <w:t>Дорожная карта</w:t>
      </w:r>
      <w:r>
        <w:t>»</w:t>
      </w:r>
      <w:r w:rsidRPr="00AE1AB1">
        <w:t xml:space="preserve"> уже была пересмотрена, ее первый проект</w:t>
      </w:r>
      <w:r>
        <w:t xml:space="preserve"> имеется по адресу</w:t>
      </w:r>
      <w:r w:rsidR="00295346">
        <w:br/>
      </w:r>
      <w:hyperlink r:id="rId14" w:history="1">
        <w:r w:rsidR="004D6FA2" w:rsidRPr="00065B8F">
          <w:rPr>
            <w:rStyle w:val="Hyperlink"/>
          </w:rPr>
          <w:t>https://docs.google.com/document/d/1-tIgg7XLAaax0t-WuiMrdU8WFxH3eOO6/edit</w:t>
        </w:r>
      </w:hyperlink>
      <w:r w:rsidRPr="00AE1AB1">
        <w:t>,</w:t>
      </w:r>
      <w:r w:rsidR="00964B70">
        <w:t xml:space="preserve"> </w:t>
      </w:r>
      <w:r w:rsidRPr="00AE1AB1">
        <w:t xml:space="preserve">и рабочие группы могут представлять к нему дополнительные замечания и материалы (изменения в первоначальном тексте выделены жирным шрифтом). Председатель SC.1 предложил всем делегатам SC.1 </w:t>
      </w:r>
      <w:r>
        <w:t>ознакомиться с</w:t>
      </w:r>
      <w:r w:rsidRPr="00AE1AB1">
        <w:t xml:space="preserve"> эт</w:t>
      </w:r>
      <w:r>
        <w:t>им</w:t>
      </w:r>
      <w:r w:rsidRPr="00AE1AB1">
        <w:t xml:space="preserve"> проект</w:t>
      </w:r>
      <w:r>
        <w:t>ом</w:t>
      </w:r>
      <w:r w:rsidRPr="00AE1AB1">
        <w:t xml:space="preserve"> документа и представить свои замечания в режиме онлайн до 6 ноября 2020 года.</w:t>
      </w:r>
    </w:p>
    <w:p w14:paraId="102CAEFD" w14:textId="77777777" w:rsidR="00C31E63" w:rsidRPr="00AE1AB1" w:rsidRDefault="00C31E63" w:rsidP="00C31E63">
      <w:pPr>
        <w:pStyle w:val="SingleTxtG"/>
      </w:pPr>
      <w:r w:rsidRPr="00AE1AB1">
        <w:t>45.</w:t>
      </w:r>
      <w:r w:rsidRPr="00AE1AB1">
        <w:tab/>
        <w:t>SC.1 просила секретарей WP.1 и Рабочей группы по тенденциям и экономике транспорта (WP.5) пр</w:t>
      </w:r>
      <w:r>
        <w:t>оинформирова</w:t>
      </w:r>
      <w:r w:rsidRPr="00AE1AB1">
        <w:t>ть на следующей сессии о работе</w:t>
      </w:r>
      <w:r>
        <w:t xml:space="preserve"> этих групп</w:t>
      </w:r>
      <w:r w:rsidRPr="00AE1AB1">
        <w:t xml:space="preserve">, в том числе </w:t>
      </w:r>
      <w:r>
        <w:t xml:space="preserve">о </w:t>
      </w:r>
      <w:r w:rsidRPr="00AE1AB1">
        <w:t xml:space="preserve">документе WP.5, озаглавленном </w:t>
      </w:r>
      <w:r>
        <w:t>«</w:t>
      </w:r>
      <w:r w:rsidRPr="00AE1AB1">
        <w:t>Оценка устойчивости сектора внутреннего транспорта к пандемиям и международным чрезвычайным ситуациям</w:t>
      </w:r>
      <w:r>
        <w:t>»</w:t>
      </w:r>
      <w:r w:rsidRPr="00AE1AB1">
        <w:t>.</w:t>
      </w:r>
    </w:p>
    <w:p w14:paraId="1D41CE25" w14:textId="77777777" w:rsidR="00C31E63" w:rsidRPr="00AE1AB1" w:rsidRDefault="00C31E63" w:rsidP="00C31E63">
      <w:pPr>
        <w:pStyle w:val="HChG"/>
      </w:pPr>
      <w:r>
        <w:tab/>
      </w:r>
      <w:r w:rsidRPr="00AE1AB1">
        <w:t>X.</w:t>
      </w:r>
      <w:r w:rsidRPr="00AE1AB1">
        <w:tab/>
      </w:r>
      <w:r w:rsidRPr="00AE1AB1">
        <w:tab/>
      </w:r>
      <w:r w:rsidRPr="00AE1AB1">
        <w:rPr>
          <w:bCs/>
        </w:rPr>
        <w:t>Прочие вопросы (пункт 9 повестки дня)</w:t>
      </w:r>
    </w:p>
    <w:p w14:paraId="008E17B2" w14:textId="77777777" w:rsidR="00C31E63" w:rsidRPr="00AE1AB1" w:rsidRDefault="00C31E63" w:rsidP="00C31E63">
      <w:pPr>
        <w:pStyle w:val="SingleTxtG"/>
      </w:pPr>
      <w:r w:rsidRPr="00AE1AB1">
        <w:t>46.</w:t>
      </w:r>
      <w:r w:rsidRPr="00AE1AB1">
        <w:tab/>
        <w:t xml:space="preserve">Секретариат представил проект совместного использования автомобилей (каршеринг и </w:t>
      </w:r>
      <w:proofErr w:type="spellStart"/>
      <w:r w:rsidRPr="00AE1AB1">
        <w:t>карпулинг</w:t>
      </w:r>
      <w:proofErr w:type="spellEnd"/>
      <w:r w:rsidRPr="00AE1AB1">
        <w:t xml:space="preserve">), реализуемый в настоящее время </w:t>
      </w:r>
      <w:r>
        <w:t>в</w:t>
      </w:r>
      <w:r w:rsidRPr="00AE1AB1">
        <w:t xml:space="preserve"> страна</w:t>
      </w:r>
      <w:r>
        <w:t>х</w:t>
      </w:r>
      <w:r w:rsidRPr="00AE1AB1">
        <w:t xml:space="preserve"> Центральной Азии. SC.1 выразила свою принципиальную поддержку в отношении этого проекта и его руководящих принципов (неофициальный документ № 3 (на английском языке) и неофициальный документ № 4 (на русском языке)) и предложила секретариату представить обновленную информацию по этому вопросу на следующей сессии.</w:t>
      </w:r>
    </w:p>
    <w:p w14:paraId="662FA842" w14:textId="77777777" w:rsidR="00C31E63" w:rsidRPr="00AE1AB1" w:rsidRDefault="00C31E63" w:rsidP="00C31E63">
      <w:pPr>
        <w:pStyle w:val="HChG"/>
        <w:rPr>
          <w:rStyle w:val="SingleTxtGChar"/>
          <w:szCs w:val="24"/>
        </w:rPr>
      </w:pPr>
      <w:r>
        <w:tab/>
      </w:r>
      <w:r w:rsidRPr="00AE1AB1">
        <w:t>XI.</w:t>
      </w:r>
      <w:r w:rsidRPr="00AE1AB1">
        <w:tab/>
        <w:t>Сроки проведения следующей сессии</w:t>
      </w:r>
      <w:r w:rsidR="00BF16A5">
        <w:br/>
      </w:r>
      <w:r w:rsidRPr="00AE1AB1">
        <w:t>(пункт 10 повестки дня)</w:t>
      </w:r>
    </w:p>
    <w:p w14:paraId="4D56C657" w14:textId="77777777" w:rsidR="00C31E63" w:rsidRPr="00AE1AB1" w:rsidRDefault="00C31E63" w:rsidP="00C31E63">
      <w:pPr>
        <w:pStyle w:val="SingleTxtG"/>
      </w:pPr>
      <w:r w:rsidRPr="00AE1AB1">
        <w:t>47.</w:t>
      </w:r>
      <w:r w:rsidRPr="00AE1AB1">
        <w:tab/>
        <w:t>Рабочая группа была проинформирована о том, что ее следующую сессию планируется провести 13–15 октября 2021 года. По соображениям организационного характера эти сроки могут быть перенесены на вторую половину октября 2021 года.</w:t>
      </w:r>
      <w:r w:rsidR="00BF16A5">
        <w:br/>
      </w:r>
      <w:r w:rsidRPr="00AE1AB1">
        <w:t xml:space="preserve">В случае переноса сроков секретариат проинформирует об этом членов SC.1 по электронной почте. Крайний срок для представления официальных документов </w:t>
      </w:r>
      <w:r w:rsidR="00BF16A5" w:rsidRPr="00504618">
        <w:t>—</w:t>
      </w:r>
      <w:r w:rsidR="00BF16A5">
        <w:br/>
      </w:r>
      <w:r w:rsidRPr="00AE1AB1">
        <w:t>30 июля 2021 года.</w:t>
      </w:r>
    </w:p>
    <w:p w14:paraId="1503DF29" w14:textId="77777777" w:rsidR="00C31E63" w:rsidRPr="00AE1AB1" w:rsidRDefault="00C31E63" w:rsidP="00C31E63">
      <w:pPr>
        <w:pStyle w:val="HChG"/>
      </w:pPr>
      <w:r>
        <w:tab/>
      </w:r>
      <w:r w:rsidRPr="00AE1AB1">
        <w:t>XII.</w:t>
      </w:r>
      <w:r w:rsidRPr="00AE1AB1">
        <w:tab/>
      </w:r>
      <w:r w:rsidRPr="00AE1AB1">
        <w:tab/>
      </w:r>
      <w:r w:rsidRPr="00AE1AB1">
        <w:rPr>
          <w:bCs/>
        </w:rPr>
        <w:t>Выборы должностных лиц (пункт 11 повестки дня)</w:t>
      </w:r>
    </w:p>
    <w:p w14:paraId="5094DC6B" w14:textId="77777777" w:rsidR="00C31E63" w:rsidRPr="00AE1AB1" w:rsidRDefault="00C31E63" w:rsidP="00C31E63">
      <w:pPr>
        <w:pStyle w:val="SingleTxtG"/>
        <w:rPr>
          <w:sz w:val="24"/>
          <w:szCs w:val="24"/>
        </w:rPr>
      </w:pPr>
      <w:r w:rsidRPr="00AE1AB1">
        <w:t>48.</w:t>
      </w:r>
      <w:r w:rsidRPr="00AE1AB1">
        <w:tab/>
        <w:t>SC.1 избрала своих должностных лиц на период с октября 2021 года по октябрь 2023 года. Г-н Роман Симоненко (Украина) был переизбран на пост Председателя,</w:t>
      </w:r>
      <w:r w:rsidR="00BF16A5">
        <w:br/>
      </w:r>
      <w:r w:rsidRPr="00AE1AB1">
        <w:t xml:space="preserve">а г-н </w:t>
      </w:r>
      <w:proofErr w:type="spellStart"/>
      <w:r w:rsidRPr="00AE1AB1">
        <w:t>Кшиштоф</w:t>
      </w:r>
      <w:proofErr w:type="spellEnd"/>
      <w:r w:rsidRPr="00AE1AB1">
        <w:t xml:space="preserve"> </w:t>
      </w:r>
      <w:proofErr w:type="spellStart"/>
      <w:r w:rsidRPr="00AE1AB1">
        <w:t>Левчак</w:t>
      </w:r>
      <w:proofErr w:type="spellEnd"/>
      <w:r w:rsidRPr="00AE1AB1">
        <w:t xml:space="preserve"> (Польша) был переизбран на пост заместителя Председателя. Г-жа </w:t>
      </w:r>
      <w:proofErr w:type="spellStart"/>
      <w:r w:rsidRPr="00AE1AB1">
        <w:t>Анния</w:t>
      </w:r>
      <w:proofErr w:type="spellEnd"/>
      <w:r w:rsidRPr="00AE1AB1">
        <w:t xml:space="preserve"> Новикова (Латвия) была избрана на пост заместителя Председателя.</w:t>
      </w:r>
      <w:r w:rsidR="00BF16A5">
        <w:br/>
      </w:r>
      <w:r w:rsidRPr="00AE1AB1">
        <w:t xml:space="preserve">В соответствии с правилом 12 круга ведения SC.1 должностные лица </w:t>
      </w:r>
      <w:r>
        <w:t>«</w:t>
      </w:r>
      <w:r w:rsidRPr="00AE1AB1">
        <w:t>вступают</w:t>
      </w:r>
      <w:r w:rsidR="007C5FDD">
        <w:br/>
      </w:r>
      <w:r w:rsidRPr="00AE1AB1">
        <w:t>в должность в начале первой сессии следующего после их избрания года</w:t>
      </w:r>
      <w:r>
        <w:t>»</w:t>
      </w:r>
      <w:r w:rsidRPr="00AE1AB1">
        <w:t>.</w:t>
      </w:r>
    </w:p>
    <w:p w14:paraId="79D8DB5F" w14:textId="77777777" w:rsidR="00C31E63" w:rsidRPr="00AE1AB1" w:rsidRDefault="00C31E63" w:rsidP="00C31E63">
      <w:pPr>
        <w:pStyle w:val="HChG"/>
        <w:rPr>
          <w:rStyle w:val="SingleTxtGChar"/>
          <w:szCs w:val="24"/>
        </w:rPr>
      </w:pPr>
      <w:r>
        <w:tab/>
      </w:r>
      <w:r w:rsidRPr="00AE1AB1">
        <w:t>XIII.</w:t>
      </w:r>
      <w:r w:rsidRPr="00AE1AB1">
        <w:tab/>
        <w:t>Утверждение доклада (пункт 12 повестки дня)</w:t>
      </w:r>
    </w:p>
    <w:p w14:paraId="0F64B7F0" w14:textId="77777777" w:rsidR="00C31E63" w:rsidRPr="00AE1AB1" w:rsidRDefault="00C31E63" w:rsidP="00C31E63">
      <w:pPr>
        <w:pStyle w:val="SingleTxtG"/>
      </w:pPr>
      <w:r w:rsidRPr="00AE1AB1">
        <w:t>49.</w:t>
      </w:r>
      <w:r w:rsidRPr="00AE1AB1">
        <w:tab/>
        <w:t>Рабочая группа утвердила доклад о работе нынешней сессии.</w:t>
      </w:r>
    </w:p>
    <w:p w14:paraId="25F11F5F" w14:textId="77777777" w:rsidR="00C31E63" w:rsidRPr="00BA6119" w:rsidRDefault="00C31E63" w:rsidP="00C31E6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E63" w:rsidRPr="00BA6119" w:rsidSect="00C31E6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BC8D" w14:textId="77777777" w:rsidR="00C6463F" w:rsidRPr="00A312BC" w:rsidRDefault="00C6463F" w:rsidP="00A312BC"/>
  </w:endnote>
  <w:endnote w:type="continuationSeparator" w:id="0">
    <w:p w14:paraId="5D87F0E5" w14:textId="77777777" w:rsidR="00C6463F" w:rsidRPr="00A312BC" w:rsidRDefault="00C646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CF43" w14:textId="77777777" w:rsidR="00C31E63" w:rsidRPr="00C31E63" w:rsidRDefault="00C31E63">
    <w:pPr>
      <w:pStyle w:val="Footer"/>
    </w:pPr>
    <w:r w:rsidRPr="00C31E63">
      <w:rPr>
        <w:b/>
        <w:sz w:val="18"/>
      </w:rPr>
      <w:fldChar w:fldCharType="begin"/>
    </w:r>
    <w:r w:rsidRPr="00C31E63">
      <w:rPr>
        <w:b/>
        <w:sz w:val="18"/>
      </w:rPr>
      <w:instrText xml:space="preserve"> PAGE  \* MERGEFORMAT </w:instrText>
    </w:r>
    <w:r w:rsidRPr="00C31E63">
      <w:rPr>
        <w:b/>
        <w:sz w:val="18"/>
      </w:rPr>
      <w:fldChar w:fldCharType="separate"/>
    </w:r>
    <w:r w:rsidRPr="00C31E63">
      <w:rPr>
        <w:b/>
        <w:noProof/>
        <w:sz w:val="18"/>
      </w:rPr>
      <w:t>2</w:t>
    </w:r>
    <w:r w:rsidRPr="00C31E63">
      <w:rPr>
        <w:b/>
        <w:sz w:val="18"/>
      </w:rPr>
      <w:fldChar w:fldCharType="end"/>
    </w:r>
    <w:r>
      <w:rPr>
        <w:b/>
        <w:sz w:val="18"/>
      </w:rPr>
      <w:tab/>
    </w:r>
    <w:r>
      <w:t>GE.20-13726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3F26" w14:textId="77777777" w:rsidR="00C31E63" w:rsidRPr="00C31E63" w:rsidRDefault="00C31E63" w:rsidP="00C31E63">
    <w:pPr>
      <w:pStyle w:val="Footer"/>
      <w:tabs>
        <w:tab w:val="clear" w:pos="9639"/>
        <w:tab w:val="right" w:pos="9638"/>
      </w:tabs>
      <w:rPr>
        <w:b/>
        <w:sz w:val="18"/>
      </w:rPr>
    </w:pPr>
    <w:r>
      <w:t>GE.20-13726</w:t>
    </w:r>
    <w:r>
      <w:tab/>
    </w:r>
    <w:r w:rsidRPr="00C31E63">
      <w:rPr>
        <w:b/>
        <w:sz w:val="18"/>
      </w:rPr>
      <w:fldChar w:fldCharType="begin"/>
    </w:r>
    <w:r w:rsidRPr="00C31E63">
      <w:rPr>
        <w:b/>
        <w:sz w:val="18"/>
      </w:rPr>
      <w:instrText xml:space="preserve"> PAGE  \* MERGEFORMAT </w:instrText>
    </w:r>
    <w:r w:rsidRPr="00C31E63">
      <w:rPr>
        <w:b/>
        <w:sz w:val="18"/>
      </w:rPr>
      <w:fldChar w:fldCharType="separate"/>
    </w:r>
    <w:r w:rsidRPr="00C31E63">
      <w:rPr>
        <w:b/>
        <w:noProof/>
        <w:sz w:val="18"/>
      </w:rPr>
      <w:t>3</w:t>
    </w:r>
    <w:r w:rsidRPr="00C31E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783F" w14:textId="77777777" w:rsidR="00042B72" w:rsidRPr="00C31E63" w:rsidRDefault="00C31E63" w:rsidP="00C31E6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6A36BA" wp14:editId="33C223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13726  (</w:t>
    </w:r>
    <w:proofErr w:type="gramEnd"/>
    <w:r>
      <w:t>R)</w:t>
    </w:r>
    <w:r>
      <w:rPr>
        <w:lang w:val="fr-CH"/>
      </w:rPr>
      <w:t xml:space="preserve">  211020  281020</w:t>
    </w:r>
    <w:r>
      <w:br/>
    </w:r>
    <w:r w:rsidRPr="00C31E63">
      <w:rPr>
        <w:rFonts w:ascii="C39T30Lfz" w:hAnsi="C39T30Lfz"/>
        <w:kern w:val="14"/>
        <w:sz w:val="56"/>
      </w:rPr>
      <w:t>*2013726*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D262B3" wp14:editId="5721394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76E3" w14:textId="77777777" w:rsidR="00C6463F" w:rsidRPr="001075E9" w:rsidRDefault="00C646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42B740" w14:textId="77777777" w:rsidR="00C6463F" w:rsidRDefault="00C646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BA7D" w14:textId="63280752" w:rsidR="00C31E63" w:rsidRPr="00C31E63" w:rsidRDefault="004D6FA2">
    <w:pPr>
      <w:pStyle w:val="Header"/>
    </w:pPr>
    <w:fldSimple w:instr=" TITLE  \* MERGEFORMAT ">
      <w:r>
        <w:t>ECE/TRANS/SC.1/414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0A18" w14:textId="52D9DC94" w:rsidR="00C31E63" w:rsidRPr="00C31E63" w:rsidRDefault="004D6FA2" w:rsidP="00C31E63">
    <w:pPr>
      <w:pStyle w:val="Header"/>
      <w:jc w:val="right"/>
    </w:pPr>
    <w:fldSimple w:instr=" TITLE  \* MERGEFORMAT ">
      <w:r>
        <w:t>ECE/TRANS/SC.1/414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F"/>
    <w:rsid w:val="00033EE1"/>
    <w:rsid w:val="00042B72"/>
    <w:rsid w:val="000558BD"/>
    <w:rsid w:val="00087AA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34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D6FA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D2E"/>
    <w:rsid w:val="00712895"/>
    <w:rsid w:val="00734ACB"/>
    <w:rsid w:val="00757357"/>
    <w:rsid w:val="007661A7"/>
    <w:rsid w:val="00792497"/>
    <w:rsid w:val="007C5FD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B70"/>
    <w:rsid w:val="00986094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0183"/>
    <w:rsid w:val="00BC18B2"/>
    <w:rsid w:val="00BD33EE"/>
    <w:rsid w:val="00BE1CC7"/>
    <w:rsid w:val="00BF16A5"/>
    <w:rsid w:val="00C106D6"/>
    <w:rsid w:val="00C119AE"/>
    <w:rsid w:val="00C31E63"/>
    <w:rsid w:val="00C60F0C"/>
    <w:rsid w:val="00C6463F"/>
    <w:rsid w:val="00C71E84"/>
    <w:rsid w:val="00C805C9"/>
    <w:rsid w:val="00C92939"/>
    <w:rsid w:val="00CA1679"/>
    <w:rsid w:val="00CB151C"/>
    <w:rsid w:val="00CB6B5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5CC4"/>
    <w:rsid w:val="00DF71B9"/>
    <w:rsid w:val="00E12C5F"/>
    <w:rsid w:val="00E73F76"/>
    <w:rsid w:val="00EA2B9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2038F9"/>
  <w15:docId w15:val="{D68A0130-C115-495A-BD5C-D61F4B7A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31E63"/>
    <w:rPr>
      <w:lang w:val="ru-RU" w:eastAsia="en-US"/>
    </w:rPr>
  </w:style>
  <w:style w:type="character" w:customStyle="1" w:styleId="H1GChar">
    <w:name w:val="_ H_1_G Char"/>
    <w:link w:val="H1G"/>
    <w:rsid w:val="00C31E63"/>
    <w:rPr>
      <w:b/>
      <w:sz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F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ce.org/fileadmin/DAM/trans/main/sc1/eCMR_Brochure_RU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unece.org/fileadmin/DAM/trans/main/sc1/eCMR_Brochure_F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ece.org/fileadmin/DAM/trans/main/sc1/eCMR_Brochure_EN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-tIgg7XLAaax0t-WuiMrdU8WFxH3eOO6/ed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0F3D4-A34C-43CF-AC05-FD8CE0A45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5D65A-C8FF-443E-94FA-1C4E4ACEC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DE5AD-4381-443F-B1BB-1BCEB1A36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2927</Words>
  <Characters>20222</Characters>
  <Application>Microsoft Office Word</Application>
  <DocSecurity>4</DocSecurity>
  <Lines>168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ECE/TRANS/SC.1/414</vt:lpstr>
      <vt:lpstr>A/</vt:lpstr>
      <vt:lpstr>A/</vt:lpstr>
    </vt:vector>
  </TitlesOfParts>
  <Company>DCM</Company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ECE/TRANS/SC.1/414</dc:title>
  <dc:subject/>
  <dc:creator>Anna KISSELEVA</dc:creator>
  <cp:keywords/>
  <cp:lastModifiedBy>Josephine Ayiku</cp:lastModifiedBy>
  <cp:revision>2</cp:revision>
  <cp:lastPrinted>2020-10-28T10:56:00Z</cp:lastPrinted>
  <dcterms:created xsi:type="dcterms:W3CDTF">2020-11-26T12:06:00Z</dcterms:created>
  <dcterms:modified xsi:type="dcterms:W3CDTF">2020-11-26T12:06:00Z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