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207F9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89159B" w14:textId="77777777" w:rsidR="002D5AAC" w:rsidRDefault="002D5AAC" w:rsidP="00CF2A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0EC19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256F03" w14:textId="77777777" w:rsidR="002D5AAC" w:rsidRDefault="00CF2A32" w:rsidP="00CF2A32">
            <w:pPr>
              <w:jc w:val="right"/>
            </w:pPr>
            <w:r w:rsidRPr="00CF2A32">
              <w:rPr>
                <w:sz w:val="40"/>
              </w:rPr>
              <w:t>ECE</w:t>
            </w:r>
            <w:r>
              <w:t>/TRANS/2020/13</w:t>
            </w:r>
          </w:p>
        </w:tc>
      </w:tr>
      <w:tr w:rsidR="002D5AAC" w:rsidRPr="00CF2A32" w14:paraId="15081D6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CA770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680640" wp14:editId="31C47D2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4423F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424F3A9" w14:textId="77777777" w:rsidR="002D5AAC" w:rsidRDefault="00CF2A3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8A4499A" w14:textId="77777777" w:rsidR="00CF2A32" w:rsidRDefault="00CF2A32" w:rsidP="00CF2A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2019</w:t>
            </w:r>
          </w:p>
          <w:p w14:paraId="71A85D0D" w14:textId="77777777" w:rsidR="00CF2A32" w:rsidRDefault="00CF2A32" w:rsidP="00CF2A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06C032" w14:textId="77777777" w:rsidR="00CF2A32" w:rsidRPr="008D53B6" w:rsidRDefault="00CF2A32" w:rsidP="00CF2A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5CA6B9" w14:textId="77777777" w:rsidR="00CF2A3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474EAC9" w14:textId="77777777" w:rsidR="00CF2A32" w:rsidRPr="00CF2A32" w:rsidRDefault="00CF2A32" w:rsidP="00CF2A32">
      <w:pPr>
        <w:spacing w:before="120"/>
        <w:rPr>
          <w:sz w:val="28"/>
          <w:szCs w:val="28"/>
        </w:rPr>
      </w:pPr>
      <w:r w:rsidRPr="00CF2A32">
        <w:rPr>
          <w:sz w:val="28"/>
          <w:szCs w:val="28"/>
        </w:rPr>
        <w:t>Комитет по внутреннему транспорту</w:t>
      </w:r>
    </w:p>
    <w:p w14:paraId="54600A4B" w14:textId="77777777" w:rsidR="00CF2A32" w:rsidRPr="00630B1E" w:rsidRDefault="00CF2A32" w:rsidP="00CF2A32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14:paraId="0377C0F5" w14:textId="77777777" w:rsidR="00CF2A32" w:rsidRDefault="00CF2A32" w:rsidP="00CF2A32">
      <w:r>
        <w:t>Женева, 25–28 февраля 2020</w:t>
      </w:r>
      <w:r w:rsidR="00E969FD">
        <w:rPr>
          <w:lang w:val="en-US"/>
        </w:rPr>
        <w:t xml:space="preserve"> </w:t>
      </w:r>
      <w:r>
        <w:t xml:space="preserve">года </w:t>
      </w:r>
    </w:p>
    <w:p w14:paraId="24322516" w14:textId="77777777" w:rsidR="00CF2A32" w:rsidRDefault="00CF2A32" w:rsidP="00CF2A32">
      <w:r>
        <w:t xml:space="preserve">Пункт 4 i) предварительной повестки дня </w:t>
      </w:r>
    </w:p>
    <w:p w14:paraId="32C58BAB" w14:textId="77777777" w:rsidR="00CF2A32" w:rsidRDefault="00CF2A32" w:rsidP="00CF2A32">
      <w:pPr>
        <w:rPr>
          <w:b/>
          <w:bCs/>
        </w:rPr>
      </w:pPr>
      <w:r>
        <w:rPr>
          <w:b/>
          <w:bCs/>
        </w:rPr>
        <w:t xml:space="preserve">Стратегические вопросы горизонтальной </w:t>
      </w:r>
      <w:r>
        <w:rPr>
          <w:b/>
          <w:bCs/>
        </w:rPr>
        <w:br/>
        <w:t xml:space="preserve">политики или нормативного характера: </w:t>
      </w:r>
    </w:p>
    <w:p w14:paraId="5F8BEE52" w14:textId="77777777" w:rsidR="00CF2A32" w:rsidRPr="00630B1E" w:rsidRDefault="00CF2A32" w:rsidP="00CF2A32">
      <w:pPr>
        <w:rPr>
          <w:b/>
          <w:bCs/>
        </w:rPr>
      </w:pPr>
      <w:r>
        <w:rPr>
          <w:b/>
          <w:bCs/>
        </w:rPr>
        <w:t>Согласование правил в области транспортных средств</w:t>
      </w:r>
    </w:p>
    <w:p w14:paraId="16429968" w14:textId="77777777" w:rsidR="00CF2A32" w:rsidRPr="00CF2A32" w:rsidRDefault="00CF2A32" w:rsidP="00CF2A32">
      <w:pPr>
        <w:pStyle w:val="HChG"/>
      </w:pPr>
      <w:r>
        <w:tab/>
      </w:r>
      <w:r>
        <w:tab/>
        <w:t>Последние изменения в правилах в области транспортных средств</w:t>
      </w:r>
    </w:p>
    <w:p w14:paraId="1403E78D" w14:textId="77777777" w:rsidR="00CF2A32" w:rsidRPr="007470B0" w:rsidRDefault="00CF2A32" w:rsidP="00CF2A32">
      <w:pPr>
        <w:pStyle w:val="H1G"/>
        <w:spacing w:before="240"/>
      </w:pPr>
      <w:r>
        <w:tab/>
      </w:r>
      <w:r>
        <w:tab/>
      </w:r>
      <w:r>
        <w:rPr>
          <w:bCs/>
        </w:rPr>
        <w:t>Записка секретариата</w:t>
      </w:r>
      <w:r w:rsidRPr="00CF2A3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CF2A32" w:rsidRPr="007470B0" w14:paraId="6F4E1322" w14:textId="77777777" w:rsidTr="000D3B8F">
        <w:trPr>
          <w:trHeight w:val="481"/>
          <w:jc w:val="center"/>
        </w:trPr>
        <w:tc>
          <w:tcPr>
            <w:tcW w:w="9629" w:type="dxa"/>
            <w:shd w:val="clear" w:color="auto" w:fill="auto"/>
          </w:tcPr>
          <w:p w14:paraId="74D6CB9C" w14:textId="77777777" w:rsidR="00CF2A32" w:rsidRPr="007470B0" w:rsidRDefault="00CF2A32" w:rsidP="00CF2A32">
            <w:pPr>
              <w:tabs>
                <w:tab w:val="left" w:pos="255"/>
              </w:tabs>
              <w:spacing w:before="240" w:after="120"/>
              <w:rPr>
                <w:rFonts w:eastAsia="Times New Roman Bold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ab/>
            </w:r>
            <w:r w:rsidRPr="00CF2A3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F2A32" w:rsidRPr="00633E6A" w14:paraId="55148248" w14:textId="77777777" w:rsidTr="000D3B8F">
        <w:trPr>
          <w:jc w:val="center"/>
        </w:trPr>
        <w:tc>
          <w:tcPr>
            <w:tcW w:w="9629" w:type="dxa"/>
            <w:shd w:val="clear" w:color="auto" w:fill="auto"/>
          </w:tcPr>
          <w:p w14:paraId="2140FC1C" w14:textId="77777777" w:rsidR="00CF2A32" w:rsidRPr="00630B1E" w:rsidRDefault="00CF2A32" w:rsidP="00CF2A32">
            <w:pPr>
              <w:pStyle w:val="SingleTxtG"/>
            </w:pPr>
            <w:r w:rsidRPr="00CF2A32">
              <w:rPr>
                <w:lang w:val="en-US"/>
              </w:rPr>
              <w:tab/>
            </w:r>
            <w:r w:rsidRPr="00CF2A32">
              <w:rPr>
                <w:lang w:val="en-US"/>
              </w:rPr>
              <w:tab/>
            </w:r>
            <w:r w:rsidRPr="00CF2A32">
              <w:t>Работа в рамках Всемирного форума для согласования правил в области транспортных средств (</w:t>
            </w:r>
            <w:r w:rsidRPr="00CF2A32">
              <w:rPr>
                <w:lang w:val="en-US"/>
              </w:rPr>
              <w:t>WP</w:t>
            </w:r>
            <w:r w:rsidRPr="00CF2A32">
              <w:t xml:space="preserve">.29) по-прежнему направлена на укрепление безопасности транспортных средств и охраны окружающей среды, в результате чего появились многочисленные новые и были внесены поправки в уже существующие предписания и правила в области транспортных средств в рамках соглашений 1958, 1997 </w:t>
            </w:r>
            <w:r w:rsidR="00E969FD">
              <w:br/>
            </w:r>
            <w:r w:rsidRPr="00CF2A32">
              <w:t>и</w:t>
            </w:r>
            <w:r w:rsidR="00E969FD" w:rsidRPr="00E969FD">
              <w:t xml:space="preserve"> </w:t>
            </w:r>
            <w:r w:rsidRPr="00CF2A32">
              <w:t xml:space="preserve">1998 годов. </w:t>
            </w:r>
          </w:p>
        </w:tc>
      </w:tr>
      <w:tr w:rsidR="00CF2A32" w:rsidRPr="00633E6A" w14:paraId="64B329EF" w14:textId="77777777" w:rsidTr="000D3B8F">
        <w:trPr>
          <w:jc w:val="center"/>
        </w:trPr>
        <w:tc>
          <w:tcPr>
            <w:tcW w:w="9629" w:type="dxa"/>
            <w:shd w:val="clear" w:color="auto" w:fill="auto"/>
          </w:tcPr>
          <w:p w14:paraId="0ED6E245" w14:textId="77777777" w:rsidR="00CF2A32" w:rsidRPr="00630B1E" w:rsidRDefault="00CF2A32" w:rsidP="00CF2A32">
            <w:pPr>
              <w:pStyle w:val="SingleTxtG"/>
              <w:rPr>
                <w:rFonts w:eastAsia="Times New Roman Bold"/>
                <w:spacing w:val="-2"/>
              </w:rPr>
            </w:pPr>
            <w:r>
              <w:tab/>
            </w:r>
            <w:r w:rsidRPr="00CF2A32">
              <w:tab/>
            </w:r>
            <w:r w:rsidRPr="00E969FD">
              <w:t>К числу важных тем относятся разработка рамочного документа по автоматизированным/автономным транспортным средствам и его осуществление главным образом Рабочей группой по автоматизированным/автономным и подключенным транспортным средствам (</w:t>
            </w:r>
            <w:r w:rsidRPr="00CF2A32">
              <w:rPr>
                <w:lang w:val="en-US"/>
              </w:rPr>
              <w:t>GRVA</w:t>
            </w:r>
            <w:r w:rsidRPr="00E969FD">
              <w:t>), база данных для обмена информацией об официальном утверждении типа (ДЕТА) в структуре Европейской экономической комиссии (ЕЭК) Организации Объединенных Наций, осуществление Соглашения 1998</w:t>
            </w:r>
            <w:r w:rsidR="00E969FD" w:rsidRPr="00E969FD">
              <w:t xml:space="preserve"> </w:t>
            </w:r>
            <w:r w:rsidRPr="00E969FD">
              <w:t>года и периодические технические осмотры (ПТО) в соответствии с Соглашением 1997</w:t>
            </w:r>
            <w:r>
              <w:rPr>
                <w:lang w:val="en-US"/>
              </w:rPr>
              <w:t> </w:t>
            </w:r>
            <w:r w:rsidRPr="00E969FD">
              <w:t>года.</w:t>
            </w:r>
          </w:p>
        </w:tc>
      </w:tr>
      <w:tr w:rsidR="00CF2A32" w:rsidRPr="00633E6A" w14:paraId="26F9A524" w14:textId="77777777" w:rsidTr="000D3B8F">
        <w:trPr>
          <w:jc w:val="center"/>
        </w:trPr>
        <w:tc>
          <w:tcPr>
            <w:tcW w:w="9629" w:type="dxa"/>
            <w:shd w:val="clear" w:color="auto" w:fill="auto"/>
          </w:tcPr>
          <w:p w14:paraId="485CB0DB" w14:textId="77777777" w:rsidR="00CF2A32" w:rsidRPr="00CF2A32" w:rsidRDefault="00CF2A32" w:rsidP="00CF2A32">
            <w:pPr>
              <w:pStyle w:val="SingleTxtG"/>
              <w:rPr>
                <w:lang w:val="en-US"/>
              </w:rPr>
            </w:pPr>
            <w:r w:rsidRPr="00E969FD">
              <w:tab/>
            </w:r>
            <w:r w:rsidRPr="00E969FD">
              <w:tab/>
            </w:r>
            <w:r w:rsidRPr="00CF2A32">
              <w:rPr>
                <w:lang w:val="en-US"/>
              </w:rPr>
              <w:t xml:space="preserve">Комитету по внутреннему транспорту (КВТ) </w:t>
            </w:r>
            <w:r w:rsidRPr="00CF2A32">
              <w:rPr>
                <w:b/>
                <w:lang w:val="en-US"/>
              </w:rPr>
              <w:t>предлагается</w:t>
            </w:r>
            <w:r w:rsidRPr="00CF2A32">
              <w:rPr>
                <w:lang w:val="en-US"/>
              </w:rPr>
              <w:t xml:space="preserve">: </w:t>
            </w:r>
          </w:p>
        </w:tc>
      </w:tr>
      <w:tr w:rsidR="00CF2A32" w:rsidRPr="00633E6A" w14:paraId="2665A3BF" w14:textId="77777777" w:rsidTr="00E969FD">
        <w:trPr>
          <w:jc w:val="center"/>
        </w:trPr>
        <w:tc>
          <w:tcPr>
            <w:tcW w:w="9629" w:type="dxa"/>
            <w:tcBorders>
              <w:bottom w:val="nil"/>
            </w:tcBorders>
            <w:shd w:val="clear" w:color="auto" w:fill="auto"/>
          </w:tcPr>
          <w:p w14:paraId="524118EA" w14:textId="77777777" w:rsidR="00CF2A32" w:rsidRPr="00CF2A32" w:rsidRDefault="00CF2A32" w:rsidP="00CF2A32">
            <w:pPr>
              <w:pStyle w:val="Bullet1G"/>
              <w:rPr>
                <w:lang w:val="en-US"/>
              </w:rPr>
            </w:pPr>
            <w:r w:rsidRPr="00CF2A32">
              <w:rPr>
                <w:b/>
                <w:lang w:val="en-US"/>
              </w:rPr>
              <w:t>одобрить</w:t>
            </w:r>
            <w:r w:rsidRPr="00CF2A32">
              <w:rPr>
                <w:lang w:val="en-US"/>
              </w:rPr>
              <w:t xml:space="preserve"> перечисленные в документе виды деятельности; </w:t>
            </w:r>
          </w:p>
        </w:tc>
      </w:tr>
      <w:tr w:rsidR="00CF2A32" w:rsidRPr="00633E6A" w14:paraId="6D0F94F0" w14:textId="77777777" w:rsidTr="00E969FD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2447AEF4" w14:textId="77777777" w:rsidR="00CF2A32" w:rsidRPr="00CF2A32" w:rsidRDefault="00CF2A32" w:rsidP="00CF2A32">
            <w:pPr>
              <w:pStyle w:val="Bullet1G"/>
            </w:pPr>
            <w:r w:rsidRPr="00CF2A32">
              <w:rPr>
                <w:b/>
              </w:rPr>
              <w:t>одобрить</w:t>
            </w:r>
            <w:r w:rsidRPr="00CF2A32">
              <w:t xml:space="preserve"> разработку рамочного документа по автоматизированным/ автономным транспортным средствам и его осуществление главным образом Рабочей группой по автоматизированным/автономным и подключенным транспортным средствам (</w:t>
            </w:r>
            <w:r w:rsidRPr="00CF2A32">
              <w:rPr>
                <w:lang w:val="en-US"/>
              </w:rPr>
              <w:t>GRVA</w:t>
            </w:r>
            <w:r w:rsidRPr="00CF2A32">
              <w:t>);</w:t>
            </w:r>
          </w:p>
        </w:tc>
      </w:tr>
      <w:tr w:rsidR="00CF2A32" w:rsidRPr="00633E6A" w14:paraId="4CFDA949" w14:textId="77777777" w:rsidTr="00E969FD">
        <w:trPr>
          <w:jc w:val="center"/>
        </w:trPr>
        <w:tc>
          <w:tcPr>
            <w:tcW w:w="9629" w:type="dxa"/>
            <w:tcBorders>
              <w:top w:val="nil"/>
            </w:tcBorders>
            <w:shd w:val="clear" w:color="auto" w:fill="auto"/>
          </w:tcPr>
          <w:p w14:paraId="09D1B446" w14:textId="77777777" w:rsidR="00CF2A32" w:rsidRPr="00630B1E" w:rsidRDefault="00CF2A32" w:rsidP="00CF2A32">
            <w:pPr>
              <w:pStyle w:val="Bullet1G"/>
              <w:rPr>
                <w:rFonts w:eastAsia="Calibri"/>
                <w:b/>
                <w:u w:color="000000"/>
              </w:rPr>
            </w:pPr>
            <w:r w:rsidRPr="00CF2A32">
              <w:rPr>
                <w:b/>
              </w:rPr>
              <w:lastRenderedPageBreak/>
              <w:t>принять</w:t>
            </w:r>
            <w:r>
              <w:rPr>
                <w:b/>
                <w:bCs/>
              </w:rPr>
              <w:t xml:space="preserve"> к сведению </w:t>
            </w:r>
            <w:r>
              <w:t xml:space="preserve">ограничение продолжительности 179-й сессии WP.29 до трех дней </w:t>
            </w:r>
            <w:r w:rsidR="00E969FD">
              <w:t xml:space="preserve">по </w:t>
            </w:r>
            <w:r>
              <w:t>причине финансового кризиса;</w:t>
            </w:r>
          </w:p>
        </w:tc>
      </w:tr>
      <w:tr w:rsidR="00CF2A32" w:rsidRPr="00633E6A" w14:paraId="4BC6414A" w14:textId="77777777" w:rsidTr="000D3B8F">
        <w:trPr>
          <w:jc w:val="center"/>
        </w:trPr>
        <w:tc>
          <w:tcPr>
            <w:tcW w:w="9629" w:type="dxa"/>
            <w:shd w:val="clear" w:color="auto" w:fill="auto"/>
          </w:tcPr>
          <w:p w14:paraId="3A5436C7" w14:textId="77777777" w:rsidR="00CF2A32" w:rsidRPr="00630B1E" w:rsidRDefault="00CF2A32" w:rsidP="00CF2A32">
            <w:pPr>
              <w:pStyle w:val="Bullet1G"/>
              <w:rPr>
                <w:rFonts w:eastAsia="Calibri"/>
                <w:b/>
                <w:u w:color="000000"/>
              </w:rPr>
            </w:pPr>
            <w:r>
              <w:rPr>
                <w:b/>
                <w:bCs/>
              </w:rPr>
              <w:t>рассмотреть возможность</w:t>
            </w:r>
            <w:r>
              <w:t xml:space="preserve"> размещения ДЕТА в ЕЭК и просить о финансировании ДЕТА либо из средств регулярного бюджета Организации Объединенных Наций, либо за счет добровольных взносов Договаривающихся сторон.</w:t>
            </w:r>
          </w:p>
        </w:tc>
      </w:tr>
      <w:tr w:rsidR="00CF2A32" w:rsidRPr="00633E6A" w14:paraId="5E290C78" w14:textId="77777777" w:rsidTr="000D3B8F">
        <w:trPr>
          <w:jc w:val="center"/>
        </w:trPr>
        <w:tc>
          <w:tcPr>
            <w:tcW w:w="9629" w:type="dxa"/>
            <w:shd w:val="clear" w:color="auto" w:fill="auto"/>
          </w:tcPr>
          <w:p w14:paraId="0FC39B4A" w14:textId="77777777" w:rsidR="00CF2A32" w:rsidRPr="00630B1E" w:rsidRDefault="00CF2A32" w:rsidP="000D3B8F">
            <w:pPr>
              <w:rPr>
                <w:rFonts w:eastAsia="Times New Roman Bold"/>
              </w:rPr>
            </w:pPr>
          </w:p>
        </w:tc>
      </w:tr>
    </w:tbl>
    <w:p w14:paraId="67D04656" w14:textId="77777777" w:rsidR="00CF2A32" w:rsidRPr="00630B1E" w:rsidRDefault="00CF2A32" w:rsidP="00CF2A32">
      <w:pPr>
        <w:suppressAutoHyphens w:val="0"/>
        <w:spacing w:line="240" w:lineRule="auto"/>
        <w:rPr>
          <w:b/>
          <w:sz w:val="28"/>
        </w:rPr>
      </w:pPr>
    </w:p>
    <w:p w14:paraId="3C273CEA" w14:textId="77777777" w:rsidR="00CF2A32" w:rsidRPr="00630B1E" w:rsidRDefault="00CF2A32" w:rsidP="00CF2A32">
      <w:pPr>
        <w:suppressAutoHyphens w:val="0"/>
        <w:spacing w:line="240" w:lineRule="auto"/>
        <w:rPr>
          <w:b/>
          <w:sz w:val="28"/>
        </w:rPr>
      </w:pPr>
      <w:r w:rsidRPr="00630B1E">
        <w:rPr>
          <w:b/>
          <w:sz w:val="28"/>
        </w:rPr>
        <w:br w:type="page"/>
      </w:r>
    </w:p>
    <w:p w14:paraId="4858B785" w14:textId="77777777" w:rsidR="00CF2A32" w:rsidRPr="00630B1E" w:rsidRDefault="00CF2A32" w:rsidP="00CF2A32">
      <w:pPr>
        <w:pStyle w:val="HChG"/>
      </w:pPr>
      <w:bookmarkStart w:id="0" w:name="_GoBack"/>
      <w:bookmarkEnd w:id="0"/>
      <w:r>
        <w:lastRenderedPageBreak/>
        <w:tab/>
        <w:t>I.</w:t>
      </w:r>
      <w:r>
        <w:tab/>
      </w:r>
      <w:r>
        <w:tab/>
        <w:t>Автоматизация транспортных средств</w:t>
      </w:r>
    </w:p>
    <w:p w14:paraId="0E855358" w14:textId="77777777" w:rsidR="00CF2A32" w:rsidRPr="00630B1E" w:rsidRDefault="00CF2A32" w:rsidP="00CF2A32">
      <w:pPr>
        <w:pStyle w:val="SingleTxtG"/>
      </w:pPr>
      <w:r>
        <w:t>1.</w:t>
      </w:r>
      <w:r>
        <w:tab/>
        <w:t>После реструктуризации WP.29 в июне 2018</w:t>
      </w:r>
      <w:r w:rsidR="00E969FD">
        <w:t xml:space="preserve"> </w:t>
      </w:r>
      <w:r>
        <w:t>года в целях выполнения решения № 19 КВТ от 2018</w:t>
      </w:r>
      <w:r w:rsidR="00E969FD">
        <w:t xml:space="preserve"> </w:t>
      </w:r>
      <w:r>
        <w:t>года и создания Рабочей группы по автоматизированным/</w:t>
      </w:r>
      <w:r w:rsidRPr="00CF2A32">
        <w:t xml:space="preserve"> </w:t>
      </w:r>
      <w:r>
        <w:t>автономным и подключенным транспортным средствам (GRVA) WP.29 разработал рамочный документ по автоматизированным/автономным транспортным средствам (ECE/TRANS/WP.29/2019/34/Rev.1). В данном документе рассматриваются вопросы безопасности и надежности автоматизированных транспортных средств уровней 3 и выше САЕ. Он призван закрепить положения, которые базируются на характеристиках, являются нейтральными в технологическом плане и отражают современный технологический уровень, не сдерживая при этом будущие инновации. Эти технические положения следует разрабатывать на основе нейтрального соглашения, обеспечив, таким образом, основу для предписаний в рамках всех трех соглашений, обслуживаемых WP.29, или даже для руководящих принципов. В</w:t>
      </w:r>
      <w:r>
        <w:rPr>
          <w:lang w:val="en-US"/>
        </w:rPr>
        <w:t> </w:t>
      </w:r>
      <w:r>
        <w:t>рамочном документе устанавливается концепция безопасности для автоматизированных транспортных средств и содержится перечень таких общих принципов, как безопасность системы, отказоустойчивое реагирование, обнаружение и реагирование на объекты и ситуации, домен штатной эксплуатации, кибербезопасность и обновление программного обеспечения или систем хранения данных. В нем также определены приоритеты и план работы.</w:t>
      </w:r>
    </w:p>
    <w:p w14:paraId="2BDB0B45" w14:textId="77777777" w:rsidR="00CF2A32" w:rsidRPr="00630B1E" w:rsidRDefault="00CF2A32" w:rsidP="00CF2A32">
      <w:pPr>
        <w:pStyle w:val="SingleTxtG"/>
        <w:jc w:val="lowKashida"/>
      </w:pPr>
      <w:r>
        <w:t>2.</w:t>
      </w:r>
      <w:r>
        <w:tab/>
        <w:t>Для осуществления рамочного документа GRVA учредила четыре новые неофициальные рабочие группы (НРГ), которые подотчетны GRVA, но не обслуживаются секретариатом. Речь идет о:</w:t>
      </w:r>
    </w:p>
    <w:p w14:paraId="0D4C27AB" w14:textId="77777777" w:rsidR="00CF2A32" w:rsidRPr="00630B1E" w:rsidRDefault="00CF2A32" w:rsidP="00CF2A32">
      <w:pPr>
        <w:pStyle w:val="SingleTxtG"/>
        <w:ind w:firstLine="567"/>
      </w:pPr>
      <w:r>
        <w:t>a)</w:t>
      </w:r>
      <w:r>
        <w:tab/>
        <w:t xml:space="preserve">функциональных требованиях для автоматизированных транспортных </w:t>
      </w:r>
      <w:r>
        <w:tab/>
        <w:t>средств;</w:t>
      </w:r>
    </w:p>
    <w:p w14:paraId="3D9A772E" w14:textId="77777777" w:rsidR="00CF2A32" w:rsidRPr="00630B1E" w:rsidRDefault="00CF2A32" w:rsidP="00CF2A32">
      <w:pPr>
        <w:pStyle w:val="SingleTxtG"/>
        <w:ind w:firstLine="567"/>
      </w:pPr>
      <w:r>
        <w:t>b)</w:t>
      </w:r>
      <w:r>
        <w:tab/>
        <w:t>методах валидации для технологий автоматизированного вождения;</w:t>
      </w:r>
    </w:p>
    <w:p w14:paraId="69DAF20E" w14:textId="77777777" w:rsidR="00CF2A32" w:rsidRPr="00630B1E" w:rsidRDefault="00CF2A32" w:rsidP="00CF2A32">
      <w:pPr>
        <w:pStyle w:val="SingleTxtG"/>
        <w:ind w:firstLine="567"/>
      </w:pPr>
      <w:r>
        <w:t>c)</w:t>
      </w:r>
      <w:r>
        <w:tab/>
        <w:t xml:space="preserve">системах хранения данных для автоматизированного вождения </w:t>
      </w:r>
      <w:r>
        <w:tab/>
        <w:t>(СХДАВ);</w:t>
      </w:r>
    </w:p>
    <w:p w14:paraId="0F84F4D5" w14:textId="77777777" w:rsidR="00CF2A32" w:rsidRPr="00630B1E" w:rsidRDefault="00CF2A32" w:rsidP="00CF2A32">
      <w:pPr>
        <w:pStyle w:val="SingleTxtG"/>
        <w:ind w:firstLine="567"/>
      </w:pPr>
      <w:r>
        <w:t>d)</w:t>
      </w:r>
      <w:r>
        <w:tab/>
        <w:t xml:space="preserve">кибербезопасности и обновлении программного обеспечения, включая </w:t>
      </w:r>
      <w:r>
        <w:tab/>
        <w:t>беспроводную связь.</w:t>
      </w:r>
    </w:p>
    <w:p w14:paraId="7AB13883" w14:textId="77777777" w:rsidR="00CF2A32" w:rsidRPr="00630B1E" w:rsidRDefault="00CF2A32" w:rsidP="00CF2A32">
      <w:pPr>
        <w:pStyle w:val="SingleTxtG"/>
      </w:pPr>
      <w:r>
        <w:t>3.</w:t>
      </w:r>
      <w:r>
        <w:tab/>
        <w:t>На своей 178-й сессии WP.29 принял круг ведения и правила процедуры новых</w:t>
      </w:r>
      <w:r w:rsidR="00E969FD">
        <w:t> </w:t>
      </w:r>
      <w:r>
        <w:t>НРГ. WP.29 отреагировал на проблему бюджета, которая привела к ситуации, когда вакантная должность, появившаяся после повышения занимавшего ее сотрудника по службе, не была заполнена в 2019</w:t>
      </w:r>
      <w:r w:rsidR="00E969FD">
        <w:t xml:space="preserve"> </w:t>
      </w:r>
      <w:r>
        <w:t>году, поскольку продолжительность 179-й сессии WP.29 была сокращена в общей сложности до трех дней.</w:t>
      </w:r>
    </w:p>
    <w:p w14:paraId="7BD1EF13" w14:textId="77777777" w:rsidR="00CF2A32" w:rsidRPr="00630B1E" w:rsidRDefault="00CF2A32" w:rsidP="00CF2A32">
      <w:pPr>
        <w:pStyle w:val="HChG"/>
        <w:rPr>
          <w:sz w:val="20"/>
        </w:rPr>
      </w:pPr>
      <w:r>
        <w:rPr>
          <w:bCs/>
        </w:rPr>
        <w:tab/>
        <w:t>II.</w:t>
      </w:r>
      <w:r>
        <w:tab/>
      </w:r>
      <w:r>
        <w:tab/>
      </w:r>
      <w:r>
        <w:rPr>
          <w:bCs/>
        </w:rPr>
        <w:t>Соглашение 1958</w:t>
      </w:r>
      <w:r w:rsidR="00E969FD">
        <w:rPr>
          <w:bCs/>
        </w:rPr>
        <w:t xml:space="preserve"> </w:t>
      </w:r>
      <w:r>
        <w:rPr>
          <w:bCs/>
        </w:rPr>
        <w:t>года</w:t>
      </w:r>
    </w:p>
    <w:p w14:paraId="3FCDA4E9" w14:textId="77777777" w:rsidR="00CF2A32" w:rsidRPr="00630B1E" w:rsidRDefault="00CF2A32" w:rsidP="00CF2A32">
      <w:pPr>
        <w:pStyle w:val="SingleTxtG"/>
      </w:pPr>
      <w:r>
        <w:t>4.</w:t>
      </w:r>
      <w:r>
        <w:tab/>
        <w:t>В 2019</w:t>
      </w:r>
      <w:r w:rsidRPr="00CF2A32">
        <w:t xml:space="preserve"> </w:t>
      </w:r>
      <w:r>
        <w:t xml:space="preserve">году вступили в силу четыре свода новых правил Организации Объединенных Наций в области транспортных средств, которые направлены на улучшение показателей безопасности и экологических характеристик транспортных средств: </w:t>
      </w:r>
    </w:p>
    <w:p w14:paraId="4F3C65F8" w14:textId="77777777" w:rsidR="00CF2A32" w:rsidRPr="00630B1E" w:rsidRDefault="00CF2A32" w:rsidP="00CF2A32">
      <w:pPr>
        <w:pStyle w:val="SingleTxtG"/>
        <w:ind w:firstLine="567"/>
      </w:pPr>
      <w:r>
        <w:t>a)</w:t>
      </w:r>
      <w:r>
        <w:tab/>
        <w:t xml:space="preserve">пакет, нацеленный на упрощение правил, касающихся освещения, который состоит из трех сводов новых правил ООН, охватывающих предписания двадцати одного свода отдельных правил ООН: </w:t>
      </w:r>
    </w:p>
    <w:p w14:paraId="5B20C770" w14:textId="77777777" w:rsidR="00CF2A32" w:rsidRPr="00630B1E" w:rsidRDefault="00CF2A32" w:rsidP="00DE3B47">
      <w:pPr>
        <w:pStyle w:val="SingleTxtG"/>
        <w:ind w:left="2268"/>
      </w:pPr>
      <w:r>
        <w:t>i)</w:t>
      </w:r>
      <w:r>
        <w:tab/>
        <w:t xml:space="preserve">Правила № 148 ООН, касающиеся устройств световой </w:t>
      </w:r>
      <w:r>
        <w:tab/>
        <w:t>сигнализации;</w:t>
      </w:r>
    </w:p>
    <w:p w14:paraId="1390068E" w14:textId="77777777" w:rsidR="00CF2A32" w:rsidRPr="00630B1E" w:rsidRDefault="00CF2A32" w:rsidP="00CF2A32">
      <w:pPr>
        <w:pStyle w:val="SingleTxtG"/>
        <w:ind w:left="1701" w:firstLine="567"/>
      </w:pPr>
      <w:r>
        <w:tab/>
        <w:t>ii)</w:t>
      </w:r>
      <w:r>
        <w:tab/>
        <w:t>Правила № 149 ООН, касающиеся устройств освещения дороги;</w:t>
      </w:r>
    </w:p>
    <w:p w14:paraId="17583A86" w14:textId="77777777" w:rsidR="00CF2A32" w:rsidRPr="00630B1E" w:rsidRDefault="00CF2A32" w:rsidP="00CF2A32">
      <w:pPr>
        <w:pStyle w:val="SingleTxtG"/>
        <w:ind w:left="1701" w:firstLine="567"/>
      </w:pPr>
      <w:r>
        <w:t>iii)</w:t>
      </w:r>
      <w:r>
        <w:tab/>
        <w:t>Правила № 150 ООН, касающиеся светоотражающих устройств;</w:t>
      </w:r>
    </w:p>
    <w:p w14:paraId="2EC9DE5A" w14:textId="77777777" w:rsidR="00CF2A32" w:rsidRPr="00630B1E" w:rsidRDefault="00CF2A32" w:rsidP="00CF2A32">
      <w:pPr>
        <w:pStyle w:val="SingleTxtG"/>
        <w:ind w:firstLine="567"/>
      </w:pPr>
      <w:r>
        <w:t>b)</w:t>
      </w:r>
      <w:r>
        <w:tab/>
        <w:t>Правила № 151 ООН, касающиеся систем индикации мертвой зоны для обнаружения велосипедов тяжелыми транспортными средствами, вступили в силу 15</w:t>
      </w:r>
      <w:r>
        <w:rPr>
          <w:lang w:val="en-US"/>
        </w:rPr>
        <w:t> </w:t>
      </w:r>
      <w:r>
        <w:t>ноября 2019</w:t>
      </w:r>
      <w:r w:rsidR="00E969FD">
        <w:t xml:space="preserve"> </w:t>
      </w:r>
      <w:r>
        <w:t>года.</w:t>
      </w:r>
    </w:p>
    <w:p w14:paraId="1163FAF7" w14:textId="77777777" w:rsidR="00CF2A32" w:rsidRPr="00630B1E" w:rsidRDefault="00CF2A32" w:rsidP="00CF2A32">
      <w:pPr>
        <w:pStyle w:val="SingleTxtG"/>
      </w:pPr>
      <w:r>
        <w:lastRenderedPageBreak/>
        <w:t>5.</w:t>
      </w:r>
      <w:r>
        <w:tab/>
        <w:t>В 2019</w:t>
      </w:r>
      <w:r w:rsidR="00E969FD">
        <w:t xml:space="preserve"> </w:t>
      </w:r>
      <w:r>
        <w:t>году WP.29 принял еще один свод новых Правил ООН. В уже действующие Правила ООН для их обновления были внесены 139 поправок, которые позволили привести эти Правила в соответствие с самыми последними техническими достижениями и включить в них более строгие ограничения, нацеленные как на повышение безопасности транспортных средств, так и на улучшение их экологических характеристик. Правила № 152 ООН, касающиеся автоматических систем экстренного торможения для транспортных средств категорий М</w:t>
      </w:r>
      <w:r>
        <w:rPr>
          <w:vertAlign w:val="subscript"/>
        </w:rPr>
        <w:t>1</w:t>
      </w:r>
      <w:r>
        <w:t xml:space="preserve"> (легковые автомобили) </w:t>
      </w:r>
      <w:r w:rsidR="00E969FD">
        <w:br/>
      </w:r>
      <w:r>
        <w:t>и N</w:t>
      </w:r>
      <w:r>
        <w:rPr>
          <w:vertAlign w:val="subscript"/>
        </w:rPr>
        <w:t>1</w:t>
      </w:r>
      <w:r>
        <w:t xml:space="preserve"> (фургоны), были приняты на сессии </w:t>
      </w:r>
      <w:r w:rsidRPr="00CF2A32">
        <w:t>WP</w:t>
      </w:r>
      <w:r>
        <w:t>.29 в июне 2019</w:t>
      </w:r>
      <w:r w:rsidR="00E969FD">
        <w:t xml:space="preserve"> </w:t>
      </w:r>
      <w:r>
        <w:t>года и вступают в силу в январе 2020</w:t>
      </w:r>
      <w:r w:rsidR="00E969FD">
        <w:t xml:space="preserve"> </w:t>
      </w:r>
      <w:r>
        <w:t>года.</w:t>
      </w:r>
    </w:p>
    <w:p w14:paraId="439F8828" w14:textId="77777777" w:rsidR="00CF2A32" w:rsidRPr="00935A4A" w:rsidRDefault="00CF2A32" w:rsidP="00CF2A32">
      <w:pPr>
        <w:pStyle w:val="SingleTxtG"/>
      </w:pPr>
      <w:r>
        <w:t>6.</w:t>
      </w:r>
      <w:r>
        <w:tab/>
        <w:t>Поскольку внебюджетное финансирование для размещения ДЕТА в структуре ЕЭК обеспечить не удалось (неофициальный документ № 9 КВТ (2018</w:t>
      </w:r>
      <w:r w:rsidR="00E969FD">
        <w:t xml:space="preserve"> </w:t>
      </w:r>
      <w:r>
        <w:t>года), пункт 5), WP.29 на своей 174-й сессии поручил секретариату ЕЭК ООН предпринять необходимые шаги для того, чтобы запросить финансирование для размещения ДЕТА за счет средств регулярного бюджета, и поблагодарил Германию за размещение ДЕТА до 2020</w:t>
      </w:r>
      <w:r w:rsidR="00E969FD">
        <w:t xml:space="preserve"> </w:t>
      </w:r>
      <w:r>
        <w:t>года в качестве взноса натурой (неофициальный документ № 9 КВТ (2018</w:t>
      </w:r>
      <w:r w:rsidR="00E969FD">
        <w:t> </w:t>
      </w:r>
      <w:r>
        <w:t>года), пункт 6). На своей восемьдесят первой сессии КВТ вновь заявил о поддержке размещения базы данных для обмена информацией об официальном утверждении типа (ДЕТА) в структуре ЕЭК и просил финансировать ДЕТА за счет средств из бюджета Организации Объединенных Наций. Вместе с тем в подпрограмме «Транспорт» бюджета по программам ЕЭК ООН на 2020</w:t>
      </w:r>
      <w:r w:rsidR="00E969FD">
        <w:t xml:space="preserve"> </w:t>
      </w:r>
      <w:r>
        <w:t>год ДЕТА не значится.</w:t>
      </w:r>
    </w:p>
    <w:p w14:paraId="5A3749BC" w14:textId="77777777" w:rsidR="00CF2A32" w:rsidRPr="00630B1E" w:rsidRDefault="00CF2A32" w:rsidP="00CF2A32">
      <w:pPr>
        <w:pStyle w:val="SingleTxtG"/>
      </w:pPr>
      <w:r>
        <w:t>7.</w:t>
      </w:r>
      <w:r>
        <w:tab/>
        <w:t>На 177-й сессии WP.29 в марте 2019</w:t>
      </w:r>
      <w:r w:rsidR="00E969FD">
        <w:t xml:space="preserve"> </w:t>
      </w:r>
      <w:r>
        <w:t xml:space="preserve">года Международный комитет по техническому осмотру автотранспортных средств подтвердил готовность финансировать разработку модуля заявления о соответствии. Отраслевые </w:t>
      </w:r>
      <w:r w:rsidR="00E969FD">
        <w:br/>
      </w:r>
      <w:r>
        <w:t>ассоциации</w:t>
      </w:r>
      <w:r w:rsidR="00E969FD">
        <w:t xml:space="preserve"> </w:t>
      </w:r>
      <w:r>
        <w:t>–</w:t>
      </w:r>
      <w:r w:rsidR="00E969FD">
        <w:t xml:space="preserve"> </w:t>
      </w:r>
      <w:r>
        <w:t xml:space="preserve">Международная организация предприятий автомобильной промышленности, Европейская ассоциация поставщиков автомобильных деталей и Европейская техническая организация по вопросам пневматических шин и ободьев колес – подтвердили свое намерение финансировать модуль уникального идентификатора. </w:t>
      </w:r>
    </w:p>
    <w:p w14:paraId="16149E05" w14:textId="77777777" w:rsidR="00CF2A32" w:rsidRPr="00630B1E" w:rsidRDefault="00CF2A32" w:rsidP="00CF2A32">
      <w:pPr>
        <w:pStyle w:val="HChG"/>
        <w:rPr>
          <w:szCs w:val="24"/>
        </w:rPr>
      </w:pPr>
      <w:r>
        <w:rPr>
          <w:bCs/>
        </w:rPr>
        <w:tab/>
        <w:t>III.</w:t>
      </w:r>
      <w:r>
        <w:tab/>
      </w:r>
      <w:r>
        <w:tab/>
      </w:r>
      <w:r>
        <w:rPr>
          <w:bCs/>
        </w:rPr>
        <w:t>Соглашение 1997</w:t>
      </w:r>
      <w:r w:rsidR="00E969FD">
        <w:rPr>
          <w:bCs/>
        </w:rPr>
        <w:t xml:space="preserve"> </w:t>
      </w:r>
      <w:r>
        <w:rPr>
          <w:bCs/>
        </w:rPr>
        <w:t>года</w:t>
      </w:r>
    </w:p>
    <w:p w14:paraId="2FFEEECC" w14:textId="77777777" w:rsidR="00CF2A32" w:rsidRPr="00630B1E" w:rsidRDefault="00CF2A32" w:rsidP="00CF2A32">
      <w:pPr>
        <w:pStyle w:val="SingleTxtG"/>
      </w:pPr>
      <w:r>
        <w:t>8.</w:t>
      </w:r>
      <w:r>
        <w:tab/>
        <w:t>13 ноября 2019</w:t>
      </w:r>
      <w:r w:rsidR="00E969FD">
        <w:t xml:space="preserve"> </w:t>
      </w:r>
      <w:r>
        <w:t>года вступили в силу предложенные поправки к Соглашению 1997</w:t>
      </w:r>
      <w:r w:rsidR="00E969FD">
        <w:t xml:space="preserve"> </w:t>
      </w:r>
      <w:r>
        <w:t>года, которыми были предусмотрены новые определения, возможность использования международных электронных сертификатов технического осмотра и положения о соответствии периодических технических осмотров. Эти поправки не только уточняют положения благодаря включению дополнительных определений, но и обеспечивают более высокий уровень качества на основе требований нового добавления 3 о соответствии процедуры периодических технических осмотров.</w:t>
      </w:r>
    </w:p>
    <w:p w14:paraId="621BDECD" w14:textId="77777777" w:rsidR="00CF2A32" w:rsidRPr="00630B1E" w:rsidRDefault="00CF2A32" w:rsidP="00CF2A32">
      <w:pPr>
        <w:pStyle w:val="SingleTxtG"/>
      </w:pPr>
      <w:r>
        <w:t>9.</w:t>
      </w:r>
      <w:r>
        <w:tab/>
        <w:t>10 июня 2019</w:t>
      </w:r>
      <w:r w:rsidR="00E969FD">
        <w:t xml:space="preserve"> </w:t>
      </w:r>
      <w:r>
        <w:t>года вступили в силу два новых предписания ООН, прилагаемых к Соглашению 1997</w:t>
      </w:r>
      <w:r w:rsidR="00E969FD">
        <w:t xml:space="preserve"> </w:t>
      </w:r>
      <w:r>
        <w:t>года, а именно:</w:t>
      </w:r>
    </w:p>
    <w:p w14:paraId="623F3E61" w14:textId="77777777" w:rsidR="00CF2A32" w:rsidRPr="00630B1E" w:rsidRDefault="00CF2A32" w:rsidP="00CF2A32">
      <w:pPr>
        <w:pStyle w:val="SingleTxtG"/>
      </w:pPr>
      <w:r>
        <w:tab/>
      </w:r>
      <w:r>
        <w:tab/>
        <w:t>a)</w:t>
      </w:r>
      <w:r>
        <w:tab/>
        <w:t xml:space="preserve">Предписание № 3 ООН, устанавливающее единообразные положения, касающиеся периодических технических осмотров механических транспортных средств, двигатели которых работают на компримированном природном газе (КПГ), сжиженном нефтяном газе (СНГ) и/или сжиженном природном газе (СПГ), в их двигательной установке в отношении их пригодности к эксплуатации; </w:t>
      </w:r>
    </w:p>
    <w:p w14:paraId="2F48FC43" w14:textId="77777777" w:rsidR="00CF2A32" w:rsidRPr="00630B1E" w:rsidRDefault="00CF2A32" w:rsidP="00CF2A32">
      <w:pPr>
        <w:pStyle w:val="SingleTxtG"/>
        <w:ind w:firstLine="567"/>
      </w:pPr>
      <w:r>
        <w:t>b)</w:t>
      </w:r>
      <w:r>
        <w:tab/>
        <w:t xml:space="preserve">Предписание № 4 ООН, устанавливающее единообразные положения, касающиеся периодических технических осмотров транспортных средств с электрическим и гибридно-электрическим двигателем в отношении их пригодности к эксплуатации. </w:t>
      </w:r>
    </w:p>
    <w:p w14:paraId="1E0254D5" w14:textId="77777777" w:rsidR="00CF2A32" w:rsidRPr="00630B1E" w:rsidRDefault="00CF2A32" w:rsidP="00CF2A32">
      <w:pPr>
        <w:pStyle w:val="HChG"/>
        <w:rPr>
          <w:szCs w:val="24"/>
        </w:rPr>
      </w:pPr>
      <w:r>
        <w:rPr>
          <w:bCs/>
        </w:rPr>
        <w:tab/>
        <w:t>IV.</w:t>
      </w:r>
      <w:r>
        <w:tab/>
      </w:r>
      <w:r>
        <w:tab/>
      </w:r>
      <w:r>
        <w:rPr>
          <w:bCs/>
        </w:rPr>
        <w:t>Соглашение 1998</w:t>
      </w:r>
      <w:r w:rsidRPr="00E969FD">
        <w:rPr>
          <w:bCs/>
        </w:rPr>
        <w:t xml:space="preserve"> </w:t>
      </w:r>
      <w:r>
        <w:rPr>
          <w:bCs/>
        </w:rPr>
        <w:t>года</w:t>
      </w:r>
    </w:p>
    <w:p w14:paraId="5A7D3596" w14:textId="77777777" w:rsidR="00CF2A32" w:rsidRPr="00630B1E" w:rsidRDefault="00CF2A32" w:rsidP="00CF2A32">
      <w:pPr>
        <w:pStyle w:val="SingleTxtG"/>
      </w:pPr>
      <w:r>
        <w:t>10.</w:t>
      </w:r>
      <w:r>
        <w:tab/>
        <w:t>В 2018</w:t>
      </w:r>
      <w:r w:rsidR="00E969FD">
        <w:t xml:space="preserve"> </w:t>
      </w:r>
      <w:r>
        <w:t xml:space="preserve">году WP.29 завершил многолетнюю работу над пятью поправками к глобальным техническим правилам (ГТП ООН) № 2 (процедура измерения для двухколесных мотоциклов, оснащенных двигателем с принудительным зажиганием </w:t>
      </w:r>
      <w:r>
        <w:lastRenderedPageBreak/>
        <w:t>или двигателем с воспламенением от сжатия, в отношении выбросов газообразных загрязняющих веществ, выбросов СО</w:t>
      </w:r>
      <w:r>
        <w:rPr>
          <w:vertAlign w:val="subscript"/>
        </w:rPr>
        <w:t>2</w:t>
      </w:r>
      <w:r>
        <w:t xml:space="preserve"> и расхода топлива), № 15 (всемирная согласованная процедура испытания транспортных средств малой грузоподъемности) и № 19 (испытания на выбросы в результате испарения в рамках всемирной согласованной процедуры испытания транспортных средств малой грузоподъемности).</w:t>
      </w:r>
    </w:p>
    <w:p w14:paraId="107D9CE7" w14:textId="77777777" w:rsidR="00CF2A32" w:rsidRPr="00630B1E" w:rsidRDefault="00CF2A32" w:rsidP="00CF2A32">
      <w:pPr>
        <w:pStyle w:val="SingleTxtG"/>
      </w:pPr>
      <w:r>
        <w:t>11.</w:t>
      </w:r>
      <w:r>
        <w:tab/>
        <w:t>В марте 2019</w:t>
      </w:r>
      <w:r w:rsidR="00E969FD">
        <w:t xml:space="preserve"> </w:t>
      </w:r>
      <w:r>
        <w:t>года была начата разработка новых ГТП ООН, касающихся определения мощности электрифицированных транспортных средств (ОМЭТС). Новые ГТП ООН, которые, как ожидается, будут приняты к 2020</w:t>
      </w:r>
      <w:r w:rsidR="00E969FD">
        <w:t xml:space="preserve"> </w:t>
      </w:r>
      <w:r>
        <w:t>году, позволят объединить экспертные знания и ресурсы для определения характеристик силовых установок конкретно для электрифицированных транспортных средств.</w:t>
      </w:r>
    </w:p>
    <w:p w14:paraId="3DF9027D" w14:textId="77777777" w:rsidR="00CF2A32" w:rsidRPr="00630B1E" w:rsidRDefault="00CF2A32" w:rsidP="00CF2A32">
      <w:pPr>
        <w:pStyle w:val="HChG"/>
      </w:pPr>
      <w:r>
        <w:rPr>
          <w:bCs/>
        </w:rPr>
        <w:tab/>
        <w:t>V.</w:t>
      </w:r>
      <w:r>
        <w:tab/>
      </w:r>
      <w:r>
        <w:tab/>
      </w:r>
      <w:r>
        <w:rPr>
          <w:bCs/>
        </w:rPr>
        <w:t>Связь с Повесткой дня в области устойчивого развития на период до 2030</w:t>
      </w:r>
      <w:r w:rsidR="00E969FD">
        <w:rPr>
          <w:bCs/>
        </w:rPr>
        <w:t xml:space="preserve"> </w:t>
      </w:r>
      <w:r>
        <w:rPr>
          <w:bCs/>
        </w:rPr>
        <w:t>года</w:t>
      </w:r>
    </w:p>
    <w:p w14:paraId="14E15492" w14:textId="77777777" w:rsidR="00CF2A32" w:rsidRPr="00630B1E" w:rsidRDefault="00CF2A32" w:rsidP="00CF2A32">
      <w:pPr>
        <w:pStyle w:val="SingleTxtG"/>
      </w:pPr>
      <w:r>
        <w:t>12.</w:t>
      </w:r>
      <w:r>
        <w:tab/>
        <w:t>Присоединение к соглашениям Организации Объединенных Наций в области транспортных средств и соблюдение прилагаемых к ним правил ООН, предписаний</w:t>
      </w:r>
      <w:r w:rsidR="00E969FD">
        <w:t> </w:t>
      </w:r>
      <w:r>
        <w:t>ООН и ГТП ООН могут способствовать прогрессу в решении задач 3.6, 3.9, 7.3, 9.1, 11.2 и 13.2 целей в области устойчивого развития.</w:t>
      </w:r>
    </w:p>
    <w:p w14:paraId="237632BE" w14:textId="77777777" w:rsidR="00CF2A32" w:rsidRPr="00630B1E" w:rsidRDefault="00CF2A32" w:rsidP="00CF2A32">
      <w:pPr>
        <w:spacing w:before="240"/>
        <w:jc w:val="center"/>
        <w:rPr>
          <w:u w:val="single"/>
        </w:rPr>
      </w:pPr>
      <w:r w:rsidRPr="00630B1E">
        <w:rPr>
          <w:u w:val="single"/>
        </w:rPr>
        <w:tab/>
      </w:r>
      <w:r w:rsidRPr="00630B1E">
        <w:rPr>
          <w:u w:val="single"/>
        </w:rPr>
        <w:tab/>
      </w:r>
      <w:r w:rsidRPr="00630B1E">
        <w:rPr>
          <w:u w:val="single"/>
        </w:rPr>
        <w:tab/>
      </w:r>
    </w:p>
    <w:p w14:paraId="0885645D" w14:textId="77777777" w:rsidR="00E12C5F" w:rsidRPr="008D53B6" w:rsidRDefault="00E12C5F" w:rsidP="00D9145B"/>
    <w:sectPr w:rsidR="00E12C5F" w:rsidRPr="008D53B6" w:rsidSect="00CF2A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E40E" w14:textId="77777777" w:rsidR="001B4986" w:rsidRPr="00A312BC" w:rsidRDefault="001B4986" w:rsidP="00A312BC"/>
  </w:endnote>
  <w:endnote w:type="continuationSeparator" w:id="0">
    <w:p w14:paraId="4E18E038" w14:textId="77777777" w:rsidR="001B4986" w:rsidRPr="00A312BC" w:rsidRDefault="001B49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F677" w14:textId="77777777" w:rsidR="00CF2A32" w:rsidRPr="00CF2A32" w:rsidRDefault="00CF2A32">
    <w:pPr>
      <w:pStyle w:val="Footer"/>
    </w:pPr>
    <w:r w:rsidRPr="00CF2A32">
      <w:rPr>
        <w:b/>
        <w:sz w:val="18"/>
      </w:rPr>
      <w:fldChar w:fldCharType="begin"/>
    </w:r>
    <w:r w:rsidRPr="00CF2A32">
      <w:rPr>
        <w:b/>
        <w:sz w:val="18"/>
      </w:rPr>
      <w:instrText xml:space="preserve"> PAGE  \* MERGEFORMAT </w:instrText>
    </w:r>
    <w:r w:rsidRPr="00CF2A32">
      <w:rPr>
        <w:b/>
        <w:sz w:val="18"/>
      </w:rPr>
      <w:fldChar w:fldCharType="separate"/>
    </w:r>
    <w:r w:rsidRPr="00CF2A32">
      <w:rPr>
        <w:b/>
        <w:noProof/>
        <w:sz w:val="18"/>
      </w:rPr>
      <w:t>2</w:t>
    </w:r>
    <w:r w:rsidRPr="00CF2A32">
      <w:rPr>
        <w:b/>
        <w:sz w:val="18"/>
      </w:rPr>
      <w:fldChar w:fldCharType="end"/>
    </w:r>
    <w:r>
      <w:rPr>
        <w:b/>
        <w:sz w:val="18"/>
      </w:rPr>
      <w:tab/>
    </w:r>
    <w:r>
      <w:t>GE.19-21977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A707" w14:textId="77777777" w:rsidR="00CF2A32" w:rsidRPr="00CF2A32" w:rsidRDefault="00CF2A32" w:rsidP="00CF2A32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GE.19-21977</w:t>
    </w:r>
    <w:r>
      <w:tab/>
    </w:r>
    <w:r w:rsidRPr="00CF2A32">
      <w:rPr>
        <w:b/>
        <w:sz w:val="18"/>
      </w:rPr>
      <w:fldChar w:fldCharType="begin"/>
    </w:r>
    <w:r w:rsidRPr="00CF2A32">
      <w:rPr>
        <w:b/>
        <w:sz w:val="18"/>
      </w:rPr>
      <w:instrText xml:space="preserve"> PAGE  \* MERGEFORMAT </w:instrText>
    </w:r>
    <w:r w:rsidRPr="00CF2A32">
      <w:rPr>
        <w:b/>
        <w:sz w:val="18"/>
      </w:rPr>
      <w:fldChar w:fldCharType="separate"/>
    </w:r>
    <w:r w:rsidRPr="00CF2A32">
      <w:rPr>
        <w:b/>
        <w:noProof/>
        <w:sz w:val="18"/>
      </w:rPr>
      <w:t>3</w:t>
    </w:r>
    <w:r w:rsidRPr="00CF2A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D1E9" w14:textId="77777777" w:rsidR="00042B72" w:rsidRPr="00CF2A32" w:rsidRDefault="00CF2A32" w:rsidP="00CF2A3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621A22" wp14:editId="369151D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19-21977  (R)</w:t>
    </w:r>
    <w:r>
      <w:rPr>
        <w:lang w:val="en-US"/>
      </w:rPr>
      <w:t xml:space="preserve">  140120  140120</w:t>
    </w:r>
    <w:r>
      <w:br/>
    </w:r>
    <w:r w:rsidRPr="00CF2A32">
      <w:rPr>
        <w:rFonts w:ascii="C39T30Lfz" w:hAnsi="C39T30Lfz"/>
        <w:kern w:val="14"/>
        <w:sz w:val="56"/>
      </w:rPr>
      <w:t></w:t>
    </w:r>
    <w:r w:rsidRPr="00CF2A32">
      <w:rPr>
        <w:rFonts w:ascii="C39T30Lfz" w:hAnsi="C39T30Lfz"/>
        <w:kern w:val="14"/>
        <w:sz w:val="56"/>
      </w:rPr>
      <w:t></w:t>
    </w:r>
    <w:r w:rsidRPr="00CF2A32">
      <w:rPr>
        <w:rFonts w:ascii="C39T30Lfz" w:hAnsi="C39T30Lfz"/>
        <w:kern w:val="14"/>
        <w:sz w:val="56"/>
      </w:rPr>
      <w:t></w:t>
    </w:r>
    <w:r w:rsidRPr="00CF2A32">
      <w:rPr>
        <w:rFonts w:ascii="C39T30Lfz" w:hAnsi="C39T30Lfz"/>
        <w:kern w:val="14"/>
        <w:sz w:val="56"/>
      </w:rPr>
      <w:t></w:t>
    </w:r>
    <w:r w:rsidRPr="00CF2A32">
      <w:rPr>
        <w:rFonts w:ascii="C39T30Lfz" w:hAnsi="C39T30Lfz"/>
        <w:kern w:val="14"/>
        <w:sz w:val="56"/>
      </w:rPr>
      <w:t></w:t>
    </w:r>
    <w:r w:rsidRPr="00CF2A32">
      <w:rPr>
        <w:rFonts w:ascii="C39T30Lfz" w:hAnsi="C39T30Lfz"/>
        <w:kern w:val="14"/>
        <w:sz w:val="56"/>
      </w:rPr>
      <w:t></w:t>
    </w:r>
    <w:r w:rsidRPr="00CF2A32">
      <w:rPr>
        <w:rFonts w:ascii="C39T30Lfz" w:hAnsi="C39T30Lfz"/>
        <w:kern w:val="14"/>
        <w:sz w:val="56"/>
      </w:rPr>
      <w:t></w:t>
    </w:r>
    <w:r w:rsidRPr="00CF2A32">
      <w:rPr>
        <w:rFonts w:ascii="C39T30Lfz" w:hAnsi="C39T30Lfz"/>
        <w:kern w:val="14"/>
        <w:sz w:val="56"/>
      </w:rPr>
      <w:t></w:t>
    </w:r>
    <w:r w:rsidRPr="00CF2A3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072167" wp14:editId="2499549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A75E" w14:textId="77777777" w:rsidR="001B4986" w:rsidRPr="001075E9" w:rsidRDefault="001B49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B8B1B8" w14:textId="77777777" w:rsidR="001B4986" w:rsidRDefault="001B49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4E2AF3" w14:textId="77777777" w:rsidR="00CF2A32" w:rsidRPr="00630B1E" w:rsidRDefault="00CF2A32" w:rsidP="00CF2A32">
      <w:pPr>
        <w:pStyle w:val="FootnoteText"/>
      </w:pPr>
      <w:r>
        <w:tab/>
      </w:r>
      <w:r w:rsidRPr="00CF2A32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195C" w14:textId="3DBBAE17" w:rsidR="00CF2A32" w:rsidRPr="00CF2A32" w:rsidRDefault="00196BF8">
    <w:pPr>
      <w:pStyle w:val="Header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 w:rsidR="002700E4">
      <w:t>ECE/TRANS/2020/13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4B7A" w14:textId="360AFEF9" w:rsidR="00CF2A32" w:rsidRPr="00CF2A32" w:rsidRDefault="00196BF8" w:rsidP="00CF2A3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700E4">
      <w:t>ECE/TRANS/2020/13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86"/>
    <w:rsid w:val="00033EE1"/>
    <w:rsid w:val="00042B72"/>
    <w:rsid w:val="00054D47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6BF8"/>
    <w:rsid w:val="001B3EF6"/>
    <w:rsid w:val="001B4986"/>
    <w:rsid w:val="001C7A89"/>
    <w:rsid w:val="00255343"/>
    <w:rsid w:val="002700E4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1BA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5712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2A32"/>
    <w:rsid w:val="00CF55F6"/>
    <w:rsid w:val="00D33D63"/>
    <w:rsid w:val="00D5253A"/>
    <w:rsid w:val="00D873A8"/>
    <w:rsid w:val="00D90028"/>
    <w:rsid w:val="00D90138"/>
    <w:rsid w:val="00D9145B"/>
    <w:rsid w:val="00DB7B91"/>
    <w:rsid w:val="00DD78D1"/>
    <w:rsid w:val="00DE32CD"/>
    <w:rsid w:val="00DE3B47"/>
    <w:rsid w:val="00DF5767"/>
    <w:rsid w:val="00DF71B9"/>
    <w:rsid w:val="00E12C5F"/>
    <w:rsid w:val="00E73F76"/>
    <w:rsid w:val="00E969FD"/>
    <w:rsid w:val="00EA2C9F"/>
    <w:rsid w:val="00EA420E"/>
    <w:rsid w:val="00ED0BDA"/>
    <w:rsid w:val="00EE142A"/>
    <w:rsid w:val="00EF1360"/>
    <w:rsid w:val="00EF3220"/>
    <w:rsid w:val="00F2523A"/>
    <w:rsid w:val="00F375FF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9AA4A"/>
  <w15:docId w15:val="{29C98DD9-E94B-48DE-BFBD-0D542426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F2A32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CF2A3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8225</Characters>
  <Application>Microsoft Office Word</Application>
  <DocSecurity>4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ECE/TRANS/2020/13</vt:lpstr>
      <vt:lpstr>ECE/TRANS/2020/13</vt:lpstr>
      <vt:lpstr>A/</vt:lpstr>
    </vt:vector>
  </TitlesOfParts>
  <Company>DCM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ECE/TRANS/2020/13</dc:title>
  <dc:subject/>
  <dc:creator>Elena IZOTOVA</dc:creator>
  <cp:keywords/>
  <cp:lastModifiedBy>Anastasia Barinova</cp:lastModifiedBy>
  <cp:revision>2</cp:revision>
  <cp:lastPrinted>2020-01-14T10:19:00Z</cp:lastPrinted>
  <dcterms:created xsi:type="dcterms:W3CDTF">2020-01-24T16:49:00Z</dcterms:created>
  <dcterms:modified xsi:type="dcterms:W3CDTF">2020-01-24T16:49:00Z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