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C4631" w14:paraId="773A2079" w14:textId="77777777" w:rsidTr="00C97039">
        <w:trPr>
          <w:trHeight w:hRule="exact" w:val="851"/>
        </w:trPr>
        <w:tc>
          <w:tcPr>
            <w:tcW w:w="1276" w:type="dxa"/>
            <w:tcBorders>
              <w:bottom w:val="single" w:sz="4" w:space="0" w:color="auto"/>
            </w:tcBorders>
          </w:tcPr>
          <w:p w14:paraId="2B1C2516" w14:textId="77777777" w:rsidR="00F35BAF" w:rsidRPr="00DB58B5" w:rsidRDefault="00F35BAF" w:rsidP="001D1F65"/>
        </w:tc>
        <w:tc>
          <w:tcPr>
            <w:tcW w:w="2268" w:type="dxa"/>
            <w:tcBorders>
              <w:bottom w:val="single" w:sz="4" w:space="0" w:color="auto"/>
            </w:tcBorders>
            <w:vAlign w:val="bottom"/>
          </w:tcPr>
          <w:p w14:paraId="71C786DE" w14:textId="77777777" w:rsidR="00F35BAF" w:rsidRPr="004C4631" w:rsidRDefault="00F35BAF" w:rsidP="00C97039">
            <w:pPr>
              <w:spacing w:after="80" w:line="300" w:lineRule="exact"/>
              <w:rPr>
                <w:sz w:val="28"/>
              </w:rPr>
            </w:pPr>
            <w:r w:rsidRPr="004C4631">
              <w:rPr>
                <w:sz w:val="28"/>
              </w:rPr>
              <w:t>Nations Unies</w:t>
            </w:r>
          </w:p>
        </w:tc>
        <w:tc>
          <w:tcPr>
            <w:tcW w:w="6095" w:type="dxa"/>
            <w:gridSpan w:val="2"/>
            <w:tcBorders>
              <w:bottom w:val="single" w:sz="4" w:space="0" w:color="auto"/>
            </w:tcBorders>
            <w:vAlign w:val="bottom"/>
          </w:tcPr>
          <w:p w14:paraId="0E8DF69A" w14:textId="77777777" w:rsidR="00F35BAF" w:rsidRPr="004C4631" w:rsidRDefault="001D1F65" w:rsidP="001D1F65">
            <w:pPr>
              <w:jc w:val="right"/>
            </w:pPr>
            <w:r w:rsidRPr="004C4631">
              <w:rPr>
                <w:sz w:val="40"/>
              </w:rPr>
              <w:t>ECE</w:t>
            </w:r>
            <w:r w:rsidRPr="004C4631">
              <w:t>/TRANS/2020/10</w:t>
            </w:r>
          </w:p>
        </w:tc>
      </w:tr>
      <w:tr w:rsidR="00F35BAF" w:rsidRPr="004C4631" w14:paraId="41CF9EBF" w14:textId="77777777" w:rsidTr="00C97039">
        <w:trPr>
          <w:trHeight w:hRule="exact" w:val="2835"/>
        </w:trPr>
        <w:tc>
          <w:tcPr>
            <w:tcW w:w="1276" w:type="dxa"/>
            <w:tcBorders>
              <w:top w:val="single" w:sz="4" w:space="0" w:color="auto"/>
              <w:bottom w:val="single" w:sz="12" w:space="0" w:color="auto"/>
            </w:tcBorders>
          </w:tcPr>
          <w:p w14:paraId="0BFCBA72" w14:textId="77777777" w:rsidR="00F35BAF" w:rsidRPr="004C4631" w:rsidRDefault="00F35BAF" w:rsidP="00C97039">
            <w:pPr>
              <w:spacing w:before="120"/>
              <w:jc w:val="center"/>
            </w:pPr>
            <w:r w:rsidRPr="004C4631">
              <w:rPr>
                <w:noProof/>
                <w:lang w:eastAsia="fr-CH"/>
              </w:rPr>
              <w:drawing>
                <wp:inline distT="0" distB="0" distL="0" distR="0" wp14:anchorId="75A970A5" wp14:editId="005368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895DE2" w14:textId="77777777" w:rsidR="00F35BAF" w:rsidRPr="004C4631" w:rsidRDefault="00F35BAF" w:rsidP="00C97039">
            <w:pPr>
              <w:spacing w:before="120" w:line="420" w:lineRule="exact"/>
              <w:rPr>
                <w:b/>
                <w:sz w:val="40"/>
                <w:szCs w:val="40"/>
              </w:rPr>
            </w:pPr>
            <w:r w:rsidRPr="004C4631">
              <w:rPr>
                <w:b/>
                <w:sz w:val="40"/>
                <w:szCs w:val="40"/>
              </w:rPr>
              <w:t>Conseil économique et social</w:t>
            </w:r>
          </w:p>
        </w:tc>
        <w:tc>
          <w:tcPr>
            <w:tcW w:w="2835" w:type="dxa"/>
            <w:tcBorders>
              <w:top w:val="single" w:sz="4" w:space="0" w:color="auto"/>
              <w:bottom w:val="single" w:sz="12" w:space="0" w:color="auto"/>
            </w:tcBorders>
          </w:tcPr>
          <w:p w14:paraId="25E3A954" w14:textId="77777777" w:rsidR="00F35BAF" w:rsidRPr="004C4631" w:rsidRDefault="001D1F65" w:rsidP="00C97039">
            <w:pPr>
              <w:spacing w:before="240"/>
            </w:pPr>
            <w:r w:rsidRPr="004C4631">
              <w:t xml:space="preserve">Distr. </w:t>
            </w:r>
            <w:proofErr w:type="gramStart"/>
            <w:r w:rsidRPr="004C4631">
              <w:t>générale</w:t>
            </w:r>
            <w:proofErr w:type="gramEnd"/>
          </w:p>
          <w:p w14:paraId="29E3C9AB" w14:textId="77777777" w:rsidR="001D1F65" w:rsidRPr="004C4631" w:rsidRDefault="001D1F65" w:rsidP="001D1F65">
            <w:pPr>
              <w:spacing w:line="240" w:lineRule="exact"/>
            </w:pPr>
            <w:r w:rsidRPr="004C4631">
              <w:t>17 décembre 2019</w:t>
            </w:r>
          </w:p>
          <w:p w14:paraId="22BC69E8" w14:textId="77777777" w:rsidR="001D1F65" w:rsidRPr="004C4631" w:rsidRDefault="001D1F65" w:rsidP="001D1F65">
            <w:pPr>
              <w:spacing w:line="240" w:lineRule="exact"/>
            </w:pPr>
            <w:r w:rsidRPr="004C4631">
              <w:t>Français</w:t>
            </w:r>
          </w:p>
          <w:p w14:paraId="3137B961" w14:textId="77777777" w:rsidR="001D1F65" w:rsidRPr="004C4631" w:rsidRDefault="001D1F65" w:rsidP="001D1F65">
            <w:pPr>
              <w:spacing w:line="240" w:lineRule="exact"/>
            </w:pPr>
            <w:r w:rsidRPr="004C4631">
              <w:t>Original : anglais</w:t>
            </w:r>
          </w:p>
        </w:tc>
      </w:tr>
    </w:tbl>
    <w:p w14:paraId="5509DD6D" w14:textId="77777777" w:rsidR="007F20FA" w:rsidRPr="004C4631" w:rsidRDefault="007F20FA" w:rsidP="007F20FA">
      <w:pPr>
        <w:spacing w:before="120"/>
        <w:rPr>
          <w:b/>
          <w:sz w:val="28"/>
          <w:szCs w:val="28"/>
        </w:rPr>
      </w:pPr>
      <w:r w:rsidRPr="004C4631">
        <w:rPr>
          <w:b/>
          <w:sz w:val="28"/>
          <w:szCs w:val="28"/>
        </w:rPr>
        <w:t>Commission économique pour l’Europe</w:t>
      </w:r>
    </w:p>
    <w:p w14:paraId="768088D8" w14:textId="77777777" w:rsidR="007F20FA" w:rsidRPr="004C4631" w:rsidRDefault="007F20FA" w:rsidP="007F20FA">
      <w:pPr>
        <w:spacing w:before="120"/>
        <w:rPr>
          <w:sz w:val="28"/>
          <w:szCs w:val="28"/>
        </w:rPr>
      </w:pPr>
      <w:r w:rsidRPr="004C4631">
        <w:rPr>
          <w:sz w:val="28"/>
          <w:szCs w:val="28"/>
        </w:rPr>
        <w:t>Comité des transports intérieurs</w:t>
      </w:r>
    </w:p>
    <w:p w14:paraId="3C0EB60A" w14:textId="77777777" w:rsidR="00B37CF9" w:rsidRPr="004C4631" w:rsidRDefault="00B37CF9" w:rsidP="00B37CF9">
      <w:pPr>
        <w:kinsoku/>
        <w:overflowPunct/>
        <w:autoSpaceDE/>
        <w:autoSpaceDN/>
        <w:adjustRightInd/>
        <w:snapToGrid/>
        <w:spacing w:before="120"/>
        <w:rPr>
          <w:rFonts w:eastAsia="Times New Roman"/>
          <w:b/>
          <w:bCs/>
          <w:lang w:val="fr-FR" w:eastAsia="fr-FR"/>
        </w:rPr>
      </w:pPr>
      <w:r w:rsidRPr="004C4631">
        <w:rPr>
          <w:rFonts w:eastAsia="Times New Roman"/>
          <w:b/>
          <w:bCs/>
          <w:lang w:val="fr-FR" w:eastAsia="fr-FR"/>
        </w:rPr>
        <w:t>Quatre-vingt-deuxième session</w:t>
      </w:r>
    </w:p>
    <w:p w14:paraId="1B6A62F2" w14:textId="77777777" w:rsidR="00101FAB" w:rsidRPr="004C4631" w:rsidRDefault="00B37CF9" w:rsidP="00B37CF9">
      <w:pPr>
        <w:kinsoku/>
        <w:overflowPunct/>
        <w:autoSpaceDE/>
        <w:autoSpaceDN/>
        <w:adjustRightInd/>
        <w:snapToGrid/>
        <w:rPr>
          <w:rFonts w:eastAsia="Times New Roman"/>
          <w:lang w:val="fr-FR" w:eastAsia="fr-FR"/>
        </w:rPr>
      </w:pPr>
      <w:r w:rsidRPr="004C4631">
        <w:rPr>
          <w:rFonts w:eastAsia="Times New Roman"/>
          <w:lang w:val="fr-FR" w:eastAsia="fr-FR"/>
        </w:rPr>
        <w:t>Genève, 25-28 février 2020</w:t>
      </w:r>
      <w:r w:rsidRPr="004C4631" w:rsidDel="003D79FB">
        <w:rPr>
          <w:rFonts w:eastAsia="Times New Roman"/>
          <w:lang w:val="fr-FR" w:eastAsia="fr-FR"/>
        </w:rPr>
        <w:t xml:space="preserve"> </w:t>
      </w:r>
    </w:p>
    <w:p w14:paraId="5B629210" w14:textId="77777777" w:rsidR="00B37CF9" w:rsidRPr="00E73633" w:rsidRDefault="00B37CF9" w:rsidP="00B37CF9">
      <w:pPr>
        <w:kinsoku/>
        <w:overflowPunct/>
        <w:autoSpaceDE/>
        <w:autoSpaceDN/>
        <w:adjustRightInd/>
        <w:snapToGrid/>
        <w:rPr>
          <w:rFonts w:eastAsia="Times New Roman"/>
          <w:bCs/>
          <w:lang w:val="fr-FR" w:eastAsia="fr-FR"/>
        </w:rPr>
      </w:pPr>
      <w:r w:rsidRPr="00E73633">
        <w:rPr>
          <w:rFonts w:eastAsia="Times New Roman"/>
          <w:bCs/>
          <w:lang w:val="fr-FR" w:eastAsia="fr-FR"/>
        </w:rPr>
        <w:t xml:space="preserve">Point 4 h) de l’ordre du jour provisoire </w:t>
      </w:r>
    </w:p>
    <w:p w14:paraId="6F8A59D5" w14:textId="77777777" w:rsidR="00B37CF9" w:rsidRPr="004C4631" w:rsidRDefault="00B37CF9" w:rsidP="00B37CF9">
      <w:pPr>
        <w:kinsoku/>
        <w:overflowPunct/>
        <w:autoSpaceDE/>
        <w:autoSpaceDN/>
        <w:adjustRightInd/>
        <w:snapToGrid/>
        <w:rPr>
          <w:rFonts w:eastAsia="Times New Roman"/>
          <w:b/>
          <w:bCs/>
          <w:lang w:val="fr-FR" w:eastAsia="fr-FR"/>
        </w:rPr>
      </w:pPr>
      <w:r w:rsidRPr="004C4631">
        <w:rPr>
          <w:rFonts w:eastAsia="Times New Roman"/>
          <w:b/>
          <w:bCs/>
          <w:lang w:val="fr-FR" w:eastAsia="fr-FR"/>
        </w:rPr>
        <w:t xml:space="preserve">Questions stratégiques de nature horizontale </w:t>
      </w:r>
      <w:r w:rsidR="00101FAB" w:rsidRPr="004C4631">
        <w:rPr>
          <w:rFonts w:eastAsia="Times New Roman"/>
          <w:b/>
          <w:bCs/>
          <w:lang w:val="fr-FR" w:eastAsia="fr-FR"/>
        </w:rPr>
        <w:br/>
      </w:r>
      <w:r w:rsidRPr="004C4631">
        <w:rPr>
          <w:rFonts w:eastAsia="Times New Roman"/>
          <w:b/>
          <w:bCs/>
          <w:lang w:val="fr-FR" w:eastAsia="fr-FR"/>
        </w:rPr>
        <w:t>ou réglementaire</w:t>
      </w:r>
      <w:r w:rsidR="00101FAB" w:rsidRPr="004C4631">
        <w:rPr>
          <w:rFonts w:eastAsia="Times New Roman"/>
          <w:b/>
          <w:bCs/>
          <w:lang w:val="fr-FR" w:eastAsia="fr-FR"/>
        </w:rPr>
        <w:t> </w:t>
      </w:r>
      <w:r w:rsidRPr="004C4631">
        <w:rPr>
          <w:rFonts w:eastAsia="Times New Roman"/>
          <w:b/>
          <w:bCs/>
          <w:lang w:val="fr-FR" w:eastAsia="fr-FR"/>
        </w:rPr>
        <w:t>: sécurité routière</w:t>
      </w:r>
    </w:p>
    <w:p w14:paraId="29A54168" w14:textId="77777777" w:rsidR="00B37CF9" w:rsidRPr="004C4631" w:rsidRDefault="00B37CF9" w:rsidP="00B37CF9">
      <w:pPr>
        <w:pStyle w:val="HChG"/>
        <w:rPr>
          <w:lang w:val="fr-FR" w:eastAsia="fr-FR"/>
        </w:rPr>
      </w:pPr>
      <w:r w:rsidRPr="004C4631">
        <w:rPr>
          <w:lang w:val="fr-FR" w:eastAsia="fr-FR"/>
        </w:rPr>
        <w:tab/>
      </w:r>
      <w:r w:rsidRPr="004C4631">
        <w:rPr>
          <w:lang w:val="fr-FR" w:eastAsia="fr-FR"/>
        </w:rPr>
        <w:tab/>
        <w:t>L’évaluation des systèmes de sécurité routière</w:t>
      </w:r>
    </w:p>
    <w:p w14:paraId="43CB0487" w14:textId="77777777" w:rsidR="00F9573C" w:rsidRPr="004C4631" w:rsidRDefault="00B37CF9" w:rsidP="00B37CF9">
      <w:pPr>
        <w:pStyle w:val="H1G"/>
        <w:rPr>
          <w:lang w:val="fr-FR" w:eastAsia="fr-FR"/>
        </w:rPr>
      </w:pPr>
      <w:r w:rsidRPr="004C4631">
        <w:rPr>
          <w:lang w:val="fr-FR" w:eastAsia="fr-FR"/>
        </w:rPr>
        <w:tab/>
      </w:r>
      <w:r w:rsidRPr="004C4631">
        <w:rPr>
          <w:lang w:val="fr-FR" w:eastAsia="fr-FR"/>
        </w:rPr>
        <w:tab/>
        <w:t>Note du secrétariat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960AA" w:rsidRPr="004C4631" w14:paraId="787F2C85"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E798F66" w14:textId="77777777" w:rsidR="006960AA" w:rsidRPr="004C4631" w:rsidRDefault="006960AA"/>
        </w:tc>
      </w:tr>
      <w:tr w:rsidR="006960AA" w:rsidRPr="004C4631" w14:paraId="2AB2B9A8" w14:textId="77777777">
        <w:trPr>
          <w:jc w:val="center"/>
        </w:trPr>
        <w:tc>
          <w:tcPr>
            <w:tcW w:w="7653" w:type="dxa"/>
            <w:tcBorders>
              <w:left w:val="single" w:sz="4" w:space="0" w:color="auto"/>
              <w:bottom w:val="nil"/>
              <w:right w:val="single" w:sz="4" w:space="0" w:color="auto"/>
            </w:tcBorders>
            <w:shd w:val="clear" w:color="auto" w:fill="auto"/>
          </w:tcPr>
          <w:p w14:paraId="41DBDCCF" w14:textId="77777777" w:rsidR="006960AA" w:rsidRPr="004C4631" w:rsidRDefault="00792FA3">
            <w:pPr>
              <w:spacing w:after="120"/>
              <w:jc w:val="both"/>
            </w:pPr>
            <w:r w:rsidRPr="004C4631">
              <w:rPr>
                <w:rFonts w:eastAsia="Times New Roman"/>
                <w:lang w:val="fr-FR" w:eastAsia="fr-FR"/>
              </w:rPr>
              <w:tab/>
              <w:t>L’évaluation d’un système national de sécurité routière consiste à</w:t>
            </w:r>
            <w:r w:rsidRPr="004C4631">
              <w:rPr>
                <w:rFonts w:eastAsia="Times New Roman"/>
                <w:lang w:eastAsia="fr-FR"/>
              </w:rPr>
              <w:t xml:space="preserve"> mesurer les progrès et les besoins du pays concerné pour ce qui est de l’amélioration de la gestion de son système de sécurité routière et des résultats obtenus en la matière, le critère étant l’évolution du nombre d’usagers de la route tués ou gravement blessés</w:t>
            </w:r>
            <w:r w:rsidRPr="004C4631">
              <w:rPr>
                <w:rFonts w:eastAsia="Times New Roman"/>
                <w:lang w:val="fr-FR" w:eastAsia="fr-FR"/>
              </w:rPr>
              <w:t>. Le but de cette évaluation est de permettre aux pays :</w:t>
            </w:r>
          </w:p>
        </w:tc>
      </w:tr>
      <w:tr w:rsidR="006960AA" w:rsidRPr="004C4631" w14:paraId="1AC26318" w14:textId="77777777">
        <w:trPr>
          <w:jc w:val="center"/>
        </w:trPr>
        <w:tc>
          <w:tcPr>
            <w:tcW w:w="7653" w:type="dxa"/>
            <w:tcBorders>
              <w:left w:val="single" w:sz="4" w:space="0" w:color="auto"/>
              <w:bottom w:val="nil"/>
              <w:right w:val="single" w:sz="4" w:space="0" w:color="auto"/>
            </w:tcBorders>
            <w:shd w:val="clear" w:color="auto" w:fill="auto"/>
          </w:tcPr>
          <w:p w14:paraId="25892E4F" w14:textId="77777777" w:rsidR="006960AA" w:rsidRPr="004C4631" w:rsidRDefault="00792FA3" w:rsidP="00817393">
            <w:pPr>
              <w:pStyle w:val="Bullet1G"/>
              <w:ind w:left="567" w:right="0"/>
            </w:pPr>
            <w:r w:rsidRPr="004C4631">
              <w:rPr>
                <w:rFonts w:eastAsia="Times New Roman"/>
                <w:lang w:val="fr-FR" w:eastAsia="fr-FR"/>
              </w:rPr>
              <w:t>D’apprécier la situation, les progrès réalisés et les lacunes à combler en matière de sécurité routière ;</w:t>
            </w:r>
          </w:p>
        </w:tc>
      </w:tr>
      <w:tr w:rsidR="006960AA" w:rsidRPr="004C4631" w14:paraId="4079EA41" w14:textId="77777777">
        <w:trPr>
          <w:jc w:val="center"/>
        </w:trPr>
        <w:tc>
          <w:tcPr>
            <w:tcW w:w="7653" w:type="dxa"/>
            <w:tcBorders>
              <w:left w:val="single" w:sz="4" w:space="0" w:color="auto"/>
              <w:bottom w:val="nil"/>
              <w:right w:val="single" w:sz="4" w:space="0" w:color="auto"/>
            </w:tcBorders>
            <w:shd w:val="clear" w:color="auto" w:fill="auto"/>
          </w:tcPr>
          <w:p w14:paraId="2E6053C1" w14:textId="77777777" w:rsidR="006960AA" w:rsidRPr="004C4631" w:rsidRDefault="00792FA3" w:rsidP="00817393">
            <w:pPr>
              <w:pStyle w:val="Bullet1G"/>
              <w:ind w:left="567" w:right="0"/>
            </w:pPr>
            <w:r w:rsidRPr="004C4631">
              <w:rPr>
                <w:rFonts w:eastAsia="Times New Roman"/>
                <w:lang w:val="fr-FR" w:eastAsia="fr-FR"/>
              </w:rPr>
              <w:t>D’améliorer la gestion de la sécurité routière ;</w:t>
            </w:r>
          </w:p>
        </w:tc>
      </w:tr>
      <w:tr w:rsidR="006960AA" w:rsidRPr="004C4631" w14:paraId="05A4D864" w14:textId="77777777">
        <w:trPr>
          <w:jc w:val="center"/>
        </w:trPr>
        <w:tc>
          <w:tcPr>
            <w:tcW w:w="7653" w:type="dxa"/>
            <w:tcBorders>
              <w:left w:val="single" w:sz="4" w:space="0" w:color="auto"/>
              <w:bottom w:val="nil"/>
              <w:right w:val="single" w:sz="4" w:space="0" w:color="auto"/>
            </w:tcBorders>
            <w:shd w:val="clear" w:color="auto" w:fill="auto"/>
          </w:tcPr>
          <w:p w14:paraId="201CA2F8" w14:textId="77777777" w:rsidR="006960AA" w:rsidRPr="004C4631" w:rsidRDefault="00792FA3" w:rsidP="00817393">
            <w:pPr>
              <w:pStyle w:val="Bullet1G"/>
              <w:ind w:left="567" w:right="0"/>
            </w:pPr>
            <w:r w:rsidRPr="004C4631">
              <w:rPr>
                <w:rFonts w:eastAsia="Times New Roman"/>
                <w:lang w:val="fr-FR" w:eastAsia="fr-FR"/>
              </w:rPr>
              <w:t>De promouvoir une coordination et une coopération continues entre les parties prenantes pour généraliser l’utilisation de la notion de système de sécurité routière, et pour permettre des avancées compatibles avec les objectifs généraux du Programme de développement durable à l’horizon 2030 et aux objectifs de développement durable</w:t>
            </w:r>
            <w:r w:rsidR="00E826F4" w:rsidRPr="004C4631">
              <w:rPr>
                <w:rFonts w:eastAsia="Times New Roman"/>
                <w:lang w:val="fr-FR" w:eastAsia="fr-FR"/>
              </w:rPr>
              <w:t> </w:t>
            </w:r>
            <w:r w:rsidRPr="004C4631">
              <w:rPr>
                <w:rFonts w:eastAsia="Times New Roman"/>
                <w:lang w:val="fr-FR" w:eastAsia="fr-FR"/>
              </w:rPr>
              <w:t>;</w:t>
            </w:r>
          </w:p>
        </w:tc>
      </w:tr>
      <w:tr w:rsidR="006960AA" w:rsidRPr="004C4631" w14:paraId="5C16A49E" w14:textId="77777777">
        <w:trPr>
          <w:jc w:val="center"/>
        </w:trPr>
        <w:tc>
          <w:tcPr>
            <w:tcW w:w="7653" w:type="dxa"/>
            <w:tcBorders>
              <w:left w:val="single" w:sz="4" w:space="0" w:color="auto"/>
              <w:bottom w:val="nil"/>
              <w:right w:val="single" w:sz="4" w:space="0" w:color="auto"/>
            </w:tcBorders>
            <w:shd w:val="clear" w:color="auto" w:fill="auto"/>
          </w:tcPr>
          <w:p w14:paraId="200E3512" w14:textId="77777777" w:rsidR="006960AA" w:rsidRPr="004C4631" w:rsidRDefault="00792FA3" w:rsidP="00817393">
            <w:pPr>
              <w:pStyle w:val="Bullet1G"/>
              <w:ind w:left="567" w:right="0"/>
            </w:pPr>
            <w:r w:rsidRPr="004C4631">
              <w:rPr>
                <w:rFonts w:eastAsia="Times New Roman"/>
                <w:lang w:val="fr-FR" w:eastAsia="fr-FR"/>
              </w:rPr>
              <w:t>D’établir des priorités.</w:t>
            </w:r>
          </w:p>
        </w:tc>
      </w:tr>
      <w:tr w:rsidR="006960AA" w:rsidRPr="004C4631" w14:paraId="441A6683" w14:textId="77777777">
        <w:trPr>
          <w:jc w:val="center"/>
        </w:trPr>
        <w:tc>
          <w:tcPr>
            <w:tcW w:w="7653" w:type="dxa"/>
            <w:tcBorders>
              <w:left w:val="single" w:sz="4" w:space="0" w:color="auto"/>
              <w:bottom w:val="nil"/>
              <w:right w:val="single" w:sz="4" w:space="0" w:color="auto"/>
            </w:tcBorders>
            <w:shd w:val="clear" w:color="auto" w:fill="auto"/>
          </w:tcPr>
          <w:p w14:paraId="6BB61A43" w14:textId="77777777" w:rsidR="006960AA" w:rsidRPr="004C4631" w:rsidRDefault="00792FA3">
            <w:pPr>
              <w:spacing w:after="120"/>
              <w:jc w:val="both"/>
            </w:pPr>
            <w:r w:rsidRPr="004C4631">
              <w:rPr>
                <w:rFonts w:eastAsia="Times New Roman"/>
                <w:lang w:val="fr-FR" w:eastAsia="fr-FR"/>
              </w:rPr>
              <w:tab/>
              <w:t xml:space="preserve">Le Comité souhaitera peut-être </w:t>
            </w:r>
            <w:r w:rsidRPr="004C4631">
              <w:rPr>
                <w:rFonts w:eastAsia="Times New Roman"/>
                <w:b/>
                <w:bCs/>
                <w:lang w:val="fr-FR" w:eastAsia="fr-FR"/>
              </w:rPr>
              <w:t>examiner et, éventuellement, adopter</w:t>
            </w:r>
            <w:r w:rsidRPr="004C4631">
              <w:rPr>
                <w:rFonts w:eastAsia="Times New Roman"/>
                <w:lang w:val="fr-FR" w:eastAsia="fr-FR"/>
              </w:rPr>
              <w:t xml:space="preserve"> le modèle d’Évaluation des systèmes de sécurité routière tel que présenté dans le présent document, qui constitue un outil supplémentaire à la disposition des États membres et des Parties contractantes pour améliorer leurs systèmes de sécurité routière et renforce ainsi la contribution du CTI aux efforts actuellement déployés pour améliorer la sécurité routière dans le monde.</w:t>
            </w:r>
          </w:p>
        </w:tc>
      </w:tr>
      <w:tr w:rsidR="006960AA" w:rsidRPr="004C4631" w14:paraId="5A6D390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3DB9844" w14:textId="77777777" w:rsidR="006960AA" w:rsidRPr="004C4631" w:rsidRDefault="006960AA"/>
        </w:tc>
      </w:tr>
    </w:tbl>
    <w:p w14:paraId="2B319098" w14:textId="77777777" w:rsidR="006960AA" w:rsidRPr="004C4631" w:rsidRDefault="00792FA3" w:rsidP="00792FA3">
      <w:pPr>
        <w:pStyle w:val="HChG"/>
        <w:rPr>
          <w:lang w:val="fr-FR" w:eastAsia="fr-FR"/>
        </w:rPr>
      </w:pPr>
      <w:r w:rsidRPr="004C4631">
        <w:rPr>
          <w:lang w:val="fr-FR" w:eastAsia="fr-FR"/>
        </w:rPr>
        <w:tab/>
      </w:r>
      <w:r w:rsidR="006960AA" w:rsidRPr="004C4631">
        <w:rPr>
          <w:lang w:val="fr-FR" w:eastAsia="fr-FR"/>
        </w:rPr>
        <w:t>I.</w:t>
      </w:r>
      <w:r w:rsidR="006960AA" w:rsidRPr="004C4631">
        <w:rPr>
          <w:lang w:val="fr-FR" w:eastAsia="fr-FR"/>
        </w:rPr>
        <w:tab/>
        <w:t>En quoi consiste l’Évaluation du</w:t>
      </w:r>
      <w:r w:rsidR="004C4631" w:rsidRPr="004C4631">
        <w:rPr>
          <w:lang w:val="fr-FR" w:eastAsia="fr-FR"/>
        </w:rPr>
        <w:t xml:space="preserve"> </w:t>
      </w:r>
      <w:r w:rsidR="006960AA" w:rsidRPr="004C4631">
        <w:rPr>
          <w:lang w:val="fr-FR" w:eastAsia="fr-FR"/>
        </w:rPr>
        <w:t>système de sécurité routière ?</w:t>
      </w:r>
    </w:p>
    <w:p w14:paraId="2784E2E6" w14:textId="77777777" w:rsidR="006960AA" w:rsidRPr="004C4631" w:rsidRDefault="006960AA" w:rsidP="00792FA3">
      <w:pPr>
        <w:pStyle w:val="SingleTxtG"/>
        <w:rPr>
          <w:lang w:val="fr-FR" w:eastAsia="fr-FR"/>
        </w:rPr>
      </w:pPr>
      <w:r w:rsidRPr="004C4631">
        <w:rPr>
          <w:lang w:val="fr-FR" w:eastAsia="fr-FR"/>
        </w:rPr>
        <w:t>1.</w:t>
      </w:r>
      <w:r w:rsidRPr="004C4631">
        <w:rPr>
          <w:lang w:val="fr-FR" w:eastAsia="fr-FR"/>
        </w:rPr>
        <w:tab/>
        <w:t xml:space="preserve">L’Évaluation du système de sécurité routière (ESSR) consiste à mesurer les progrès et les besoins </w:t>
      </w:r>
      <w:r w:rsidRPr="004C4631">
        <w:rPr>
          <w:lang w:eastAsia="fr-FR"/>
        </w:rPr>
        <w:t>du pays concerné,</w:t>
      </w:r>
      <w:r w:rsidRPr="004C4631">
        <w:rPr>
          <w:lang w:val="fr-FR" w:eastAsia="fr-FR"/>
        </w:rPr>
        <w:t xml:space="preserve"> s’agissant de l’amélioration </w:t>
      </w:r>
      <w:r w:rsidRPr="004C4631">
        <w:rPr>
          <w:lang w:eastAsia="fr-FR"/>
        </w:rPr>
        <w:t xml:space="preserve">de la gestion de son système </w:t>
      </w:r>
      <w:r w:rsidRPr="004C4631">
        <w:rPr>
          <w:lang w:eastAsia="fr-FR"/>
        </w:rPr>
        <w:lastRenderedPageBreak/>
        <w:t>de sécurité routière et des résultats obtenus en la matière, le critère étant l’évolution du nombre d’usagers de la route tués ou gravement blessés</w:t>
      </w:r>
      <w:r w:rsidRPr="004C4631">
        <w:rPr>
          <w:lang w:val="fr-FR" w:eastAsia="fr-FR"/>
        </w:rPr>
        <w:t xml:space="preserve">. </w:t>
      </w:r>
      <w:r w:rsidRPr="004C4631">
        <w:rPr>
          <w:lang w:eastAsia="fr-FR"/>
        </w:rPr>
        <w:t>L’</w:t>
      </w:r>
      <w:r w:rsidRPr="004C4631">
        <w:rPr>
          <w:bCs/>
          <w:lang w:eastAsia="fr-FR"/>
        </w:rPr>
        <w:t>ESSR</w:t>
      </w:r>
      <w:r w:rsidRPr="004C4631" w:rsidDel="00093A25">
        <w:rPr>
          <w:lang w:eastAsia="fr-FR"/>
        </w:rPr>
        <w:t xml:space="preserve"> </w:t>
      </w:r>
      <w:r w:rsidRPr="004C4631">
        <w:rPr>
          <w:lang w:eastAsia="fr-FR"/>
        </w:rPr>
        <w:t>est une analyse exhaustive du système de sécurité routière en place dans un pays et de son fonctionnement, dans laquelle sont passées en revue les institutions, la législation et son application, l’éducation, les politiques, les infrastructures et la relation au cadre réglementaire international</w:t>
      </w:r>
      <w:r w:rsidRPr="004C4631">
        <w:rPr>
          <w:lang w:val="fr-FR" w:eastAsia="fr-FR"/>
        </w:rPr>
        <w:t xml:space="preserve"> (conventions des Nations Unies relatives à la sécurité routière). Le Plan-cadre mondial pour la sécurité routière en fournit le cadre théorique d’analyse et d’évaluation.</w:t>
      </w:r>
    </w:p>
    <w:p w14:paraId="30015691" w14:textId="77777777" w:rsidR="006960AA" w:rsidRPr="004C4631" w:rsidRDefault="006960AA" w:rsidP="00263C3B">
      <w:pPr>
        <w:pStyle w:val="H1G"/>
        <w:rPr>
          <w:lang w:val="fr-FR" w:eastAsia="fr-FR"/>
        </w:rPr>
      </w:pPr>
      <w:r w:rsidRPr="004C4631">
        <w:rPr>
          <w:lang w:val="fr-FR" w:eastAsia="fr-FR"/>
        </w:rPr>
        <w:tab/>
      </w:r>
      <w:r w:rsidR="00263C3B" w:rsidRPr="004C4631">
        <w:rPr>
          <w:lang w:val="fr-FR" w:eastAsia="fr-FR"/>
        </w:rPr>
        <w:tab/>
      </w:r>
      <w:r w:rsidRPr="004C4631">
        <w:rPr>
          <w:lang w:val="fr-FR" w:eastAsia="fr-FR"/>
        </w:rPr>
        <w:t>Objet de l’évaluation</w:t>
      </w:r>
    </w:p>
    <w:p w14:paraId="3E62B751" w14:textId="77777777" w:rsidR="006960AA" w:rsidRPr="004C4631" w:rsidRDefault="006960AA" w:rsidP="00263C3B">
      <w:pPr>
        <w:pStyle w:val="SingleTxtG"/>
        <w:rPr>
          <w:lang w:val="fr-FR" w:eastAsia="fr-FR"/>
        </w:rPr>
      </w:pPr>
      <w:r w:rsidRPr="004C4631">
        <w:rPr>
          <w:lang w:val="fr-FR" w:eastAsia="fr-FR"/>
        </w:rPr>
        <w:t>2.</w:t>
      </w:r>
      <w:r w:rsidRPr="004C4631">
        <w:rPr>
          <w:lang w:val="fr-FR" w:eastAsia="fr-FR"/>
        </w:rPr>
        <w:tab/>
        <w:t>L’évaluation a pour objet d’aider les pays à</w:t>
      </w:r>
      <w:r w:rsidR="004C4631">
        <w:rPr>
          <w:lang w:val="fr-FR" w:eastAsia="fr-FR"/>
        </w:rPr>
        <w:t> </w:t>
      </w:r>
      <w:r w:rsidRPr="004C4631">
        <w:rPr>
          <w:lang w:val="fr-FR" w:eastAsia="fr-FR"/>
        </w:rPr>
        <w:t xml:space="preserve">: </w:t>
      </w:r>
    </w:p>
    <w:p w14:paraId="6C1F7291" w14:textId="77777777" w:rsidR="006960AA" w:rsidRPr="004C4631" w:rsidRDefault="006960AA" w:rsidP="00263C3B">
      <w:pPr>
        <w:pStyle w:val="Bullet1G"/>
        <w:rPr>
          <w:lang w:val="fr-FR" w:eastAsia="fr-FR"/>
        </w:rPr>
      </w:pPr>
      <w:r w:rsidRPr="004C4631">
        <w:rPr>
          <w:lang w:val="fr-FR" w:eastAsia="fr-FR"/>
        </w:rPr>
        <w:t>Apprécier la situation, les progrès réalisés et les lacunes à combler en matière de sécurité routière</w:t>
      </w:r>
      <w:r w:rsidR="00263C3B" w:rsidRPr="004C4631">
        <w:rPr>
          <w:lang w:val="fr-FR" w:eastAsia="fr-FR"/>
        </w:rPr>
        <w:t> </w:t>
      </w:r>
      <w:r w:rsidRPr="004C4631">
        <w:rPr>
          <w:lang w:val="fr-FR" w:eastAsia="fr-FR"/>
        </w:rPr>
        <w:t>;</w:t>
      </w:r>
    </w:p>
    <w:p w14:paraId="0D7B2435" w14:textId="77777777" w:rsidR="006960AA" w:rsidRPr="004C4631" w:rsidRDefault="006960AA" w:rsidP="00263C3B">
      <w:pPr>
        <w:pStyle w:val="Bullet1G"/>
        <w:rPr>
          <w:lang w:val="fr-FR" w:eastAsia="fr-FR"/>
        </w:rPr>
      </w:pPr>
      <w:r w:rsidRPr="004C4631">
        <w:rPr>
          <w:lang w:val="fr-FR" w:eastAsia="fr-FR"/>
        </w:rPr>
        <w:t>Améliorer leur gestion de la sécurité routière en établissant des conditions minimales et en faisant des recommandations concrètes afin d’améliorer la mise en œuvre et les résultats</w:t>
      </w:r>
      <w:r w:rsidRPr="004C4631" w:rsidDel="00A65867">
        <w:rPr>
          <w:lang w:val="fr-FR" w:eastAsia="fr-FR"/>
        </w:rPr>
        <w:t xml:space="preserve"> </w:t>
      </w:r>
      <w:r w:rsidRPr="004C4631">
        <w:rPr>
          <w:lang w:val="fr-FR" w:eastAsia="fr-FR"/>
        </w:rPr>
        <w:t>à l’échelle des institutions et des politiques</w:t>
      </w:r>
      <w:r w:rsidR="00263C3B" w:rsidRPr="004C4631">
        <w:rPr>
          <w:lang w:val="fr-FR" w:eastAsia="fr-FR"/>
        </w:rPr>
        <w:t> ;</w:t>
      </w:r>
      <w:r w:rsidRPr="004C4631">
        <w:rPr>
          <w:lang w:val="fr-FR" w:eastAsia="fr-FR"/>
        </w:rPr>
        <w:t xml:space="preserve"> </w:t>
      </w:r>
    </w:p>
    <w:p w14:paraId="4828BEB9" w14:textId="77777777" w:rsidR="006960AA" w:rsidRPr="004C4631" w:rsidRDefault="006960AA" w:rsidP="00263C3B">
      <w:pPr>
        <w:pStyle w:val="Bullet1G"/>
        <w:rPr>
          <w:lang w:val="fr-FR" w:eastAsia="fr-FR"/>
        </w:rPr>
      </w:pPr>
      <w:r w:rsidRPr="004C4631">
        <w:rPr>
          <w:lang w:val="fr-FR" w:eastAsia="fr-FR"/>
        </w:rPr>
        <w:t>Promouvoir la continuité de la coordination et de la coopération entre les parties prenantes, pour</w:t>
      </w:r>
      <w:r w:rsidR="004C4631" w:rsidRPr="004C4631">
        <w:rPr>
          <w:lang w:val="fr-FR" w:eastAsia="fr-FR"/>
        </w:rPr>
        <w:t xml:space="preserve"> </w:t>
      </w:r>
      <w:r w:rsidRPr="004C4631">
        <w:rPr>
          <w:lang w:val="fr-FR" w:eastAsia="fr-FR"/>
        </w:rPr>
        <w:t>faire s’imposer la notion de système de sécurité routière, et pour permettre des avancées en phase avec les objectifs généraux du Programme de développement durable à l’horizon 2030 et les objectifs de développement durable</w:t>
      </w:r>
      <w:r w:rsidR="00263C3B" w:rsidRPr="004C4631">
        <w:rPr>
          <w:lang w:val="fr-FR" w:eastAsia="fr-FR"/>
        </w:rPr>
        <w:t> </w:t>
      </w:r>
      <w:r w:rsidRPr="004C4631">
        <w:rPr>
          <w:lang w:val="fr-FR" w:eastAsia="fr-FR"/>
        </w:rPr>
        <w:t>;</w:t>
      </w:r>
    </w:p>
    <w:p w14:paraId="5E29A542" w14:textId="77777777" w:rsidR="006960AA" w:rsidRPr="004C4631" w:rsidRDefault="006960AA" w:rsidP="00263C3B">
      <w:pPr>
        <w:pStyle w:val="Bullet1G"/>
        <w:rPr>
          <w:lang w:val="fr-FR" w:eastAsia="fr-FR"/>
        </w:rPr>
      </w:pPr>
      <w:r w:rsidRPr="004C4631">
        <w:rPr>
          <w:lang w:val="fr-FR" w:eastAsia="fr-FR"/>
        </w:rPr>
        <w:t>Donner la priorité aux activités susceptibles de réduire l’insécurité routière, et centrer leur action et leurs ressources financières sur des investissements à fort impact justifiés par des analyses et des recommandations fiables, structurées et cohérentes.</w:t>
      </w:r>
    </w:p>
    <w:p w14:paraId="7EB5BDF3" w14:textId="77777777" w:rsidR="006960AA" w:rsidRPr="004C4631" w:rsidRDefault="00C2265B" w:rsidP="00C2265B">
      <w:pPr>
        <w:pStyle w:val="HChG"/>
        <w:rPr>
          <w:lang w:val="fr-FR" w:eastAsia="fr-FR"/>
        </w:rPr>
      </w:pPr>
      <w:r w:rsidRPr="004C4631">
        <w:rPr>
          <w:lang w:val="fr-FR" w:eastAsia="fr-FR"/>
        </w:rPr>
        <w:tab/>
      </w:r>
      <w:r w:rsidR="006960AA" w:rsidRPr="004C4631">
        <w:rPr>
          <w:lang w:val="fr-FR" w:eastAsia="fr-FR"/>
        </w:rPr>
        <w:t>II.</w:t>
      </w:r>
      <w:r w:rsidR="006960AA" w:rsidRPr="004C4631">
        <w:rPr>
          <w:lang w:val="fr-FR" w:eastAsia="fr-FR"/>
        </w:rPr>
        <w:tab/>
        <w:t>Le processus d’évaluation, ses produits et ses résultats</w:t>
      </w:r>
    </w:p>
    <w:p w14:paraId="1D44FF7A" w14:textId="77777777" w:rsidR="006960AA" w:rsidRPr="004C4631" w:rsidRDefault="006960AA" w:rsidP="00C2265B">
      <w:pPr>
        <w:pStyle w:val="SingleTxtG"/>
        <w:rPr>
          <w:lang w:val="fr-FR" w:eastAsia="fr-FR"/>
        </w:rPr>
      </w:pPr>
      <w:r w:rsidRPr="004C4631">
        <w:rPr>
          <w:lang w:val="fr-FR" w:eastAsia="fr-FR"/>
        </w:rPr>
        <w:t>3.</w:t>
      </w:r>
      <w:r w:rsidRPr="004C4631">
        <w:rPr>
          <w:lang w:val="fr-FR" w:eastAsia="fr-FR"/>
        </w:rPr>
        <w:tab/>
        <w:t>L’ESSR est une démarche volontaire</w:t>
      </w:r>
      <w:r w:rsidR="00E73633">
        <w:rPr>
          <w:lang w:val="fr-FR" w:eastAsia="fr-FR"/>
        </w:rPr>
        <w:t> </w:t>
      </w:r>
      <w:r w:rsidRPr="004C4631">
        <w:rPr>
          <w:lang w:val="fr-FR" w:eastAsia="fr-FR"/>
        </w:rPr>
        <w:t>; à ce titre, elle est réalisée à la demande du pays concerné.</w:t>
      </w:r>
    </w:p>
    <w:p w14:paraId="7B09A9E2" w14:textId="77777777" w:rsidR="006960AA" w:rsidRPr="004C4631" w:rsidRDefault="006960AA" w:rsidP="00C2265B">
      <w:pPr>
        <w:pStyle w:val="SingleTxtG"/>
        <w:rPr>
          <w:lang w:val="fr-FR" w:eastAsia="fr-FR"/>
        </w:rPr>
      </w:pPr>
      <w:r w:rsidRPr="004C4631">
        <w:rPr>
          <w:lang w:val="fr-FR" w:eastAsia="fr-FR"/>
        </w:rPr>
        <w:t>4.</w:t>
      </w:r>
      <w:r w:rsidRPr="004C4631">
        <w:rPr>
          <w:lang w:val="fr-FR" w:eastAsia="fr-FR"/>
        </w:rPr>
        <w:tab/>
        <w:t xml:space="preserve">Sa première étape est la conclusion d’un accord sur la structure du rapport à élaborer, entre, d’une part, la CEE ou les commissions régionales concernées et, d’autre part, les hauts responsables de l’autorité chargée des transports dans le pays candidat. </w:t>
      </w:r>
    </w:p>
    <w:p w14:paraId="3CC736A4" w14:textId="77777777" w:rsidR="006960AA" w:rsidRPr="004C4631" w:rsidRDefault="006960AA" w:rsidP="00C2265B">
      <w:pPr>
        <w:pStyle w:val="SingleTxtG"/>
        <w:rPr>
          <w:lang w:val="fr-FR" w:eastAsia="fr-FR"/>
        </w:rPr>
      </w:pPr>
      <w:r w:rsidRPr="004C4631">
        <w:rPr>
          <w:lang w:val="fr-FR" w:eastAsia="fr-FR"/>
        </w:rPr>
        <w:t>5.</w:t>
      </w:r>
      <w:r w:rsidRPr="004C4631">
        <w:rPr>
          <w:lang w:val="fr-FR" w:eastAsia="fr-FR"/>
        </w:rPr>
        <w:tab/>
        <w:t>L’équipe d’évaluation est composée d’experts internationaux et, selon les besoins, d’experts nationaux. Elle doit avoir la souplesse nécessaire pour répondre aux besoins du pays à l’examen. Cette équipe rencontre les experts nationaux afin d’examiner les problèmes recensés dans le système national de sécurité routière, à la lumière du Plan-cadre mondial pour la sécurité routière. Son rapport final</w:t>
      </w:r>
      <w:r w:rsidR="004C4631" w:rsidRPr="004C4631">
        <w:rPr>
          <w:lang w:val="fr-FR" w:eastAsia="fr-FR"/>
        </w:rPr>
        <w:t xml:space="preserve"> </w:t>
      </w:r>
      <w:r w:rsidRPr="004C4631">
        <w:rPr>
          <w:lang w:val="fr-FR" w:eastAsia="fr-FR"/>
        </w:rPr>
        <w:t xml:space="preserve">contient des recommandations aux fins de l’amélioration du système. </w:t>
      </w:r>
    </w:p>
    <w:p w14:paraId="41880F04" w14:textId="77777777" w:rsidR="006960AA" w:rsidRPr="004C4631" w:rsidRDefault="006960AA" w:rsidP="00C2265B">
      <w:pPr>
        <w:pStyle w:val="SingleTxtG"/>
        <w:rPr>
          <w:lang w:val="fr-FR" w:eastAsia="fr-FR"/>
        </w:rPr>
      </w:pPr>
      <w:r w:rsidRPr="004C4631">
        <w:rPr>
          <w:lang w:val="fr-FR" w:eastAsia="fr-FR"/>
        </w:rPr>
        <w:t>6.</w:t>
      </w:r>
      <w:r w:rsidRPr="004C4631">
        <w:rPr>
          <w:lang w:val="fr-FR" w:eastAsia="fr-FR"/>
        </w:rPr>
        <w:tab/>
        <w:t>Il convient de faire examiner le rapport par des pairs afin d’asseoir la fiabilité et la pertinence politique de l’analyse menée et des recommandations formulées.</w:t>
      </w:r>
    </w:p>
    <w:p w14:paraId="1BB4D356"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7.</w:t>
      </w:r>
      <w:r w:rsidRPr="004C4631">
        <w:rPr>
          <w:rFonts w:eastAsia="Times New Roman"/>
          <w:lang w:val="fr-FR" w:eastAsia="fr-FR"/>
        </w:rPr>
        <w:tab/>
        <w:t>L’ESSR comporte cinq étapes</w:t>
      </w:r>
      <w:r w:rsidR="00827302">
        <w:rPr>
          <w:rFonts w:eastAsia="Times New Roman"/>
          <w:lang w:val="fr-FR" w:eastAsia="fr-FR"/>
        </w:rPr>
        <w:t> </w:t>
      </w:r>
      <w:r w:rsidRPr="004C4631">
        <w:rPr>
          <w:rFonts w:eastAsia="Times New Roman"/>
          <w:lang w:val="fr-FR" w:eastAsia="fr-FR"/>
        </w:rPr>
        <w:t>:</w:t>
      </w:r>
    </w:p>
    <w:p w14:paraId="031C5DA4" w14:textId="77777777" w:rsidR="006960AA" w:rsidRPr="004C4631" w:rsidRDefault="00C2265B" w:rsidP="00C2265B">
      <w:pPr>
        <w:pStyle w:val="SingleTxtG"/>
        <w:rPr>
          <w:lang w:val="fr-FR" w:eastAsia="fr-FR"/>
        </w:rPr>
      </w:pPr>
      <w:r w:rsidRPr="004C4631">
        <w:rPr>
          <w:lang w:val="fr-FR" w:eastAsia="fr-FR"/>
        </w:rPr>
        <w:tab/>
      </w:r>
      <w:r w:rsidR="006960AA" w:rsidRPr="004C4631">
        <w:rPr>
          <w:lang w:val="fr-FR" w:eastAsia="fr-FR"/>
        </w:rPr>
        <w:t>a)</w:t>
      </w:r>
      <w:r w:rsidR="006960AA" w:rsidRPr="004C4631">
        <w:rPr>
          <w:lang w:val="fr-FR" w:eastAsia="fr-FR"/>
        </w:rPr>
        <w:tab/>
        <w:t>La mission préparatoire ;</w:t>
      </w:r>
    </w:p>
    <w:p w14:paraId="7241166C" w14:textId="77777777" w:rsidR="006960AA" w:rsidRPr="004C4631" w:rsidRDefault="00C2265B" w:rsidP="00C2265B">
      <w:pPr>
        <w:pStyle w:val="SingleTxtG"/>
        <w:rPr>
          <w:lang w:val="fr-FR" w:eastAsia="fr-FR"/>
        </w:rPr>
      </w:pPr>
      <w:r w:rsidRPr="004C4631">
        <w:rPr>
          <w:lang w:val="fr-FR" w:eastAsia="fr-FR"/>
        </w:rPr>
        <w:tab/>
      </w:r>
      <w:r w:rsidR="006960AA" w:rsidRPr="004C4631">
        <w:rPr>
          <w:lang w:val="fr-FR" w:eastAsia="fr-FR"/>
        </w:rPr>
        <w:t>b)</w:t>
      </w:r>
      <w:r w:rsidR="006960AA" w:rsidRPr="004C4631">
        <w:rPr>
          <w:lang w:val="fr-FR" w:eastAsia="fr-FR"/>
        </w:rPr>
        <w:tab/>
        <w:t>La mission d’évaluation et le projet de rapport ;</w:t>
      </w:r>
    </w:p>
    <w:p w14:paraId="46060FC4" w14:textId="77777777" w:rsidR="006960AA" w:rsidRPr="004C4631" w:rsidRDefault="00C2265B" w:rsidP="00C2265B">
      <w:pPr>
        <w:pStyle w:val="SingleTxtG"/>
        <w:rPr>
          <w:lang w:val="fr-FR" w:eastAsia="fr-FR"/>
        </w:rPr>
      </w:pPr>
      <w:r w:rsidRPr="004C4631">
        <w:rPr>
          <w:lang w:val="fr-FR" w:eastAsia="fr-FR"/>
        </w:rPr>
        <w:tab/>
      </w:r>
      <w:r w:rsidR="006960AA" w:rsidRPr="004C4631">
        <w:rPr>
          <w:lang w:val="fr-FR" w:eastAsia="fr-FR"/>
        </w:rPr>
        <w:t>c)</w:t>
      </w:r>
      <w:r w:rsidR="006960AA" w:rsidRPr="004C4631">
        <w:rPr>
          <w:lang w:val="fr-FR" w:eastAsia="fr-FR"/>
        </w:rPr>
        <w:tab/>
        <w:t>L’examen par les pairs et l’adoption du rapport ;</w:t>
      </w:r>
    </w:p>
    <w:p w14:paraId="7197BD93" w14:textId="77777777" w:rsidR="006960AA" w:rsidRPr="004C4631" w:rsidRDefault="00C2265B" w:rsidP="00C2265B">
      <w:pPr>
        <w:pStyle w:val="SingleTxtG"/>
        <w:rPr>
          <w:lang w:val="fr-FR" w:eastAsia="fr-FR"/>
        </w:rPr>
      </w:pPr>
      <w:r w:rsidRPr="004C4631">
        <w:rPr>
          <w:lang w:val="fr-FR" w:eastAsia="fr-FR"/>
        </w:rPr>
        <w:tab/>
      </w:r>
      <w:r w:rsidR="006960AA" w:rsidRPr="004C4631">
        <w:rPr>
          <w:lang w:val="fr-FR" w:eastAsia="fr-FR"/>
        </w:rPr>
        <w:t>d)</w:t>
      </w:r>
      <w:r w:rsidR="006960AA" w:rsidRPr="004C4631">
        <w:rPr>
          <w:lang w:val="fr-FR" w:eastAsia="fr-FR"/>
        </w:rPr>
        <w:tab/>
        <w:t>La publication ;</w:t>
      </w:r>
    </w:p>
    <w:p w14:paraId="65509567" w14:textId="77777777" w:rsidR="006960AA" w:rsidRPr="004C4631" w:rsidRDefault="00C2265B" w:rsidP="00C2265B">
      <w:pPr>
        <w:pStyle w:val="SingleTxtG"/>
        <w:rPr>
          <w:lang w:val="fr-FR" w:eastAsia="fr-FR"/>
        </w:rPr>
      </w:pPr>
      <w:r w:rsidRPr="004C4631">
        <w:rPr>
          <w:lang w:val="fr-FR" w:eastAsia="fr-FR"/>
        </w:rPr>
        <w:tab/>
      </w:r>
      <w:r w:rsidR="006960AA" w:rsidRPr="004C4631">
        <w:rPr>
          <w:lang w:val="fr-FR" w:eastAsia="fr-FR"/>
        </w:rPr>
        <w:t>e)</w:t>
      </w:r>
      <w:r w:rsidR="006960AA" w:rsidRPr="004C4631">
        <w:rPr>
          <w:lang w:val="fr-FR" w:eastAsia="fr-FR"/>
        </w:rPr>
        <w:tab/>
        <w:t>La mise en application, dont l’un des aspects est le renforcement des capacités.</w:t>
      </w:r>
    </w:p>
    <w:p w14:paraId="5F808AED" w14:textId="77777777" w:rsidR="006960AA" w:rsidRPr="004C4631" w:rsidRDefault="00C2265B" w:rsidP="00C2265B">
      <w:pPr>
        <w:pStyle w:val="H1G"/>
        <w:rPr>
          <w:lang w:val="fr-FR" w:eastAsia="fr-FR"/>
        </w:rPr>
      </w:pPr>
      <w:bookmarkStart w:id="0" w:name="_GoBack"/>
      <w:bookmarkEnd w:id="0"/>
      <w:r w:rsidRPr="004C4631">
        <w:rPr>
          <w:lang w:val="fr-FR" w:eastAsia="fr-FR"/>
        </w:rPr>
        <w:lastRenderedPageBreak/>
        <w:tab/>
      </w:r>
      <w:r w:rsidR="006960AA" w:rsidRPr="004C4631">
        <w:rPr>
          <w:lang w:val="fr-FR" w:eastAsia="fr-FR"/>
        </w:rPr>
        <w:t>A.</w:t>
      </w:r>
      <w:r w:rsidR="006960AA" w:rsidRPr="004C4631">
        <w:rPr>
          <w:lang w:val="fr-FR" w:eastAsia="fr-FR"/>
        </w:rPr>
        <w:tab/>
        <w:t>Mission préparatoire</w:t>
      </w:r>
    </w:p>
    <w:p w14:paraId="615E7F43" w14:textId="77777777" w:rsidR="006960AA" w:rsidRPr="004C4631" w:rsidRDefault="006960AA" w:rsidP="00C2265B">
      <w:pPr>
        <w:pStyle w:val="SingleTxtG"/>
        <w:rPr>
          <w:lang w:val="fr-FR" w:eastAsia="fr-FR"/>
        </w:rPr>
      </w:pPr>
      <w:r w:rsidRPr="004C4631">
        <w:rPr>
          <w:lang w:val="fr-FR" w:eastAsia="fr-FR"/>
        </w:rPr>
        <w:t>8.</w:t>
      </w:r>
      <w:r w:rsidRPr="004C4631">
        <w:rPr>
          <w:lang w:val="fr-FR" w:eastAsia="fr-FR"/>
        </w:rPr>
        <w:tab/>
        <w:t>Le processus s’enclenche lorsqu’un pays demande à l’organisation compétente d’entreprendre une évaluation. La décision de procéder à l’évaluation concernant le pays concerné est prise par cette organisation.</w:t>
      </w:r>
    </w:p>
    <w:p w14:paraId="01450D07" w14:textId="77777777" w:rsidR="006960AA" w:rsidRPr="004C4631" w:rsidRDefault="006960AA" w:rsidP="00C2265B">
      <w:pPr>
        <w:pStyle w:val="SingleTxtG"/>
        <w:rPr>
          <w:lang w:val="fr-FR" w:eastAsia="fr-FR"/>
        </w:rPr>
      </w:pPr>
      <w:r w:rsidRPr="004C4631">
        <w:rPr>
          <w:lang w:val="fr-FR" w:eastAsia="fr-FR"/>
        </w:rPr>
        <w:t>9.</w:t>
      </w:r>
      <w:r w:rsidRPr="004C4631">
        <w:rPr>
          <w:lang w:val="fr-FR" w:eastAsia="fr-FR"/>
        </w:rPr>
        <w:tab/>
        <w:t>Pendant la mission préparatoire qu’il effectue dans le pays, le secrétariat se concerte avec les autorités de ce pays sur la structure de l’évaluation. Le secrétariat constitue ensuite une équipe d’évaluation, qui comprend généralement des experts gouvernementaux (appui international en nature) ainsi que des experts de la CEE et d’autres commissions régionales et d’autres entités et organismes internationaux connexes qui disposent d’un savoir-faire particulier, tels que l’Organisation mondiale de la Santé (concernant le volet relatif à l’assistance aux victimes d’accidents de la circulation routière), la Banque mondiale, la Fédération routière internationale, l’International Alliance for Responsible Drinking, la Fédération internationale de l’automobile et les milieux universitaires.</w:t>
      </w:r>
    </w:p>
    <w:p w14:paraId="5111774B" w14:textId="77777777" w:rsidR="006960AA" w:rsidRPr="004C4631" w:rsidRDefault="00C2265B" w:rsidP="00C2265B">
      <w:pPr>
        <w:pStyle w:val="H1G"/>
        <w:rPr>
          <w:lang w:val="fr-FR" w:eastAsia="fr-FR"/>
        </w:rPr>
      </w:pPr>
      <w:r w:rsidRPr="004C4631">
        <w:rPr>
          <w:lang w:val="fr-FR" w:eastAsia="fr-FR"/>
        </w:rPr>
        <w:tab/>
      </w:r>
      <w:r w:rsidR="006960AA" w:rsidRPr="004C4631">
        <w:rPr>
          <w:lang w:val="fr-FR" w:eastAsia="fr-FR"/>
        </w:rPr>
        <w:t>B.</w:t>
      </w:r>
      <w:r w:rsidR="006960AA" w:rsidRPr="004C4631">
        <w:rPr>
          <w:lang w:val="fr-FR" w:eastAsia="fr-FR"/>
        </w:rPr>
        <w:tab/>
        <w:t>Mission d’évaluation et projet de rapport</w:t>
      </w:r>
    </w:p>
    <w:p w14:paraId="261A6977" w14:textId="77777777" w:rsidR="006960AA" w:rsidRPr="004C4631" w:rsidRDefault="006960AA" w:rsidP="00C2265B">
      <w:pPr>
        <w:pStyle w:val="SingleTxtG"/>
        <w:rPr>
          <w:lang w:val="fr-FR" w:eastAsia="fr-FR"/>
        </w:rPr>
      </w:pPr>
      <w:r w:rsidRPr="004C4631">
        <w:rPr>
          <w:lang w:val="fr-FR" w:eastAsia="fr-FR"/>
        </w:rPr>
        <w:t>10.</w:t>
      </w:r>
      <w:r w:rsidRPr="004C4631">
        <w:rPr>
          <w:lang w:val="fr-FR" w:eastAsia="fr-FR"/>
        </w:rPr>
        <w:tab/>
        <w:t>À l’issue de la phase préparatoire, l’équipe d’évaluation se rend dans le pays concerné et rencontre des représentants des autorités nationales et locales, d’organisations non gouvernementales (ONG) et du secteur privé. Les discussions portent principalement sur l’évaluation de l’efficacité de la politique de sécurité routière, conformément</w:t>
      </w:r>
      <w:r w:rsidR="004C4631" w:rsidRPr="004C4631">
        <w:rPr>
          <w:lang w:val="fr-FR" w:eastAsia="fr-FR"/>
        </w:rPr>
        <w:t xml:space="preserve"> </w:t>
      </w:r>
      <w:r w:rsidRPr="004C4631">
        <w:rPr>
          <w:lang w:val="fr-FR" w:eastAsia="fr-FR"/>
        </w:rPr>
        <w:t>au cadre d’évaluation défini, ainsi que sur la liste de contrôle et le questionnaire qui doivent s’en inspirer. La présence d’experts expérimentés du pays concerné dans l’équipe d’évaluation est un atout très précieux.</w:t>
      </w:r>
    </w:p>
    <w:p w14:paraId="5E4CCAC7" w14:textId="77777777" w:rsidR="006960AA" w:rsidRPr="004C4631" w:rsidRDefault="006960AA" w:rsidP="00C2265B">
      <w:pPr>
        <w:pStyle w:val="SingleTxtG"/>
        <w:rPr>
          <w:lang w:val="fr-FR" w:eastAsia="fr-FR"/>
        </w:rPr>
      </w:pPr>
      <w:r w:rsidRPr="004C4631">
        <w:rPr>
          <w:lang w:val="fr-FR" w:eastAsia="fr-FR"/>
        </w:rPr>
        <w:t>11.</w:t>
      </w:r>
      <w:r w:rsidRPr="004C4631">
        <w:rPr>
          <w:lang w:val="fr-FR" w:eastAsia="fr-FR"/>
        </w:rPr>
        <w:tab/>
        <w:t xml:space="preserve">À l’issue de la mission d’évaluation, l’équipe d’évaluation rédige une série de </w:t>
      </w:r>
      <w:proofErr w:type="gramStart"/>
      <w:r w:rsidRPr="004C4631">
        <w:rPr>
          <w:lang w:val="fr-FR" w:eastAsia="fr-FR"/>
        </w:rPr>
        <w:t>chapitres</w:t>
      </w:r>
      <w:proofErr w:type="gramEnd"/>
      <w:r w:rsidRPr="004C4631">
        <w:rPr>
          <w:lang w:val="fr-FR" w:eastAsia="fr-FR"/>
        </w:rPr>
        <w:t xml:space="preserve">, qui sont ensuite révisés et rassemblés pour former un projet de rapport d’ESSR. Ces chapitres contiennent à la fois des textes descriptifs et une série de recommandations sur les moyens d’apporter des améliorations dans les domaines posant </w:t>
      </w:r>
      <w:proofErr w:type="gramStart"/>
      <w:r w:rsidRPr="004C4631">
        <w:rPr>
          <w:lang w:val="fr-FR" w:eastAsia="fr-FR"/>
        </w:rPr>
        <w:t>problème</w:t>
      </w:r>
      <w:proofErr w:type="gramEnd"/>
      <w:r w:rsidRPr="004C4631">
        <w:rPr>
          <w:lang w:val="fr-FR" w:eastAsia="fr-FR"/>
        </w:rPr>
        <w:t xml:space="preserve">. </w:t>
      </w:r>
    </w:p>
    <w:p w14:paraId="430C183F" w14:textId="77777777" w:rsidR="006960AA" w:rsidRPr="004C4631" w:rsidRDefault="006960AA" w:rsidP="00C2265B">
      <w:pPr>
        <w:pStyle w:val="SingleTxtG"/>
        <w:rPr>
          <w:lang w:val="fr-FR" w:eastAsia="fr-FR"/>
        </w:rPr>
      </w:pPr>
      <w:r w:rsidRPr="004C4631">
        <w:rPr>
          <w:lang w:val="fr-FR" w:eastAsia="fr-FR"/>
        </w:rPr>
        <w:t>12.</w:t>
      </w:r>
      <w:r w:rsidRPr="004C4631">
        <w:rPr>
          <w:lang w:val="fr-FR" w:eastAsia="fr-FR"/>
        </w:rPr>
        <w:tab/>
        <w:t>La version finale du projet de rapport est soumise pour examen par les pairs et adoption (voir la phase suivante).</w:t>
      </w:r>
    </w:p>
    <w:p w14:paraId="420B0E91" w14:textId="77777777" w:rsidR="006960AA" w:rsidRPr="004C4631" w:rsidRDefault="00C2265B" w:rsidP="00C2265B">
      <w:pPr>
        <w:pStyle w:val="H1G"/>
        <w:rPr>
          <w:lang w:val="fr-FR" w:eastAsia="fr-FR"/>
        </w:rPr>
      </w:pPr>
      <w:r w:rsidRPr="004C4631">
        <w:rPr>
          <w:lang w:val="fr-FR" w:eastAsia="fr-FR"/>
        </w:rPr>
        <w:tab/>
      </w:r>
      <w:r w:rsidR="006960AA" w:rsidRPr="004C4631">
        <w:rPr>
          <w:lang w:val="fr-FR" w:eastAsia="fr-FR"/>
        </w:rPr>
        <w:t>C.</w:t>
      </w:r>
      <w:r w:rsidR="006960AA" w:rsidRPr="004C4631">
        <w:rPr>
          <w:lang w:val="fr-FR" w:eastAsia="fr-FR"/>
        </w:rPr>
        <w:tab/>
        <w:t>Examen par les pairs et adoption du rapport</w:t>
      </w:r>
    </w:p>
    <w:p w14:paraId="3D3A96CF" w14:textId="77777777" w:rsidR="006960AA" w:rsidRPr="004C4631" w:rsidRDefault="006960AA" w:rsidP="00C2265B">
      <w:pPr>
        <w:pStyle w:val="SingleTxtG"/>
        <w:rPr>
          <w:lang w:val="fr-FR" w:eastAsia="fr-FR"/>
        </w:rPr>
      </w:pPr>
      <w:r w:rsidRPr="004C4631">
        <w:rPr>
          <w:lang w:val="fr-FR" w:eastAsia="fr-FR"/>
        </w:rPr>
        <w:t>13.</w:t>
      </w:r>
      <w:r w:rsidRPr="004C4631">
        <w:rPr>
          <w:lang w:val="fr-FR" w:eastAsia="fr-FR"/>
        </w:rPr>
        <w:tab/>
        <w:t>Le projet de rapport d’ESSR est alors soumis à un examen par les pairs. À ce stade, les discussions portent sur certaines des grandes questions de politique générale soulevées par l’évaluation, une attention particulière étant accordée aux conclusions et aux recommandations et à leur mise en œuvre, notamment grâce au soutien du Fonds des Nations Unies pour la sécurité routière.</w:t>
      </w:r>
    </w:p>
    <w:p w14:paraId="0BB85DA4" w14:textId="77777777" w:rsidR="006960AA" w:rsidRPr="004C4631" w:rsidRDefault="006960AA" w:rsidP="00C2265B">
      <w:pPr>
        <w:pStyle w:val="SingleTxtG"/>
        <w:rPr>
          <w:lang w:val="fr-FR" w:eastAsia="fr-FR"/>
        </w:rPr>
      </w:pPr>
      <w:r w:rsidRPr="004C4631">
        <w:rPr>
          <w:lang w:val="fr-FR" w:eastAsia="fr-FR"/>
        </w:rPr>
        <w:t>14.</w:t>
      </w:r>
      <w:r w:rsidRPr="004C4631">
        <w:rPr>
          <w:lang w:val="fr-FR" w:eastAsia="fr-FR"/>
        </w:rPr>
        <w:tab/>
        <w:t>Les experts du pays à l’examen (les experts nationaux) sont invités à participer aux débats. Au terme de l’examen, le rapport doit être adopté par le pays concerné afin de renforcer l’appropriation du processus par ce pays et de favoriser des actions de suivi durables.</w:t>
      </w:r>
    </w:p>
    <w:p w14:paraId="3AED1945" w14:textId="77777777" w:rsidR="006960AA" w:rsidRPr="004C4631" w:rsidRDefault="006960AA" w:rsidP="00C2265B">
      <w:pPr>
        <w:pStyle w:val="SingleTxtG"/>
        <w:rPr>
          <w:lang w:val="fr-FR" w:eastAsia="fr-FR"/>
        </w:rPr>
      </w:pPr>
      <w:r w:rsidRPr="004C4631">
        <w:rPr>
          <w:lang w:val="fr-FR" w:eastAsia="fr-FR"/>
        </w:rPr>
        <w:t>15.</w:t>
      </w:r>
      <w:r w:rsidRPr="004C4631">
        <w:rPr>
          <w:lang w:val="fr-FR" w:eastAsia="fr-FR"/>
        </w:rPr>
        <w:tab/>
        <w:t>À l’issue de l’examen par les pairs et de l’adoption du rapport, ce document est établi sous sa forme définitive et soumis pour publication.</w:t>
      </w:r>
    </w:p>
    <w:p w14:paraId="34EF4ADA" w14:textId="77777777" w:rsidR="006960AA" w:rsidRPr="004C4631" w:rsidRDefault="00C2265B" w:rsidP="00C2265B">
      <w:pPr>
        <w:pStyle w:val="H1G"/>
        <w:rPr>
          <w:lang w:val="fr-FR" w:eastAsia="fr-FR"/>
        </w:rPr>
      </w:pPr>
      <w:r w:rsidRPr="004C4631">
        <w:rPr>
          <w:lang w:val="fr-FR" w:eastAsia="fr-FR"/>
        </w:rPr>
        <w:tab/>
      </w:r>
      <w:r w:rsidR="006960AA" w:rsidRPr="004C4631">
        <w:rPr>
          <w:lang w:val="fr-FR" w:eastAsia="fr-FR"/>
        </w:rPr>
        <w:t>D.</w:t>
      </w:r>
      <w:r w:rsidR="006960AA" w:rsidRPr="004C4631">
        <w:rPr>
          <w:lang w:val="fr-FR" w:eastAsia="fr-FR"/>
        </w:rPr>
        <w:tab/>
        <w:t>Publication</w:t>
      </w:r>
      <w:r w:rsidR="00A8534E">
        <w:rPr>
          <w:lang w:val="fr-FR" w:eastAsia="fr-FR"/>
        </w:rPr>
        <w:t xml:space="preserve"> et présentation</w:t>
      </w:r>
    </w:p>
    <w:p w14:paraId="5B175E6B" w14:textId="77777777" w:rsidR="006960AA" w:rsidRPr="004C4631" w:rsidRDefault="006960AA" w:rsidP="00C2265B">
      <w:pPr>
        <w:pStyle w:val="SingleTxtG"/>
        <w:rPr>
          <w:lang w:val="fr-FR" w:eastAsia="fr-FR"/>
        </w:rPr>
      </w:pPr>
      <w:r w:rsidRPr="004C4631">
        <w:rPr>
          <w:lang w:val="fr-FR" w:eastAsia="fr-FR"/>
        </w:rPr>
        <w:t>16.</w:t>
      </w:r>
      <w:r w:rsidRPr="004C4631">
        <w:rPr>
          <w:lang w:val="fr-FR" w:eastAsia="fr-FR"/>
        </w:rPr>
        <w:tab/>
        <w:t>La publication du rapport achevé est la dernière étape du processus d’évaluation. Des données et des chiffres actualisés peuvent être demandés au pays à l’examen. Le secrétariat intègre ces précisions ainsi que les éventuelles modifications découlant des conclusions de l’examen par les pairs. Si les rapports visent en premier lieu les décideurs, ils s’adressent aussi à tous les acteurs de la sécurité routière dans le pays concerné et dans les autres pays intéressés.</w:t>
      </w:r>
    </w:p>
    <w:p w14:paraId="2A8E04D1" w14:textId="77777777" w:rsidR="006960AA" w:rsidRPr="004C4631" w:rsidRDefault="006960AA" w:rsidP="00C2265B">
      <w:pPr>
        <w:pStyle w:val="SingleTxtG"/>
        <w:rPr>
          <w:lang w:val="fr-FR" w:eastAsia="fr-FR"/>
        </w:rPr>
      </w:pPr>
      <w:r w:rsidRPr="004C4631">
        <w:rPr>
          <w:lang w:val="fr-FR" w:eastAsia="fr-FR"/>
        </w:rPr>
        <w:lastRenderedPageBreak/>
        <w:t>17.</w:t>
      </w:r>
      <w:r w:rsidRPr="004C4631">
        <w:rPr>
          <w:lang w:val="fr-FR" w:eastAsia="fr-FR"/>
        </w:rPr>
        <w:tab/>
        <w:t>Si pays à l’examen le demande, une manifestation est organisée pour présenter les conclusions du rapport aux autorités gouvernementales, à la communauté internationale, aux ONG et aux autres parties prenantes. Cette manifestation bénéficie généralement d’une bonne couverture médiatique. Elle permet aux acteurs nationaux de la sécurité routière d’attirer l’attention sur les problèmes les plus urgents mis en évidence par l’évaluation.</w:t>
      </w:r>
    </w:p>
    <w:p w14:paraId="255B8684" w14:textId="77777777" w:rsidR="006960AA" w:rsidRPr="004C4631" w:rsidRDefault="00C2265B" w:rsidP="00C2265B">
      <w:pPr>
        <w:pStyle w:val="H1G"/>
        <w:rPr>
          <w:lang w:val="fr-FR" w:eastAsia="fr-FR"/>
        </w:rPr>
      </w:pPr>
      <w:r w:rsidRPr="004C4631">
        <w:rPr>
          <w:lang w:val="fr-FR" w:eastAsia="fr-FR"/>
        </w:rPr>
        <w:tab/>
      </w:r>
      <w:r w:rsidR="006960AA" w:rsidRPr="004C4631">
        <w:rPr>
          <w:lang w:val="fr-FR" w:eastAsia="fr-FR"/>
        </w:rPr>
        <w:t>E.</w:t>
      </w:r>
      <w:r w:rsidR="006960AA" w:rsidRPr="004C4631">
        <w:rPr>
          <w:lang w:val="fr-FR" w:eastAsia="fr-FR"/>
        </w:rPr>
        <w:tab/>
        <w:t>Mise en application et renforcement des capacités</w:t>
      </w:r>
    </w:p>
    <w:p w14:paraId="43443F75" w14:textId="77777777" w:rsidR="006960AA" w:rsidRPr="004C4631" w:rsidRDefault="006960AA" w:rsidP="00C2265B">
      <w:pPr>
        <w:pStyle w:val="SingleTxtG"/>
        <w:rPr>
          <w:lang w:val="fr-FR" w:eastAsia="fr-FR"/>
        </w:rPr>
      </w:pPr>
      <w:r w:rsidRPr="004C4631">
        <w:rPr>
          <w:lang w:val="fr-FR" w:eastAsia="fr-FR"/>
        </w:rPr>
        <w:t>18.</w:t>
      </w:r>
      <w:r w:rsidRPr="004C4631">
        <w:rPr>
          <w:lang w:val="fr-FR" w:eastAsia="fr-FR"/>
        </w:rPr>
        <w:tab/>
        <w:t>Une fois le rapport publié, des mesures de suivi, qui ont parfois été déterminées dès la phase d’évaluation, sont engagées par le pays concerné, avec l’appui du secrétariat. Cet appui peut prendre la forme d’activités de renforcement des capacités et, le cas échéant, d’interventions du Fonds des Nations Unies pour la sécurité routière.</w:t>
      </w:r>
    </w:p>
    <w:p w14:paraId="2C434C9D" w14:textId="77777777" w:rsidR="00B37CF9" w:rsidRPr="004C4631" w:rsidRDefault="006960AA" w:rsidP="00C2265B">
      <w:pPr>
        <w:pStyle w:val="SingleTxtG"/>
        <w:rPr>
          <w:lang w:val="fr-FR" w:eastAsia="fr-FR"/>
        </w:rPr>
      </w:pPr>
      <w:r w:rsidRPr="004C4631">
        <w:rPr>
          <w:lang w:val="fr-FR" w:eastAsia="fr-FR"/>
        </w:rPr>
        <w:t>19.</w:t>
      </w:r>
      <w:r w:rsidRPr="004C4631">
        <w:rPr>
          <w:lang w:val="fr-FR" w:eastAsia="fr-FR"/>
        </w:rPr>
        <w:tab/>
        <w:t>Pour clore le cycle de mise en application, le pays concerné peut rendre compte au comité des transports compétent de la commission régionale intéressée et aux</w:t>
      </w:r>
      <w:r w:rsidR="004C4631" w:rsidRPr="004C4631">
        <w:rPr>
          <w:lang w:val="fr-FR" w:eastAsia="fr-FR"/>
        </w:rPr>
        <w:t xml:space="preserve"> </w:t>
      </w:r>
      <w:r w:rsidRPr="004C4631">
        <w:rPr>
          <w:lang w:val="fr-FR" w:eastAsia="fr-FR"/>
        </w:rPr>
        <w:t>organes directeurs du Fonds des Nations Unies pour la sécurité routière des progrès accomplis dans la mise en œuvre des recommandations issues de l’ESSR.</w:t>
      </w:r>
    </w:p>
    <w:p w14:paraId="2CDEE619" w14:textId="77777777" w:rsidR="006960AA" w:rsidRPr="004C4631" w:rsidRDefault="00C2265B" w:rsidP="00C2265B">
      <w:pPr>
        <w:pStyle w:val="HChG"/>
        <w:rPr>
          <w:lang w:val="fr-FR" w:eastAsia="fr-FR"/>
        </w:rPr>
      </w:pPr>
      <w:r w:rsidRPr="004C4631">
        <w:rPr>
          <w:lang w:val="fr-FR" w:eastAsia="fr-FR"/>
        </w:rPr>
        <w:br w:type="page"/>
      </w:r>
      <w:r w:rsidR="006960AA" w:rsidRPr="004C4631">
        <w:rPr>
          <w:lang w:val="fr-FR" w:eastAsia="fr-FR"/>
        </w:rPr>
        <w:lastRenderedPageBreak/>
        <w:t>Annexe</w:t>
      </w:r>
    </w:p>
    <w:p w14:paraId="7E2E165C" w14:textId="77777777" w:rsidR="006960AA" w:rsidRPr="004C4631" w:rsidRDefault="006960AA" w:rsidP="00C2265B">
      <w:pPr>
        <w:pStyle w:val="HChG"/>
        <w:rPr>
          <w:lang w:val="fr-FR" w:eastAsia="fr-FR"/>
        </w:rPr>
      </w:pPr>
      <w:r w:rsidRPr="004C4631">
        <w:rPr>
          <w:lang w:val="fr-FR" w:eastAsia="fr-FR"/>
        </w:rPr>
        <w:tab/>
      </w:r>
      <w:r w:rsidRPr="004C4631">
        <w:rPr>
          <w:lang w:val="fr-FR" w:eastAsia="fr-FR"/>
        </w:rPr>
        <w:tab/>
        <w:t>Évaluation du système de sécurité routière</w:t>
      </w:r>
    </w:p>
    <w:p w14:paraId="491CB9FD" w14:textId="77777777" w:rsidR="006960AA" w:rsidRPr="004C4631" w:rsidRDefault="006960AA" w:rsidP="00C2265B">
      <w:pPr>
        <w:pStyle w:val="HChG"/>
        <w:rPr>
          <w:lang w:val="fr-FR" w:eastAsia="fr-FR"/>
        </w:rPr>
      </w:pPr>
      <w:r w:rsidRPr="004C4631">
        <w:rPr>
          <w:lang w:val="fr-FR" w:eastAsia="fr-FR"/>
        </w:rPr>
        <w:tab/>
      </w:r>
      <w:r w:rsidRPr="004C4631">
        <w:rPr>
          <w:lang w:val="fr-FR" w:eastAsia="fr-FR"/>
        </w:rPr>
        <w:tab/>
        <w:t>Structure du rapport</w:t>
      </w:r>
      <w:r w:rsidRPr="004C4631">
        <w:rPr>
          <w:b w:val="0"/>
          <w:sz w:val="20"/>
          <w:lang w:val="fr-FR" w:eastAsia="fr-FR"/>
        </w:rPr>
        <w:footnoteReference w:customMarkFollows="1" w:id="2"/>
        <w:t>*</w:t>
      </w:r>
    </w:p>
    <w:p w14:paraId="6E17EE68" w14:textId="77777777" w:rsidR="006960AA" w:rsidRPr="004C4631" w:rsidRDefault="00C2265B" w:rsidP="00C2265B">
      <w:pPr>
        <w:pStyle w:val="HChG"/>
        <w:rPr>
          <w:lang w:val="fr-FR" w:eastAsia="fr-FR"/>
        </w:rPr>
      </w:pPr>
      <w:r w:rsidRPr="004C4631">
        <w:rPr>
          <w:lang w:val="fr-FR" w:eastAsia="fr-FR"/>
        </w:rPr>
        <w:tab/>
      </w:r>
      <w:r w:rsidR="006960AA" w:rsidRPr="004C4631">
        <w:rPr>
          <w:lang w:val="fr-FR" w:eastAsia="fr-FR"/>
        </w:rPr>
        <w:t>I.</w:t>
      </w:r>
      <w:r w:rsidR="006960AA" w:rsidRPr="004C4631">
        <w:rPr>
          <w:lang w:val="fr-FR" w:eastAsia="fr-FR"/>
        </w:rPr>
        <w:tab/>
        <w:t>Résumé analytique</w:t>
      </w:r>
    </w:p>
    <w:p w14:paraId="27220145" w14:textId="77777777" w:rsidR="006960AA" w:rsidRPr="004C4631" w:rsidRDefault="00C2265B" w:rsidP="00C2265B">
      <w:pPr>
        <w:pStyle w:val="SingleTxtG"/>
      </w:pPr>
      <w:r w:rsidRPr="004C4631">
        <w:rPr>
          <w:lang w:val="fr-FR" w:eastAsia="fr-FR"/>
        </w:rPr>
        <w:tab/>
      </w:r>
      <w:r w:rsidR="006960AA" w:rsidRPr="004C4631">
        <w:rPr>
          <w:lang w:val="fr-FR" w:eastAsia="fr-FR"/>
        </w:rPr>
        <w:t>Le résumé analytique comprend les principales conclusions et recommandations adressées aux décideurs.</w:t>
      </w:r>
    </w:p>
    <w:p w14:paraId="5E9786B6" w14:textId="77777777" w:rsidR="006960AA" w:rsidRPr="004C4631" w:rsidRDefault="00C2265B" w:rsidP="00C2265B">
      <w:pPr>
        <w:pStyle w:val="HChG"/>
        <w:rPr>
          <w:lang w:val="fr-FR" w:eastAsia="fr-FR"/>
        </w:rPr>
      </w:pPr>
      <w:r w:rsidRPr="004C4631">
        <w:rPr>
          <w:lang w:val="fr-FR" w:eastAsia="fr-FR"/>
        </w:rPr>
        <w:tab/>
      </w:r>
      <w:r w:rsidR="006960AA" w:rsidRPr="004C4631">
        <w:rPr>
          <w:lang w:val="fr-FR" w:eastAsia="fr-FR"/>
        </w:rPr>
        <w:t>II.</w:t>
      </w:r>
      <w:r w:rsidR="006960AA" w:rsidRPr="004C4631">
        <w:rPr>
          <w:lang w:val="fr-FR" w:eastAsia="fr-FR"/>
        </w:rPr>
        <w:tab/>
        <w:t>Rapport</w:t>
      </w:r>
    </w:p>
    <w:p w14:paraId="7617DB5E" w14:textId="77777777" w:rsidR="006960AA" w:rsidRPr="004C4631" w:rsidRDefault="00C2265B" w:rsidP="00C2265B">
      <w:pPr>
        <w:pStyle w:val="H1G"/>
        <w:rPr>
          <w:lang w:val="fr-FR" w:eastAsia="fr-FR"/>
        </w:rPr>
      </w:pPr>
      <w:r w:rsidRPr="004C4631">
        <w:rPr>
          <w:lang w:val="fr-FR" w:eastAsia="fr-FR"/>
        </w:rPr>
        <w:tab/>
      </w:r>
      <w:r w:rsidR="006960AA" w:rsidRPr="004C4631">
        <w:rPr>
          <w:lang w:val="fr-FR" w:eastAsia="fr-FR"/>
        </w:rPr>
        <w:t>A.</w:t>
      </w:r>
      <w:r w:rsidR="006960AA" w:rsidRPr="004C4631">
        <w:rPr>
          <w:lang w:val="fr-FR" w:eastAsia="fr-FR"/>
        </w:rPr>
        <w:tab/>
        <w:t xml:space="preserve">Introduction : Tendances d’évolution et principales caractéristiques </w:t>
      </w:r>
      <w:r w:rsidRPr="004C4631">
        <w:rPr>
          <w:lang w:val="fr-FR" w:eastAsia="fr-FR"/>
        </w:rPr>
        <w:br/>
      </w:r>
      <w:r w:rsidR="006960AA" w:rsidRPr="004C4631">
        <w:rPr>
          <w:lang w:val="fr-FR" w:eastAsia="fr-FR"/>
        </w:rPr>
        <w:t>de la sécurité routière dans le pays</w:t>
      </w:r>
    </w:p>
    <w:p w14:paraId="0C478A88" w14:textId="77777777" w:rsidR="006960AA" w:rsidRPr="004C4631" w:rsidRDefault="00CA28A1" w:rsidP="00CA28A1">
      <w:pPr>
        <w:pStyle w:val="H1G"/>
        <w:rPr>
          <w:lang w:val="fr-FR" w:eastAsia="fr-FR"/>
        </w:rPr>
      </w:pPr>
      <w:r w:rsidRPr="004C4631">
        <w:rPr>
          <w:lang w:val="fr-FR" w:eastAsia="fr-FR"/>
        </w:rPr>
        <w:tab/>
      </w:r>
      <w:r w:rsidR="006960AA" w:rsidRPr="004C4631">
        <w:rPr>
          <w:lang w:val="fr-FR" w:eastAsia="fr-FR"/>
        </w:rPr>
        <w:t>B.</w:t>
      </w:r>
      <w:r w:rsidR="006960AA" w:rsidRPr="004C4631">
        <w:rPr>
          <w:lang w:val="fr-FR" w:eastAsia="fr-FR"/>
        </w:rPr>
        <w:tab/>
        <w:t>Chapitre 1</w:t>
      </w:r>
      <w:r w:rsidR="00827302">
        <w:rPr>
          <w:lang w:val="fr-FR" w:eastAsia="fr-FR"/>
        </w:rPr>
        <w:t> </w:t>
      </w:r>
      <w:r w:rsidR="006960AA" w:rsidRPr="004C4631">
        <w:rPr>
          <w:lang w:val="fr-FR" w:eastAsia="fr-FR"/>
        </w:rPr>
        <w:t xml:space="preserve">: Évaluation de l’efficacité de la gestion </w:t>
      </w:r>
      <w:r w:rsidRPr="004C4631">
        <w:rPr>
          <w:lang w:val="fr-FR" w:eastAsia="fr-FR"/>
        </w:rPr>
        <w:br/>
      </w:r>
      <w:r w:rsidR="006960AA" w:rsidRPr="004C4631">
        <w:rPr>
          <w:lang w:val="fr-FR" w:eastAsia="fr-FR"/>
        </w:rPr>
        <w:t>de la sécurité routière</w:t>
      </w:r>
    </w:p>
    <w:p w14:paraId="2F9A2DBE" w14:textId="77777777" w:rsidR="006960AA" w:rsidRPr="004C4631" w:rsidRDefault="006960AA" w:rsidP="00CA28A1">
      <w:pPr>
        <w:pStyle w:val="SingleTxtG"/>
        <w:rPr>
          <w:lang w:val="fr-FR" w:eastAsia="fr-FR"/>
        </w:rPr>
      </w:pPr>
      <w:r w:rsidRPr="004C4631">
        <w:rPr>
          <w:lang w:val="fr-FR" w:eastAsia="fr-FR"/>
        </w:rPr>
        <w:t>a)</w:t>
      </w:r>
      <w:r w:rsidRPr="004C4631">
        <w:rPr>
          <w:lang w:val="fr-FR" w:eastAsia="fr-FR"/>
        </w:rPr>
        <w:tab/>
        <w:t>Mesures de gestion</w:t>
      </w:r>
    </w:p>
    <w:p w14:paraId="48D99D8D" w14:textId="77777777" w:rsidR="006960AA" w:rsidRPr="004C4631" w:rsidRDefault="006960AA" w:rsidP="00CA28A1">
      <w:pPr>
        <w:pStyle w:val="Bullet1G"/>
        <w:rPr>
          <w:lang w:val="fr-FR" w:eastAsia="fr-FR"/>
        </w:rPr>
      </w:pPr>
      <w:r w:rsidRPr="004C4631">
        <w:rPr>
          <w:lang w:val="fr-FR" w:eastAsia="fr-FR"/>
        </w:rPr>
        <w:t>Points forts</w:t>
      </w:r>
    </w:p>
    <w:p w14:paraId="5F7E07A8" w14:textId="77777777" w:rsidR="006960AA" w:rsidRPr="004C4631" w:rsidRDefault="006960AA" w:rsidP="00CA28A1">
      <w:pPr>
        <w:pStyle w:val="Bullet1G"/>
        <w:rPr>
          <w:rFonts w:eastAsia="Times New Roman"/>
          <w:lang w:val="fr-FR" w:eastAsia="fr-FR"/>
        </w:rPr>
      </w:pPr>
      <w:r w:rsidRPr="004C4631">
        <w:rPr>
          <w:rFonts w:eastAsia="Times New Roman"/>
          <w:lang w:val="fr-FR" w:eastAsia="fr-FR"/>
        </w:rPr>
        <w:t>Points faibles</w:t>
      </w:r>
    </w:p>
    <w:p w14:paraId="00F8A548" w14:textId="77777777" w:rsidR="006960AA" w:rsidRPr="004C4631" w:rsidRDefault="006960AA" w:rsidP="00CA28A1">
      <w:pPr>
        <w:pStyle w:val="Bullet1G"/>
        <w:rPr>
          <w:rFonts w:eastAsia="Times New Roman"/>
          <w:lang w:val="fr-FR" w:eastAsia="fr-FR"/>
        </w:rPr>
      </w:pPr>
      <w:r w:rsidRPr="004C4631">
        <w:rPr>
          <w:rFonts w:eastAsia="Times New Roman"/>
          <w:lang w:val="fr-FR" w:eastAsia="fr-FR"/>
        </w:rPr>
        <w:t>Éléments manquants</w:t>
      </w:r>
    </w:p>
    <w:p w14:paraId="5DE96830" w14:textId="77777777" w:rsidR="006960AA" w:rsidRPr="004C4631" w:rsidRDefault="006960AA" w:rsidP="00CA28A1">
      <w:pPr>
        <w:pStyle w:val="SingleTxtG"/>
        <w:rPr>
          <w:lang w:val="fr-FR" w:eastAsia="fr-FR"/>
        </w:rPr>
      </w:pPr>
      <w:r w:rsidRPr="004C4631">
        <w:rPr>
          <w:lang w:val="fr-FR" w:eastAsia="fr-FR"/>
        </w:rPr>
        <w:t>b)</w:t>
      </w:r>
      <w:r w:rsidRPr="004C4631">
        <w:rPr>
          <w:lang w:val="fr-FR" w:eastAsia="fr-FR"/>
        </w:rPr>
        <w:tab/>
        <w:t>Mesures de suivi</w:t>
      </w:r>
    </w:p>
    <w:p w14:paraId="5E4ED9A5" w14:textId="77777777" w:rsidR="006960AA" w:rsidRPr="004C4631" w:rsidRDefault="006960AA" w:rsidP="00CA28A1">
      <w:pPr>
        <w:pStyle w:val="Bullet1G"/>
        <w:rPr>
          <w:lang w:val="fr-FR" w:eastAsia="fr-FR"/>
        </w:rPr>
      </w:pPr>
      <w:r w:rsidRPr="004C4631">
        <w:rPr>
          <w:lang w:val="fr-FR" w:eastAsia="fr-FR"/>
        </w:rPr>
        <w:t>Points forts</w:t>
      </w:r>
    </w:p>
    <w:p w14:paraId="12007CF0" w14:textId="77777777" w:rsidR="006960AA" w:rsidRPr="004C4631" w:rsidRDefault="006960AA" w:rsidP="00CA28A1">
      <w:pPr>
        <w:pStyle w:val="Bullet1G"/>
        <w:rPr>
          <w:lang w:val="fr-FR" w:eastAsia="fr-FR"/>
        </w:rPr>
      </w:pPr>
      <w:r w:rsidRPr="004C4631">
        <w:rPr>
          <w:lang w:val="fr-FR" w:eastAsia="fr-FR"/>
        </w:rPr>
        <w:t>Points faibles</w:t>
      </w:r>
    </w:p>
    <w:p w14:paraId="37C5CF8A" w14:textId="77777777" w:rsidR="006960AA" w:rsidRPr="004C4631" w:rsidRDefault="006960AA" w:rsidP="00CA28A1">
      <w:pPr>
        <w:pStyle w:val="Bullet1G"/>
        <w:rPr>
          <w:lang w:val="fr-FR" w:eastAsia="fr-FR"/>
        </w:rPr>
      </w:pPr>
      <w:r w:rsidRPr="004C4631">
        <w:rPr>
          <w:lang w:val="fr-FR" w:eastAsia="fr-FR"/>
        </w:rPr>
        <w:t>Éléments manquants</w:t>
      </w:r>
    </w:p>
    <w:p w14:paraId="3AB7BE7E"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c)</w:t>
      </w:r>
      <w:r w:rsidRPr="004C4631">
        <w:rPr>
          <w:rFonts w:eastAsia="Times New Roman"/>
          <w:lang w:val="fr-FR" w:eastAsia="fr-FR"/>
        </w:rPr>
        <w:tab/>
        <w:t>Évaluation des lacunes à la lumière du Plan-cadre mondial pour la sécurité routière, conclusions et recommandations</w:t>
      </w:r>
      <w:r w:rsidR="00FB3139" w:rsidRPr="004C4631">
        <w:rPr>
          <w:rFonts w:eastAsia="Times New Roman"/>
          <w:lang w:val="fr-FR" w:eastAsia="fr-FR"/>
        </w:rPr>
        <w:t>.</w:t>
      </w:r>
    </w:p>
    <w:p w14:paraId="3613CE0D" w14:textId="77777777" w:rsidR="006960AA" w:rsidRPr="004C4631" w:rsidRDefault="00C708F0" w:rsidP="00C708F0">
      <w:pPr>
        <w:pStyle w:val="H1G"/>
        <w:rPr>
          <w:lang w:val="fr-FR" w:eastAsia="fr-FR"/>
        </w:rPr>
      </w:pPr>
      <w:r w:rsidRPr="004C4631">
        <w:rPr>
          <w:lang w:val="fr-FR" w:eastAsia="fr-FR"/>
        </w:rPr>
        <w:tab/>
      </w:r>
      <w:r w:rsidR="006960AA" w:rsidRPr="004C4631">
        <w:rPr>
          <w:lang w:val="fr-FR" w:eastAsia="fr-FR"/>
        </w:rPr>
        <w:t>C.</w:t>
      </w:r>
      <w:r w:rsidR="006960AA" w:rsidRPr="004C4631">
        <w:rPr>
          <w:lang w:val="fr-FR" w:eastAsia="fr-FR"/>
        </w:rPr>
        <w:tab/>
        <w:t>Chapitre 2</w:t>
      </w:r>
      <w:r w:rsidR="00827302">
        <w:rPr>
          <w:lang w:val="fr-FR" w:eastAsia="fr-FR"/>
        </w:rPr>
        <w:t> </w:t>
      </w:r>
      <w:r w:rsidR="006960AA" w:rsidRPr="004C4631">
        <w:rPr>
          <w:lang w:val="fr-FR" w:eastAsia="fr-FR"/>
        </w:rPr>
        <w:t xml:space="preserve">: Évaluation de l’efficacité du dispositif de renforcement </w:t>
      </w:r>
      <w:r w:rsidRPr="004C4631">
        <w:rPr>
          <w:lang w:val="fr-FR" w:eastAsia="fr-FR"/>
        </w:rPr>
        <w:br/>
      </w:r>
      <w:r w:rsidR="006960AA" w:rsidRPr="004C4631">
        <w:rPr>
          <w:lang w:val="fr-FR" w:eastAsia="fr-FR"/>
        </w:rPr>
        <w:t>de la sécurité des usagers de la route</w:t>
      </w:r>
    </w:p>
    <w:p w14:paraId="30D4A03D" w14:textId="77777777" w:rsidR="006960AA" w:rsidRPr="004C4631" w:rsidRDefault="006960AA" w:rsidP="00FB3139">
      <w:pPr>
        <w:pStyle w:val="SingleTxtG"/>
        <w:ind w:left="1701" w:hanging="567"/>
        <w:rPr>
          <w:lang w:val="fr-FR" w:eastAsia="fr-FR"/>
        </w:rPr>
      </w:pPr>
      <w:r w:rsidRPr="004C4631">
        <w:rPr>
          <w:lang w:val="fr-FR" w:eastAsia="fr-FR"/>
        </w:rPr>
        <w:t>a)</w:t>
      </w:r>
      <w:r w:rsidRPr="004C4631">
        <w:rPr>
          <w:lang w:val="fr-FR" w:eastAsia="fr-FR"/>
        </w:rPr>
        <w:tab/>
        <w:t>Cadre juridique relatif aux règles de circulation applicables aux conducteurs de véhicules</w:t>
      </w:r>
    </w:p>
    <w:p w14:paraId="681423FE" w14:textId="77777777" w:rsidR="006960AA" w:rsidRPr="004C4631" w:rsidRDefault="006960AA" w:rsidP="00FB3139">
      <w:pPr>
        <w:pStyle w:val="Bullet1G"/>
        <w:rPr>
          <w:lang w:val="fr-FR" w:eastAsia="fr-FR"/>
        </w:rPr>
      </w:pPr>
      <w:r w:rsidRPr="004C4631">
        <w:rPr>
          <w:lang w:val="fr-FR" w:eastAsia="fr-FR"/>
        </w:rPr>
        <w:t>Points forts</w:t>
      </w:r>
    </w:p>
    <w:p w14:paraId="67B5AD53" w14:textId="77777777" w:rsidR="006960AA" w:rsidRPr="004C4631" w:rsidRDefault="006960AA" w:rsidP="00FB3139">
      <w:pPr>
        <w:pStyle w:val="Bullet1G"/>
        <w:rPr>
          <w:lang w:val="fr-FR" w:eastAsia="fr-FR"/>
        </w:rPr>
      </w:pPr>
      <w:r w:rsidRPr="004C4631">
        <w:rPr>
          <w:lang w:val="fr-FR" w:eastAsia="fr-FR"/>
        </w:rPr>
        <w:t>Points faibles</w:t>
      </w:r>
    </w:p>
    <w:p w14:paraId="3FC73221" w14:textId="77777777" w:rsidR="006960AA" w:rsidRPr="004C4631" w:rsidRDefault="006960AA" w:rsidP="00FB3139">
      <w:pPr>
        <w:pStyle w:val="Bullet1G"/>
        <w:rPr>
          <w:lang w:val="fr-FR" w:eastAsia="fr-FR"/>
        </w:rPr>
      </w:pPr>
      <w:r w:rsidRPr="004C4631">
        <w:rPr>
          <w:lang w:val="fr-FR" w:eastAsia="fr-FR"/>
        </w:rPr>
        <w:t>Éléments manquants</w:t>
      </w:r>
    </w:p>
    <w:p w14:paraId="57DAE1D2"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b)</w:t>
      </w:r>
      <w:r w:rsidRPr="004C4631">
        <w:rPr>
          <w:rFonts w:eastAsia="Times New Roman"/>
          <w:lang w:val="fr-FR" w:eastAsia="fr-FR"/>
        </w:rPr>
        <w:tab/>
        <w:t>Respect des règles et action de la police et des corps d’inspection</w:t>
      </w:r>
    </w:p>
    <w:p w14:paraId="03161A39" w14:textId="77777777" w:rsidR="006960AA" w:rsidRPr="004C4631" w:rsidRDefault="006960AA" w:rsidP="00FB3139">
      <w:pPr>
        <w:pStyle w:val="Bullet1G"/>
        <w:rPr>
          <w:lang w:val="fr-FR" w:eastAsia="fr-FR"/>
        </w:rPr>
      </w:pPr>
      <w:r w:rsidRPr="004C4631">
        <w:rPr>
          <w:lang w:val="fr-FR" w:eastAsia="fr-FR"/>
        </w:rPr>
        <w:t>Points forts</w:t>
      </w:r>
    </w:p>
    <w:p w14:paraId="01F8A386" w14:textId="77777777" w:rsidR="006960AA" w:rsidRPr="004C4631" w:rsidRDefault="006960AA" w:rsidP="00FB3139">
      <w:pPr>
        <w:pStyle w:val="Bullet1G"/>
        <w:rPr>
          <w:lang w:val="fr-FR" w:eastAsia="fr-FR"/>
        </w:rPr>
      </w:pPr>
      <w:r w:rsidRPr="004C4631">
        <w:rPr>
          <w:lang w:val="fr-FR" w:eastAsia="fr-FR"/>
        </w:rPr>
        <w:t>Points faibles</w:t>
      </w:r>
    </w:p>
    <w:p w14:paraId="3AA6029B" w14:textId="77777777" w:rsidR="006960AA" w:rsidRPr="004C4631" w:rsidRDefault="006960AA" w:rsidP="00FB3139">
      <w:pPr>
        <w:pStyle w:val="Bullet1G"/>
        <w:rPr>
          <w:lang w:val="fr-FR" w:eastAsia="fr-FR"/>
        </w:rPr>
      </w:pPr>
      <w:r w:rsidRPr="004C4631">
        <w:rPr>
          <w:lang w:val="fr-FR" w:eastAsia="fr-FR"/>
        </w:rPr>
        <w:t>Éléments manquants</w:t>
      </w:r>
    </w:p>
    <w:p w14:paraId="0DBEC441"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lastRenderedPageBreak/>
        <w:t>c)</w:t>
      </w:r>
      <w:r w:rsidRPr="004C4631">
        <w:rPr>
          <w:rFonts w:eastAsia="Times New Roman"/>
          <w:lang w:val="fr-FR" w:eastAsia="fr-FR"/>
        </w:rPr>
        <w:tab/>
        <w:t xml:space="preserve">Formation des conducteurs et éducation des usagers de la route </w:t>
      </w:r>
    </w:p>
    <w:p w14:paraId="6A7BBC8A" w14:textId="77777777" w:rsidR="006960AA" w:rsidRPr="004C4631" w:rsidRDefault="006960AA" w:rsidP="00FB3139">
      <w:pPr>
        <w:pStyle w:val="Bullet1G"/>
        <w:rPr>
          <w:lang w:val="fr-FR" w:eastAsia="fr-FR"/>
        </w:rPr>
      </w:pPr>
      <w:r w:rsidRPr="004C4631">
        <w:rPr>
          <w:lang w:val="fr-FR" w:eastAsia="fr-FR"/>
        </w:rPr>
        <w:t>Points forts</w:t>
      </w:r>
    </w:p>
    <w:p w14:paraId="27FCEC8D" w14:textId="77777777" w:rsidR="006960AA" w:rsidRPr="004C4631" w:rsidRDefault="006960AA" w:rsidP="00FB3139">
      <w:pPr>
        <w:pStyle w:val="Bullet1G"/>
        <w:rPr>
          <w:lang w:val="fr-FR" w:eastAsia="fr-FR"/>
        </w:rPr>
      </w:pPr>
      <w:r w:rsidRPr="004C4631">
        <w:rPr>
          <w:lang w:val="fr-FR" w:eastAsia="fr-FR"/>
        </w:rPr>
        <w:t>Points faibles</w:t>
      </w:r>
    </w:p>
    <w:p w14:paraId="2D0B9EB6" w14:textId="77777777" w:rsidR="006960AA" w:rsidRPr="004C4631" w:rsidRDefault="006960AA" w:rsidP="00FB3139">
      <w:pPr>
        <w:pStyle w:val="Bullet1G"/>
        <w:rPr>
          <w:lang w:val="fr-FR" w:eastAsia="fr-FR"/>
        </w:rPr>
      </w:pPr>
      <w:r w:rsidRPr="004C4631">
        <w:rPr>
          <w:lang w:val="fr-FR" w:eastAsia="fr-FR"/>
        </w:rPr>
        <w:t>Éléments manquants</w:t>
      </w:r>
    </w:p>
    <w:p w14:paraId="31D47C84"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d)</w:t>
      </w:r>
      <w:r w:rsidRPr="004C4631">
        <w:rPr>
          <w:rFonts w:eastAsia="Times New Roman"/>
          <w:lang w:val="fr-FR" w:eastAsia="fr-FR"/>
        </w:rPr>
        <w:tab/>
        <w:t>Technologies favorisant l’adoption d’un comportement sûr par les usagers de la route</w:t>
      </w:r>
    </w:p>
    <w:p w14:paraId="3FB9A9F9" w14:textId="77777777" w:rsidR="006960AA" w:rsidRPr="004C4631" w:rsidRDefault="006960AA" w:rsidP="00FB3139">
      <w:pPr>
        <w:pStyle w:val="Bullet1G"/>
        <w:rPr>
          <w:lang w:val="fr-FR" w:eastAsia="fr-FR"/>
        </w:rPr>
      </w:pPr>
      <w:r w:rsidRPr="004C4631">
        <w:rPr>
          <w:lang w:val="fr-FR" w:eastAsia="fr-FR"/>
        </w:rPr>
        <w:t>Points forts</w:t>
      </w:r>
    </w:p>
    <w:p w14:paraId="50BA7D03" w14:textId="77777777" w:rsidR="006960AA" w:rsidRPr="004C4631" w:rsidRDefault="006960AA" w:rsidP="00FB3139">
      <w:pPr>
        <w:pStyle w:val="Bullet1G"/>
        <w:rPr>
          <w:lang w:val="fr-FR" w:eastAsia="fr-FR"/>
        </w:rPr>
      </w:pPr>
      <w:r w:rsidRPr="004C4631">
        <w:rPr>
          <w:lang w:val="fr-FR" w:eastAsia="fr-FR"/>
        </w:rPr>
        <w:t>Points faibles</w:t>
      </w:r>
    </w:p>
    <w:p w14:paraId="1D5AC7D7" w14:textId="77777777" w:rsidR="006960AA" w:rsidRPr="004C4631" w:rsidRDefault="006960AA" w:rsidP="00FB3139">
      <w:pPr>
        <w:pStyle w:val="Bullet1G"/>
        <w:rPr>
          <w:lang w:val="fr-FR" w:eastAsia="fr-FR"/>
        </w:rPr>
      </w:pPr>
      <w:r w:rsidRPr="004C4631">
        <w:rPr>
          <w:lang w:val="fr-FR" w:eastAsia="fr-FR"/>
        </w:rPr>
        <w:t>Éléments manquants</w:t>
      </w:r>
    </w:p>
    <w:p w14:paraId="3EB13E39"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e)</w:t>
      </w:r>
      <w:r w:rsidRPr="004C4631">
        <w:rPr>
          <w:rFonts w:eastAsia="Times New Roman"/>
          <w:lang w:val="fr-FR" w:eastAsia="fr-FR"/>
        </w:rPr>
        <w:tab/>
        <w:t>Appui réglementaire à l’échelon international</w:t>
      </w:r>
    </w:p>
    <w:p w14:paraId="30ACF69C" w14:textId="77777777" w:rsidR="006960AA" w:rsidRPr="004C4631" w:rsidRDefault="006960AA" w:rsidP="00FB3139">
      <w:pPr>
        <w:pStyle w:val="Bullet1G"/>
        <w:rPr>
          <w:lang w:val="fr-FR" w:eastAsia="fr-FR"/>
        </w:rPr>
      </w:pPr>
      <w:r w:rsidRPr="004C4631">
        <w:rPr>
          <w:lang w:val="fr-FR" w:eastAsia="fr-FR"/>
        </w:rPr>
        <w:t>Points forts</w:t>
      </w:r>
    </w:p>
    <w:p w14:paraId="767D99B5" w14:textId="77777777" w:rsidR="006960AA" w:rsidRPr="004C4631" w:rsidRDefault="006960AA" w:rsidP="00FB3139">
      <w:pPr>
        <w:pStyle w:val="Bullet1G"/>
        <w:rPr>
          <w:lang w:val="fr-FR" w:eastAsia="fr-FR"/>
        </w:rPr>
      </w:pPr>
      <w:r w:rsidRPr="004C4631">
        <w:rPr>
          <w:lang w:val="fr-FR" w:eastAsia="fr-FR"/>
        </w:rPr>
        <w:t>Points faibles</w:t>
      </w:r>
    </w:p>
    <w:p w14:paraId="4B7EA931" w14:textId="77777777" w:rsidR="006960AA" w:rsidRPr="004C4631" w:rsidRDefault="006960AA" w:rsidP="00FB3139">
      <w:pPr>
        <w:pStyle w:val="Bullet1G"/>
        <w:rPr>
          <w:lang w:val="fr-FR" w:eastAsia="fr-FR"/>
        </w:rPr>
      </w:pPr>
      <w:r w:rsidRPr="004C4631">
        <w:rPr>
          <w:lang w:val="fr-FR" w:eastAsia="fr-FR"/>
        </w:rPr>
        <w:t>Éléments manquants</w:t>
      </w:r>
    </w:p>
    <w:p w14:paraId="552DA121"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f)</w:t>
      </w:r>
      <w:r w:rsidRPr="004C4631">
        <w:rPr>
          <w:rFonts w:eastAsia="Times New Roman"/>
          <w:lang w:val="fr-FR" w:eastAsia="fr-FR"/>
        </w:rPr>
        <w:tab/>
        <w:t>Évaluation des lacunes à la lumière du Plan-cadre mondial pour la sécurité routière, conclusions et recommandations</w:t>
      </w:r>
      <w:r w:rsidR="00FB3139" w:rsidRPr="004C4631">
        <w:rPr>
          <w:rFonts w:eastAsia="Times New Roman"/>
          <w:lang w:val="fr-FR" w:eastAsia="fr-FR"/>
        </w:rPr>
        <w:t>.</w:t>
      </w:r>
    </w:p>
    <w:p w14:paraId="528B5125" w14:textId="77777777" w:rsidR="006960AA" w:rsidRPr="004C4631" w:rsidRDefault="00FB3139" w:rsidP="00FB3139">
      <w:pPr>
        <w:pStyle w:val="H1G"/>
        <w:rPr>
          <w:lang w:val="fr-FR" w:eastAsia="fr-FR"/>
        </w:rPr>
      </w:pPr>
      <w:r w:rsidRPr="004C4631">
        <w:rPr>
          <w:lang w:val="fr-FR" w:eastAsia="fr-FR"/>
        </w:rPr>
        <w:tab/>
      </w:r>
      <w:r w:rsidR="006960AA" w:rsidRPr="004C4631">
        <w:rPr>
          <w:lang w:val="fr-FR" w:eastAsia="fr-FR"/>
        </w:rPr>
        <w:t>D.</w:t>
      </w:r>
      <w:r w:rsidR="006960AA" w:rsidRPr="004C4631">
        <w:rPr>
          <w:lang w:val="fr-FR" w:eastAsia="fr-FR"/>
        </w:rPr>
        <w:tab/>
        <w:t>Chapitre 3</w:t>
      </w:r>
      <w:r w:rsidR="00827302">
        <w:rPr>
          <w:lang w:val="fr-FR" w:eastAsia="fr-FR"/>
        </w:rPr>
        <w:t> </w:t>
      </w:r>
      <w:r w:rsidR="006960AA" w:rsidRPr="004C4631">
        <w:rPr>
          <w:lang w:val="fr-FR" w:eastAsia="fr-FR"/>
        </w:rPr>
        <w:t xml:space="preserve">: Évaluation de l’efficacité du dispositif de renforcement </w:t>
      </w:r>
      <w:r w:rsidRPr="004C4631">
        <w:rPr>
          <w:lang w:val="fr-FR" w:eastAsia="fr-FR"/>
        </w:rPr>
        <w:br/>
      </w:r>
      <w:r w:rsidR="006960AA" w:rsidRPr="004C4631">
        <w:rPr>
          <w:lang w:val="fr-FR" w:eastAsia="fr-FR"/>
        </w:rPr>
        <w:t>de la sûreté des véhicules</w:t>
      </w:r>
    </w:p>
    <w:p w14:paraId="45B4D055"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a)</w:t>
      </w:r>
      <w:r w:rsidRPr="004C4631">
        <w:rPr>
          <w:rFonts w:eastAsia="Times New Roman"/>
          <w:lang w:val="fr-FR" w:eastAsia="fr-FR"/>
        </w:rPr>
        <w:tab/>
        <w:t>Cadre juridique</w:t>
      </w:r>
      <w:r w:rsidR="00827302">
        <w:rPr>
          <w:rFonts w:eastAsia="Times New Roman"/>
          <w:lang w:val="fr-FR" w:eastAsia="fr-FR"/>
        </w:rPr>
        <w:t> </w:t>
      </w:r>
      <w:r w:rsidRPr="004C4631">
        <w:rPr>
          <w:rFonts w:eastAsia="Times New Roman"/>
          <w:lang w:val="fr-FR" w:eastAsia="fr-FR"/>
        </w:rPr>
        <w:t>: règles et normes régissant la mise en circulation des véhicules</w:t>
      </w:r>
    </w:p>
    <w:p w14:paraId="44A92931" w14:textId="77777777" w:rsidR="006960AA" w:rsidRPr="004C4631" w:rsidRDefault="006960AA" w:rsidP="00FB3139">
      <w:pPr>
        <w:pStyle w:val="Bullet1G"/>
        <w:rPr>
          <w:lang w:val="fr-FR" w:eastAsia="fr-FR"/>
        </w:rPr>
      </w:pPr>
      <w:r w:rsidRPr="004C4631">
        <w:rPr>
          <w:lang w:val="fr-FR" w:eastAsia="fr-FR"/>
        </w:rPr>
        <w:t>Points forts</w:t>
      </w:r>
    </w:p>
    <w:p w14:paraId="289E0E40" w14:textId="77777777" w:rsidR="006960AA" w:rsidRPr="004C4631" w:rsidRDefault="006960AA" w:rsidP="00FB3139">
      <w:pPr>
        <w:pStyle w:val="Bullet1G"/>
        <w:rPr>
          <w:lang w:val="fr-FR" w:eastAsia="fr-FR"/>
        </w:rPr>
      </w:pPr>
      <w:r w:rsidRPr="004C4631">
        <w:rPr>
          <w:lang w:val="fr-FR" w:eastAsia="fr-FR"/>
        </w:rPr>
        <w:t>Points faibles</w:t>
      </w:r>
    </w:p>
    <w:p w14:paraId="529571BC" w14:textId="77777777" w:rsidR="006960AA" w:rsidRPr="004C4631" w:rsidRDefault="006960AA" w:rsidP="00FB3139">
      <w:pPr>
        <w:pStyle w:val="Bullet1G"/>
        <w:rPr>
          <w:lang w:val="fr-FR" w:eastAsia="fr-FR"/>
        </w:rPr>
      </w:pPr>
      <w:r w:rsidRPr="004C4631">
        <w:rPr>
          <w:lang w:val="fr-FR" w:eastAsia="fr-FR"/>
        </w:rPr>
        <w:t>Éléments manquants</w:t>
      </w:r>
    </w:p>
    <w:p w14:paraId="4A3913E3"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b)</w:t>
      </w:r>
      <w:r w:rsidRPr="004C4631">
        <w:rPr>
          <w:rFonts w:eastAsia="Times New Roman"/>
          <w:lang w:val="fr-FR" w:eastAsia="fr-FR"/>
        </w:rPr>
        <w:tab/>
        <w:t>Mise en application</w:t>
      </w:r>
    </w:p>
    <w:p w14:paraId="0ABCB619"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Points forts</w:t>
      </w:r>
    </w:p>
    <w:p w14:paraId="04A28D44"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Points faibles</w:t>
      </w:r>
    </w:p>
    <w:p w14:paraId="6B12154F"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Éléments manquants</w:t>
      </w:r>
    </w:p>
    <w:p w14:paraId="2FC86CF7"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c)</w:t>
      </w:r>
      <w:r w:rsidRPr="004C4631">
        <w:rPr>
          <w:rFonts w:eastAsia="Times New Roman"/>
          <w:lang w:val="fr-FR" w:eastAsia="fr-FR"/>
        </w:rPr>
        <w:tab/>
        <w:t>Éducation et formation</w:t>
      </w:r>
    </w:p>
    <w:p w14:paraId="3708FD8C"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Points forts</w:t>
      </w:r>
    </w:p>
    <w:p w14:paraId="6EF3B814"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Points faibles</w:t>
      </w:r>
    </w:p>
    <w:p w14:paraId="16E9B767" w14:textId="77777777" w:rsidR="006960AA" w:rsidRPr="004C4631" w:rsidRDefault="006960AA" w:rsidP="00FB3139">
      <w:pPr>
        <w:pStyle w:val="Bullet1G"/>
        <w:rPr>
          <w:rFonts w:eastAsia="Times New Roman"/>
          <w:lang w:val="fr-FR" w:eastAsia="fr-FR"/>
        </w:rPr>
      </w:pPr>
      <w:r w:rsidRPr="004C4631">
        <w:rPr>
          <w:rFonts w:eastAsia="Times New Roman"/>
          <w:lang w:val="fr-FR" w:eastAsia="fr-FR"/>
        </w:rPr>
        <w:t>Éléments manquants</w:t>
      </w:r>
    </w:p>
    <w:p w14:paraId="1F2D9FB2"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d)</w:t>
      </w:r>
      <w:r w:rsidRPr="004C4631">
        <w:rPr>
          <w:rFonts w:eastAsia="Times New Roman"/>
          <w:lang w:val="fr-FR" w:eastAsia="fr-FR"/>
        </w:rPr>
        <w:tab/>
        <w:t>Technologies</w:t>
      </w:r>
    </w:p>
    <w:p w14:paraId="345428C3" w14:textId="77777777" w:rsidR="006960AA" w:rsidRPr="004C4631" w:rsidRDefault="006960AA" w:rsidP="00FB3139">
      <w:pPr>
        <w:pStyle w:val="Bullet1G"/>
        <w:rPr>
          <w:lang w:val="fr-FR" w:eastAsia="fr-FR"/>
        </w:rPr>
      </w:pPr>
      <w:r w:rsidRPr="004C4631">
        <w:rPr>
          <w:lang w:val="fr-FR" w:eastAsia="fr-FR"/>
        </w:rPr>
        <w:t>Points forts</w:t>
      </w:r>
    </w:p>
    <w:p w14:paraId="1BAC840E" w14:textId="77777777" w:rsidR="006960AA" w:rsidRPr="004C4631" w:rsidRDefault="006960AA" w:rsidP="00FB3139">
      <w:pPr>
        <w:pStyle w:val="Bullet1G"/>
        <w:rPr>
          <w:lang w:val="fr-FR" w:eastAsia="fr-FR"/>
        </w:rPr>
      </w:pPr>
      <w:r w:rsidRPr="004C4631">
        <w:rPr>
          <w:lang w:val="fr-FR" w:eastAsia="fr-FR"/>
        </w:rPr>
        <w:t>Points faibles</w:t>
      </w:r>
    </w:p>
    <w:p w14:paraId="4452BDF0" w14:textId="77777777" w:rsidR="006960AA" w:rsidRPr="004C4631" w:rsidRDefault="006960AA" w:rsidP="00FB3139">
      <w:pPr>
        <w:pStyle w:val="Bullet1G"/>
        <w:rPr>
          <w:lang w:val="fr-FR" w:eastAsia="fr-FR"/>
        </w:rPr>
      </w:pPr>
      <w:r w:rsidRPr="004C4631">
        <w:rPr>
          <w:lang w:val="fr-FR" w:eastAsia="fr-FR"/>
        </w:rPr>
        <w:t>Éléments manquants</w:t>
      </w:r>
    </w:p>
    <w:p w14:paraId="354D8A83" w14:textId="77777777" w:rsidR="006960AA" w:rsidRPr="004C4631" w:rsidRDefault="006960AA" w:rsidP="003B6157">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e)</w:t>
      </w:r>
      <w:r w:rsidRPr="004C4631">
        <w:rPr>
          <w:rFonts w:eastAsia="Times New Roman"/>
          <w:lang w:val="fr-FR" w:eastAsia="fr-FR"/>
        </w:rPr>
        <w:tab/>
        <w:t>Appui réglementaire à l’échelon international</w:t>
      </w:r>
    </w:p>
    <w:p w14:paraId="7AC793C3" w14:textId="77777777" w:rsidR="006960AA" w:rsidRPr="004C4631" w:rsidRDefault="006960AA" w:rsidP="00FB3139">
      <w:pPr>
        <w:pStyle w:val="Bullet1G"/>
        <w:rPr>
          <w:lang w:val="fr-FR" w:eastAsia="fr-FR"/>
        </w:rPr>
      </w:pPr>
      <w:r w:rsidRPr="004C4631">
        <w:rPr>
          <w:lang w:val="fr-FR" w:eastAsia="fr-FR"/>
        </w:rPr>
        <w:t>Points forts</w:t>
      </w:r>
    </w:p>
    <w:p w14:paraId="557C8751" w14:textId="77777777" w:rsidR="006960AA" w:rsidRPr="004C4631" w:rsidRDefault="006960AA" w:rsidP="00FB3139">
      <w:pPr>
        <w:pStyle w:val="Bullet1G"/>
        <w:rPr>
          <w:lang w:val="fr-FR" w:eastAsia="fr-FR"/>
        </w:rPr>
      </w:pPr>
      <w:r w:rsidRPr="004C4631">
        <w:rPr>
          <w:lang w:val="fr-FR" w:eastAsia="fr-FR"/>
        </w:rPr>
        <w:t>Points faibles</w:t>
      </w:r>
    </w:p>
    <w:p w14:paraId="2560026C" w14:textId="77777777" w:rsidR="006960AA" w:rsidRPr="004C4631" w:rsidRDefault="006960AA" w:rsidP="00FB3139">
      <w:pPr>
        <w:pStyle w:val="Bullet1G"/>
        <w:rPr>
          <w:lang w:val="fr-FR" w:eastAsia="fr-FR"/>
        </w:rPr>
      </w:pPr>
      <w:r w:rsidRPr="004C4631">
        <w:rPr>
          <w:lang w:val="fr-FR" w:eastAsia="fr-FR"/>
        </w:rPr>
        <w:t>Éléments manquants</w:t>
      </w:r>
    </w:p>
    <w:p w14:paraId="6F49B476"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f)</w:t>
      </w:r>
      <w:r w:rsidRPr="004C4631">
        <w:rPr>
          <w:rFonts w:eastAsia="Times New Roman"/>
          <w:lang w:val="fr-FR" w:eastAsia="fr-FR"/>
        </w:rPr>
        <w:tab/>
        <w:t>Évaluation des lacunes à la lumière du Plan-cadre mondial pour la sécurité routière, conclusions et recommandations</w:t>
      </w:r>
      <w:r w:rsidR="00FB3139" w:rsidRPr="004C4631">
        <w:rPr>
          <w:rFonts w:eastAsia="Times New Roman"/>
          <w:lang w:val="fr-FR" w:eastAsia="fr-FR"/>
        </w:rPr>
        <w:t>.</w:t>
      </w:r>
    </w:p>
    <w:p w14:paraId="799CFACA" w14:textId="77777777" w:rsidR="006960AA" w:rsidRPr="004C4631" w:rsidRDefault="00FB3139" w:rsidP="00FB3139">
      <w:pPr>
        <w:pStyle w:val="H1G"/>
        <w:rPr>
          <w:lang w:val="fr-FR" w:eastAsia="fr-FR"/>
        </w:rPr>
      </w:pPr>
      <w:r w:rsidRPr="004C4631">
        <w:rPr>
          <w:lang w:val="fr-FR" w:eastAsia="fr-FR"/>
        </w:rPr>
        <w:lastRenderedPageBreak/>
        <w:tab/>
      </w:r>
      <w:r w:rsidR="006960AA" w:rsidRPr="004C4631">
        <w:rPr>
          <w:lang w:val="fr-FR" w:eastAsia="fr-FR"/>
        </w:rPr>
        <w:t>E.</w:t>
      </w:r>
      <w:r w:rsidR="006960AA" w:rsidRPr="004C4631">
        <w:rPr>
          <w:lang w:val="fr-FR" w:eastAsia="fr-FR"/>
        </w:rPr>
        <w:tab/>
        <w:t>Chapitre 4</w:t>
      </w:r>
      <w:r w:rsidR="0046032E">
        <w:rPr>
          <w:lang w:val="fr-FR" w:eastAsia="fr-FR"/>
        </w:rPr>
        <w:t> </w:t>
      </w:r>
      <w:r w:rsidR="006960AA" w:rsidRPr="004C4631">
        <w:rPr>
          <w:lang w:val="fr-FR" w:eastAsia="fr-FR"/>
        </w:rPr>
        <w:t xml:space="preserve">: Évaluation de l’efficacité du dispositif de renforcement </w:t>
      </w:r>
      <w:r w:rsidRPr="004C4631">
        <w:rPr>
          <w:lang w:val="fr-FR" w:eastAsia="fr-FR"/>
        </w:rPr>
        <w:br/>
      </w:r>
      <w:r w:rsidR="006960AA" w:rsidRPr="004C4631">
        <w:rPr>
          <w:lang w:val="fr-FR" w:eastAsia="fr-FR"/>
        </w:rPr>
        <w:t>de la sûreté des routes</w:t>
      </w:r>
    </w:p>
    <w:p w14:paraId="164E1531"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a)</w:t>
      </w:r>
      <w:r w:rsidRPr="004C4631">
        <w:rPr>
          <w:rFonts w:eastAsia="Times New Roman"/>
          <w:lang w:val="fr-FR" w:eastAsia="fr-FR"/>
        </w:rPr>
        <w:tab/>
        <w:t>Cadre juridique</w:t>
      </w:r>
      <w:r w:rsidR="00FB3139" w:rsidRPr="004C4631">
        <w:rPr>
          <w:rFonts w:eastAsia="Times New Roman"/>
          <w:lang w:val="fr-FR" w:eastAsia="fr-FR"/>
        </w:rPr>
        <w:t> </w:t>
      </w:r>
      <w:r w:rsidRPr="004C4631">
        <w:rPr>
          <w:rFonts w:eastAsia="Times New Roman"/>
          <w:lang w:val="fr-FR" w:eastAsia="fr-FR"/>
        </w:rPr>
        <w:t>: Normes régissant la conception, la construction, l’entretien et la signalisation des routes</w:t>
      </w:r>
    </w:p>
    <w:p w14:paraId="4C8FAB60" w14:textId="77777777" w:rsidR="006960AA" w:rsidRPr="004C4631" w:rsidRDefault="006960AA" w:rsidP="00FB3139">
      <w:pPr>
        <w:pStyle w:val="Bullet1G"/>
        <w:rPr>
          <w:lang w:val="fr-FR" w:eastAsia="fr-FR"/>
        </w:rPr>
      </w:pPr>
      <w:r w:rsidRPr="004C4631">
        <w:rPr>
          <w:lang w:val="fr-FR" w:eastAsia="fr-FR"/>
        </w:rPr>
        <w:t>Points forts</w:t>
      </w:r>
    </w:p>
    <w:p w14:paraId="3EAE7304" w14:textId="77777777" w:rsidR="006960AA" w:rsidRPr="004C4631" w:rsidRDefault="006960AA" w:rsidP="00FB3139">
      <w:pPr>
        <w:pStyle w:val="Bullet1G"/>
        <w:rPr>
          <w:lang w:val="fr-FR" w:eastAsia="fr-FR"/>
        </w:rPr>
      </w:pPr>
      <w:r w:rsidRPr="004C4631">
        <w:rPr>
          <w:lang w:val="fr-FR" w:eastAsia="fr-FR"/>
        </w:rPr>
        <w:t>Points faibles</w:t>
      </w:r>
    </w:p>
    <w:p w14:paraId="457F44EF" w14:textId="77777777" w:rsidR="006960AA" w:rsidRPr="004C4631" w:rsidRDefault="006960AA" w:rsidP="00FB3139">
      <w:pPr>
        <w:pStyle w:val="Bullet1G"/>
        <w:rPr>
          <w:lang w:val="fr-FR" w:eastAsia="fr-FR"/>
        </w:rPr>
      </w:pPr>
      <w:r w:rsidRPr="004C4631">
        <w:rPr>
          <w:lang w:val="fr-FR" w:eastAsia="fr-FR"/>
        </w:rPr>
        <w:t>Éléments manquants</w:t>
      </w:r>
    </w:p>
    <w:p w14:paraId="3E844E8E"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b)</w:t>
      </w:r>
      <w:r w:rsidRPr="004C4631">
        <w:rPr>
          <w:rFonts w:eastAsia="Times New Roman"/>
          <w:lang w:val="fr-FR" w:eastAsia="fr-FR"/>
        </w:rPr>
        <w:tab/>
        <w:t>Mise en application</w:t>
      </w:r>
    </w:p>
    <w:p w14:paraId="74C66D3B" w14:textId="77777777" w:rsidR="006960AA" w:rsidRPr="004C4631" w:rsidRDefault="006960AA" w:rsidP="00FB3139">
      <w:pPr>
        <w:pStyle w:val="Bullet1G"/>
        <w:rPr>
          <w:lang w:val="fr-FR" w:eastAsia="fr-FR"/>
        </w:rPr>
      </w:pPr>
      <w:r w:rsidRPr="004C4631">
        <w:rPr>
          <w:lang w:val="fr-FR" w:eastAsia="fr-FR"/>
        </w:rPr>
        <w:t>Points forts</w:t>
      </w:r>
    </w:p>
    <w:p w14:paraId="7B5973DB" w14:textId="77777777" w:rsidR="006960AA" w:rsidRPr="004C4631" w:rsidRDefault="006960AA" w:rsidP="00FB3139">
      <w:pPr>
        <w:pStyle w:val="Bullet1G"/>
        <w:rPr>
          <w:lang w:val="fr-FR" w:eastAsia="fr-FR"/>
        </w:rPr>
      </w:pPr>
      <w:r w:rsidRPr="004C4631">
        <w:rPr>
          <w:lang w:val="fr-FR" w:eastAsia="fr-FR"/>
        </w:rPr>
        <w:t>Points faibles</w:t>
      </w:r>
    </w:p>
    <w:p w14:paraId="31BE897A" w14:textId="77777777" w:rsidR="006960AA" w:rsidRPr="004C4631" w:rsidRDefault="006960AA" w:rsidP="00FB3139">
      <w:pPr>
        <w:pStyle w:val="Bullet1G"/>
        <w:rPr>
          <w:lang w:val="fr-FR" w:eastAsia="fr-FR"/>
        </w:rPr>
      </w:pPr>
      <w:r w:rsidRPr="004C4631">
        <w:rPr>
          <w:lang w:val="fr-FR" w:eastAsia="fr-FR"/>
        </w:rPr>
        <w:t>Éléments manquants</w:t>
      </w:r>
    </w:p>
    <w:p w14:paraId="75ACDCF7"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c)</w:t>
      </w:r>
      <w:r w:rsidRPr="004C4631">
        <w:rPr>
          <w:rFonts w:eastAsia="Times New Roman"/>
          <w:lang w:val="fr-FR" w:eastAsia="fr-FR"/>
        </w:rPr>
        <w:tab/>
        <w:t>Éducation et formation</w:t>
      </w:r>
    </w:p>
    <w:p w14:paraId="03A5F329" w14:textId="77777777" w:rsidR="006960AA" w:rsidRPr="004C4631" w:rsidRDefault="006960AA" w:rsidP="00FB3139">
      <w:pPr>
        <w:pStyle w:val="Bullet1G"/>
        <w:rPr>
          <w:lang w:val="fr-FR" w:eastAsia="fr-FR"/>
        </w:rPr>
      </w:pPr>
      <w:r w:rsidRPr="004C4631">
        <w:rPr>
          <w:lang w:val="fr-FR" w:eastAsia="fr-FR"/>
        </w:rPr>
        <w:t>Points forts</w:t>
      </w:r>
    </w:p>
    <w:p w14:paraId="106E1017" w14:textId="77777777" w:rsidR="006960AA" w:rsidRPr="004C4631" w:rsidRDefault="006960AA" w:rsidP="00FB3139">
      <w:pPr>
        <w:pStyle w:val="Bullet1G"/>
        <w:rPr>
          <w:lang w:val="fr-FR" w:eastAsia="fr-FR"/>
        </w:rPr>
      </w:pPr>
      <w:r w:rsidRPr="004C4631">
        <w:rPr>
          <w:lang w:val="fr-FR" w:eastAsia="fr-FR"/>
        </w:rPr>
        <w:t>Points faibles</w:t>
      </w:r>
    </w:p>
    <w:p w14:paraId="696BEB90" w14:textId="77777777" w:rsidR="006960AA" w:rsidRPr="004C4631" w:rsidRDefault="006960AA" w:rsidP="00FB3139">
      <w:pPr>
        <w:pStyle w:val="Bullet1G"/>
        <w:rPr>
          <w:lang w:val="fr-FR" w:eastAsia="fr-FR"/>
        </w:rPr>
      </w:pPr>
      <w:r w:rsidRPr="004C4631">
        <w:rPr>
          <w:lang w:val="fr-FR" w:eastAsia="fr-FR"/>
        </w:rPr>
        <w:t>Éléments manquants</w:t>
      </w:r>
    </w:p>
    <w:p w14:paraId="6C38EFC4"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d)</w:t>
      </w:r>
      <w:r w:rsidRPr="004C4631">
        <w:rPr>
          <w:rFonts w:eastAsia="Times New Roman"/>
          <w:lang w:val="fr-FR" w:eastAsia="fr-FR"/>
        </w:rPr>
        <w:tab/>
        <w:t>Technologies</w:t>
      </w:r>
    </w:p>
    <w:p w14:paraId="5F532717" w14:textId="77777777" w:rsidR="006960AA" w:rsidRPr="004C4631" w:rsidRDefault="006960AA" w:rsidP="00FB3139">
      <w:pPr>
        <w:pStyle w:val="Bullet1G"/>
        <w:rPr>
          <w:lang w:val="fr-FR" w:eastAsia="fr-FR"/>
        </w:rPr>
      </w:pPr>
      <w:r w:rsidRPr="004C4631">
        <w:rPr>
          <w:lang w:val="fr-FR" w:eastAsia="fr-FR"/>
        </w:rPr>
        <w:t>Points forts</w:t>
      </w:r>
    </w:p>
    <w:p w14:paraId="140F84FC" w14:textId="77777777" w:rsidR="006960AA" w:rsidRPr="004C4631" w:rsidRDefault="006960AA" w:rsidP="00FB3139">
      <w:pPr>
        <w:pStyle w:val="Bullet1G"/>
        <w:rPr>
          <w:lang w:val="fr-FR" w:eastAsia="fr-FR"/>
        </w:rPr>
      </w:pPr>
      <w:r w:rsidRPr="004C4631">
        <w:rPr>
          <w:lang w:val="fr-FR" w:eastAsia="fr-FR"/>
        </w:rPr>
        <w:t>Points faibles</w:t>
      </w:r>
    </w:p>
    <w:p w14:paraId="326D730B" w14:textId="77777777" w:rsidR="006960AA" w:rsidRPr="004C4631" w:rsidRDefault="006960AA" w:rsidP="00FB3139">
      <w:pPr>
        <w:pStyle w:val="Bullet1G"/>
        <w:rPr>
          <w:lang w:val="fr-FR" w:eastAsia="fr-FR"/>
        </w:rPr>
      </w:pPr>
      <w:r w:rsidRPr="004C4631">
        <w:rPr>
          <w:lang w:val="fr-FR" w:eastAsia="fr-FR"/>
        </w:rPr>
        <w:t>Éléments manquants</w:t>
      </w:r>
    </w:p>
    <w:p w14:paraId="2BE32904"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e)</w:t>
      </w:r>
      <w:r w:rsidRPr="004C4631">
        <w:rPr>
          <w:rFonts w:eastAsia="Times New Roman"/>
          <w:lang w:val="fr-FR" w:eastAsia="fr-FR"/>
        </w:rPr>
        <w:tab/>
        <w:t>Appui réglementaire à l’échelon international</w:t>
      </w:r>
    </w:p>
    <w:p w14:paraId="44A944E3" w14:textId="77777777" w:rsidR="006960AA" w:rsidRPr="004C4631" w:rsidRDefault="006960AA" w:rsidP="00FB3139">
      <w:pPr>
        <w:pStyle w:val="Bullet1G"/>
        <w:rPr>
          <w:lang w:val="fr-FR" w:eastAsia="fr-FR"/>
        </w:rPr>
      </w:pPr>
      <w:r w:rsidRPr="004C4631">
        <w:rPr>
          <w:lang w:val="fr-FR" w:eastAsia="fr-FR"/>
        </w:rPr>
        <w:t>Points forts</w:t>
      </w:r>
    </w:p>
    <w:p w14:paraId="2CC4886A" w14:textId="77777777" w:rsidR="006960AA" w:rsidRPr="004C4631" w:rsidRDefault="006960AA" w:rsidP="00FB3139">
      <w:pPr>
        <w:pStyle w:val="Bullet1G"/>
        <w:rPr>
          <w:lang w:val="fr-FR" w:eastAsia="fr-FR"/>
        </w:rPr>
      </w:pPr>
      <w:r w:rsidRPr="004C4631">
        <w:rPr>
          <w:lang w:val="fr-FR" w:eastAsia="fr-FR"/>
        </w:rPr>
        <w:t>Points faibles</w:t>
      </w:r>
    </w:p>
    <w:p w14:paraId="0AB21D15" w14:textId="77777777" w:rsidR="006960AA" w:rsidRPr="004C4631" w:rsidRDefault="006960AA" w:rsidP="00FB3139">
      <w:pPr>
        <w:pStyle w:val="Bullet1G"/>
        <w:rPr>
          <w:lang w:val="fr-FR" w:eastAsia="fr-FR"/>
        </w:rPr>
      </w:pPr>
      <w:r w:rsidRPr="004C4631">
        <w:rPr>
          <w:lang w:val="fr-FR" w:eastAsia="fr-FR"/>
        </w:rPr>
        <w:t>Éléments manquants</w:t>
      </w:r>
    </w:p>
    <w:p w14:paraId="6E12688C"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f)</w:t>
      </w:r>
      <w:r w:rsidRPr="004C4631">
        <w:rPr>
          <w:rFonts w:eastAsia="Times New Roman"/>
          <w:lang w:val="fr-FR" w:eastAsia="fr-FR"/>
        </w:rPr>
        <w:tab/>
        <w:t>Évaluation des lacunes à la lumière du Plan-cadre mondial pour la sécurité routière, conclusions et recommandations</w:t>
      </w:r>
      <w:r w:rsidR="004C4631" w:rsidRPr="004C4631">
        <w:rPr>
          <w:rFonts w:eastAsia="Times New Roman"/>
          <w:lang w:val="fr-FR" w:eastAsia="fr-FR"/>
        </w:rPr>
        <w:t>.</w:t>
      </w:r>
    </w:p>
    <w:p w14:paraId="5341AC5C" w14:textId="77777777" w:rsidR="006960AA" w:rsidRPr="004C4631" w:rsidRDefault="00FB3139" w:rsidP="00FB3139">
      <w:pPr>
        <w:pStyle w:val="H1G"/>
        <w:rPr>
          <w:lang w:val="fr-FR" w:eastAsia="fr-FR"/>
        </w:rPr>
      </w:pPr>
      <w:r w:rsidRPr="004C4631">
        <w:rPr>
          <w:lang w:val="fr-FR" w:eastAsia="fr-FR"/>
        </w:rPr>
        <w:tab/>
      </w:r>
      <w:r w:rsidR="006960AA" w:rsidRPr="004C4631">
        <w:rPr>
          <w:lang w:val="fr-FR" w:eastAsia="fr-FR"/>
        </w:rPr>
        <w:t>F.</w:t>
      </w:r>
      <w:r w:rsidR="006960AA" w:rsidRPr="004C4631">
        <w:rPr>
          <w:lang w:val="fr-FR" w:eastAsia="fr-FR"/>
        </w:rPr>
        <w:tab/>
        <w:t>Chapitre 5</w:t>
      </w:r>
      <w:r w:rsidR="0046032E">
        <w:rPr>
          <w:lang w:val="fr-FR" w:eastAsia="fr-FR"/>
        </w:rPr>
        <w:t> </w:t>
      </w:r>
      <w:r w:rsidR="006960AA" w:rsidRPr="004C4631">
        <w:rPr>
          <w:lang w:val="fr-FR" w:eastAsia="fr-FR"/>
        </w:rPr>
        <w:t xml:space="preserve">: Évaluation de l’efficacité du dispositif d’assistance </w:t>
      </w:r>
      <w:r w:rsidRPr="004C4631">
        <w:rPr>
          <w:lang w:val="fr-FR" w:eastAsia="fr-FR"/>
        </w:rPr>
        <w:br/>
      </w:r>
      <w:r w:rsidR="006960AA" w:rsidRPr="004C4631">
        <w:rPr>
          <w:lang w:val="fr-FR" w:eastAsia="fr-FR"/>
        </w:rPr>
        <w:t>aux victimes d’accidents de la circulation routière</w:t>
      </w:r>
    </w:p>
    <w:p w14:paraId="197E15AC"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a)</w:t>
      </w:r>
      <w:r w:rsidRPr="004C4631">
        <w:rPr>
          <w:rFonts w:eastAsia="Times New Roman"/>
          <w:lang w:val="fr-FR" w:eastAsia="fr-FR"/>
        </w:rPr>
        <w:tab/>
        <w:t>Cadre juridique régissant les interventions après un accident</w:t>
      </w:r>
    </w:p>
    <w:p w14:paraId="15122F91" w14:textId="77777777" w:rsidR="006960AA" w:rsidRPr="004C4631" w:rsidRDefault="006960AA" w:rsidP="00FB3139">
      <w:pPr>
        <w:pStyle w:val="Bullet1G"/>
        <w:rPr>
          <w:lang w:val="fr-FR" w:eastAsia="fr-FR"/>
        </w:rPr>
      </w:pPr>
      <w:r w:rsidRPr="004C4631">
        <w:rPr>
          <w:lang w:val="fr-FR" w:eastAsia="fr-FR"/>
        </w:rPr>
        <w:t>Points forts</w:t>
      </w:r>
    </w:p>
    <w:p w14:paraId="75B79D79" w14:textId="77777777" w:rsidR="006960AA" w:rsidRPr="004C4631" w:rsidRDefault="006960AA" w:rsidP="00FB3139">
      <w:pPr>
        <w:pStyle w:val="Bullet1G"/>
        <w:rPr>
          <w:lang w:val="fr-FR" w:eastAsia="fr-FR"/>
        </w:rPr>
      </w:pPr>
      <w:r w:rsidRPr="004C4631">
        <w:rPr>
          <w:lang w:val="fr-FR" w:eastAsia="fr-FR"/>
        </w:rPr>
        <w:t>Points faibles</w:t>
      </w:r>
    </w:p>
    <w:p w14:paraId="202115F5" w14:textId="77777777" w:rsidR="006960AA" w:rsidRPr="004C4631" w:rsidRDefault="006960AA" w:rsidP="00FB3139">
      <w:pPr>
        <w:pStyle w:val="Bullet1G"/>
        <w:rPr>
          <w:lang w:val="fr-FR" w:eastAsia="fr-FR"/>
        </w:rPr>
      </w:pPr>
      <w:r w:rsidRPr="004C4631">
        <w:rPr>
          <w:lang w:val="fr-FR" w:eastAsia="fr-FR"/>
        </w:rPr>
        <w:t>Éléments manquants</w:t>
      </w:r>
    </w:p>
    <w:p w14:paraId="30541A2B"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b)</w:t>
      </w:r>
      <w:r w:rsidRPr="004C4631">
        <w:rPr>
          <w:rFonts w:eastAsia="Times New Roman"/>
          <w:lang w:val="fr-FR" w:eastAsia="fr-FR"/>
        </w:rPr>
        <w:tab/>
        <w:t>Système d’assurance</w:t>
      </w:r>
    </w:p>
    <w:p w14:paraId="257CA602" w14:textId="77777777" w:rsidR="006960AA" w:rsidRPr="004C4631" w:rsidRDefault="006960AA" w:rsidP="00FB3139">
      <w:pPr>
        <w:pStyle w:val="Bullet1G"/>
        <w:rPr>
          <w:lang w:val="fr-FR" w:eastAsia="fr-FR"/>
        </w:rPr>
      </w:pPr>
      <w:r w:rsidRPr="004C4631">
        <w:rPr>
          <w:lang w:val="fr-FR" w:eastAsia="fr-FR"/>
        </w:rPr>
        <w:t>Points forts</w:t>
      </w:r>
    </w:p>
    <w:p w14:paraId="39F97205" w14:textId="77777777" w:rsidR="006960AA" w:rsidRPr="004C4631" w:rsidRDefault="006960AA" w:rsidP="00FB3139">
      <w:pPr>
        <w:pStyle w:val="Bullet1G"/>
        <w:rPr>
          <w:lang w:val="fr-FR" w:eastAsia="fr-FR"/>
        </w:rPr>
      </w:pPr>
      <w:r w:rsidRPr="004C4631">
        <w:rPr>
          <w:lang w:val="fr-FR" w:eastAsia="fr-FR"/>
        </w:rPr>
        <w:t>Points faibles</w:t>
      </w:r>
    </w:p>
    <w:p w14:paraId="3197F4BF" w14:textId="77777777" w:rsidR="006960AA" w:rsidRPr="004C4631" w:rsidRDefault="006960AA" w:rsidP="00FB3139">
      <w:pPr>
        <w:pStyle w:val="Bullet1G"/>
        <w:rPr>
          <w:lang w:val="fr-FR" w:eastAsia="fr-FR"/>
        </w:rPr>
      </w:pPr>
      <w:r w:rsidRPr="004C4631">
        <w:rPr>
          <w:lang w:val="fr-FR" w:eastAsia="fr-FR"/>
        </w:rPr>
        <w:t>Éléments manquants</w:t>
      </w:r>
    </w:p>
    <w:p w14:paraId="2D950F71"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c)</w:t>
      </w:r>
      <w:r w:rsidRPr="004C4631">
        <w:rPr>
          <w:rFonts w:eastAsia="Times New Roman"/>
          <w:lang w:val="fr-FR" w:eastAsia="fr-FR"/>
        </w:rPr>
        <w:tab/>
        <w:t>Mise en œuvre et contrôle des services de secours</w:t>
      </w:r>
    </w:p>
    <w:p w14:paraId="4A7E238A" w14:textId="77777777" w:rsidR="006960AA" w:rsidRPr="004C4631" w:rsidRDefault="006960AA" w:rsidP="00FB3139">
      <w:pPr>
        <w:pStyle w:val="Bullet1G"/>
        <w:rPr>
          <w:lang w:val="fr-FR" w:eastAsia="fr-FR"/>
        </w:rPr>
      </w:pPr>
      <w:r w:rsidRPr="004C4631">
        <w:rPr>
          <w:lang w:val="fr-FR" w:eastAsia="fr-FR"/>
        </w:rPr>
        <w:t>Points forts</w:t>
      </w:r>
    </w:p>
    <w:p w14:paraId="64263587" w14:textId="77777777" w:rsidR="006960AA" w:rsidRPr="004C4631" w:rsidRDefault="006960AA" w:rsidP="00FB3139">
      <w:pPr>
        <w:pStyle w:val="Bullet1G"/>
        <w:rPr>
          <w:lang w:val="fr-FR" w:eastAsia="fr-FR"/>
        </w:rPr>
      </w:pPr>
      <w:r w:rsidRPr="004C4631">
        <w:rPr>
          <w:lang w:val="fr-FR" w:eastAsia="fr-FR"/>
        </w:rPr>
        <w:t>Points faibles</w:t>
      </w:r>
    </w:p>
    <w:p w14:paraId="28E0786D" w14:textId="77777777" w:rsidR="006960AA" w:rsidRPr="004C4631" w:rsidRDefault="006960AA" w:rsidP="00FB3139">
      <w:pPr>
        <w:pStyle w:val="Bullet1G"/>
        <w:rPr>
          <w:lang w:val="fr-FR" w:eastAsia="fr-FR"/>
        </w:rPr>
      </w:pPr>
      <w:r w:rsidRPr="004C4631">
        <w:rPr>
          <w:lang w:val="fr-FR" w:eastAsia="fr-FR"/>
        </w:rPr>
        <w:t>Éléments manquants</w:t>
      </w:r>
    </w:p>
    <w:p w14:paraId="4678B527"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lastRenderedPageBreak/>
        <w:t>d)</w:t>
      </w:r>
      <w:r w:rsidRPr="004C4631">
        <w:rPr>
          <w:rFonts w:eastAsia="Times New Roman"/>
          <w:lang w:val="fr-FR" w:eastAsia="fr-FR"/>
        </w:rPr>
        <w:tab/>
        <w:t xml:space="preserve">Éducation et formation </w:t>
      </w:r>
    </w:p>
    <w:p w14:paraId="1FCA84EB" w14:textId="77777777" w:rsidR="006960AA" w:rsidRPr="004C4631" w:rsidRDefault="006960AA" w:rsidP="00FB3139">
      <w:pPr>
        <w:pStyle w:val="Bullet1G"/>
        <w:rPr>
          <w:lang w:val="fr-FR" w:eastAsia="fr-FR"/>
        </w:rPr>
      </w:pPr>
      <w:r w:rsidRPr="004C4631">
        <w:rPr>
          <w:lang w:val="fr-FR" w:eastAsia="fr-FR"/>
        </w:rPr>
        <w:t>Points forts</w:t>
      </w:r>
    </w:p>
    <w:p w14:paraId="3759E67E" w14:textId="77777777" w:rsidR="006960AA" w:rsidRPr="004C4631" w:rsidRDefault="006960AA" w:rsidP="00FB3139">
      <w:pPr>
        <w:pStyle w:val="Bullet1G"/>
        <w:rPr>
          <w:lang w:val="fr-FR" w:eastAsia="fr-FR"/>
        </w:rPr>
      </w:pPr>
      <w:r w:rsidRPr="004C4631">
        <w:rPr>
          <w:lang w:val="fr-FR" w:eastAsia="fr-FR"/>
        </w:rPr>
        <w:t>Points faibles</w:t>
      </w:r>
    </w:p>
    <w:p w14:paraId="0EEC2F51" w14:textId="77777777" w:rsidR="006960AA" w:rsidRPr="004C4631" w:rsidRDefault="006960AA" w:rsidP="00FB3139">
      <w:pPr>
        <w:pStyle w:val="Bullet1G"/>
        <w:rPr>
          <w:lang w:val="fr-FR" w:eastAsia="fr-FR"/>
        </w:rPr>
      </w:pPr>
      <w:r w:rsidRPr="004C4631">
        <w:rPr>
          <w:lang w:val="fr-FR" w:eastAsia="fr-FR"/>
        </w:rPr>
        <w:t>Éléments manquants</w:t>
      </w:r>
    </w:p>
    <w:p w14:paraId="15DFEB1A" w14:textId="77777777" w:rsidR="006960AA" w:rsidRPr="004C4631" w:rsidRDefault="006960AA" w:rsidP="006960AA">
      <w:pPr>
        <w:kinsoku/>
        <w:overflowPunct/>
        <w:autoSpaceDE/>
        <w:autoSpaceDN/>
        <w:adjustRightInd/>
        <w:snapToGrid/>
        <w:spacing w:after="120"/>
        <w:ind w:left="1134" w:right="1134"/>
        <w:jc w:val="both"/>
        <w:rPr>
          <w:rFonts w:eastAsia="Times New Roman"/>
          <w:lang w:val="fr-FR" w:eastAsia="fr-FR"/>
        </w:rPr>
      </w:pPr>
      <w:r w:rsidRPr="004C4631">
        <w:rPr>
          <w:rFonts w:eastAsia="Times New Roman"/>
          <w:lang w:val="fr-FR" w:eastAsia="fr-FR"/>
        </w:rPr>
        <w:t>e)</w:t>
      </w:r>
      <w:r w:rsidRPr="004C4631">
        <w:rPr>
          <w:rFonts w:eastAsia="Times New Roman"/>
          <w:lang w:val="fr-FR" w:eastAsia="fr-FR"/>
        </w:rPr>
        <w:tab/>
        <w:t>Technologies</w:t>
      </w:r>
    </w:p>
    <w:p w14:paraId="4A4B1285" w14:textId="77777777" w:rsidR="006960AA" w:rsidRPr="004C4631" w:rsidRDefault="006960AA" w:rsidP="00FB3139">
      <w:pPr>
        <w:pStyle w:val="Bullet1G"/>
        <w:rPr>
          <w:lang w:val="fr-FR" w:eastAsia="fr-FR"/>
        </w:rPr>
      </w:pPr>
      <w:r w:rsidRPr="004C4631">
        <w:rPr>
          <w:lang w:val="fr-FR" w:eastAsia="fr-FR"/>
        </w:rPr>
        <w:t>Points forts</w:t>
      </w:r>
    </w:p>
    <w:p w14:paraId="3D125C7F" w14:textId="77777777" w:rsidR="006960AA" w:rsidRPr="004C4631" w:rsidRDefault="006960AA" w:rsidP="00FB3139">
      <w:pPr>
        <w:pStyle w:val="Bullet1G"/>
        <w:rPr>
          <w:lang w:val="fr-FR" w:eastAsia="fr-FR"/>
        </w:rPr>
      </w:pPr>
      <w:r w:rsidRPr="004C4631">
        <w:rPr>
          <w:lang w:val="fr-FR" w:eastAsia="fr-FR"/>
        </w:rPr>
        <w:t>Points faibles</w:t>
      </w:r>
    </w:p>
    <w:p w14:paraId="0473485C" w14:textId="77777777" w:rsidR="006960AA" w:rsidRPr="004C4631" w:rsidRDefault="006960AA" w:rsidP="00FB3139">
      <w:pPr>
        <w:pStyle w:val="Bullet1G"/>
        <w:rPr>
          <w:lang w:val="fr-FR" w:eastAsia="fr-FR"/>
        </w:rPr>
      </w:pPr>
      <w:r w:rsidRPr="004C4631">
        <w:rPr>
          <w:lang w:val="fr-FR" w:eastAsia="fr-FR"/>
        </w:rPr>
        <w:t>Éléments manquants</w:t>
      </w:r>
    </w:p>
    <w:p w14:paraId="55ABAB31"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strike/>
          <w:lang w:val="fr-FR" w:eastAsia="fr-FR"/>
        </w:rPr>
      </w:pPr>
      <w:r w:rsidRPr="004C4631">
        <w:rPr>
          <w:rFonts w:eastAsia="Times New Roman"/>
          <w:lang w:val="fr-FR" w:eastAsia="fr-FR"/>
        </w:rPr>
        <w:t>f)</w:t>
      </w:r>
      <w:r w:rsidRPr="004C4631">
        <w:rPr>
          <w:rFonts w:eastAsia="Times New Roman"/>
          <w:lang w:val="fr-FR" w:eastAsia="fr-FR"/>
        </w:rPr>
        <w:tab/>
        <w:t>Appui réglementaire à l’échelon international</w:t>
      </w:r>
    </w:p>
    <w:p w14:paraId="35D3525D" w14:textId="77777777" w:rsidR="006960AA" w:rsidRPr="004C4631" w:rsidRDefault="006960AA" w:rsidP="00FB3139">
      <w:pPr>
        <w:pStyle w:val="Bullet1G"/>
        <w:rPr>
          <w:lang w:val="fr-FR" w:eastAsia="fr-FR"/>
        </w:rPr>
      </w:pPr>
      <w:r w:rsidRPr="004C4631">
        <w:rPr>
          <w:lang w:val="fr-FR" w:eastAsia="fr-FR"/>
        </w:rPr>
        <w:t>Points forts</w:t>
      </w:r>
    </w:p>
    <w:p w14:paraId="070B9247" w14:textId="77777777" w:rsidR="006960AA" w:rsidRPr="004C4631" w:rsidRDefault="006960AA" w:rsidP="00FB3139">
      <w:pPr>
        <w:pStyle w:val="Bullet1G"/>
        <w:rPr>
          <w:lang w:val="fr-FR" w:eastAsia="fr-FR"/>
        </w:rPr>
      </w:pPr>
      <w:r w:rsidRPr="004C4631">
        <w:rPr>
          <w:lang w:val="fr-FR" w:eastAsia="fr-FR"/>
        </w:rPr>
        <w:t>Points faibles</w:t>
      </w:r>
    </w:p>
    <w:p w14:paraId="61F7751F" w14:textId="77777777" w:rsidR="006960AA" w:rsidRPr="004C4631" w:rsidRDefault="006960AA" w:rsidP="00FB3139">
      <w:pPr>
        <w:pStyle w:val="Bullet1G"/>
        <w:rPr>
          <w:lang w:val="fr-FR" w:eastAsia="fr-FR"/>
        </w:rPr>
      </w:pPr>
      <w:r w:rsidRPr="004C4631">
        <w:rPr>
          <w:lang w:val="fr-FR" w:eastAsia="fr-FR"/>
        </w:rPr>
        <w:t>Éléments manquants</w:t>
      </w:r>
    </w:p>
    <w:p w14:paraId="6D552377" w14:textId="77777777" w:rsidR="006960AA" w:rsidRPr="004C4631" w:rsidRDefault="006960AA" w:rsidP="006960AA">
      <w:pPr>
        <w:kinsoku/>
        <w:overflowPunct/>
        <w:autoSpaceDE/>
        <w:autoSpaceDN/>
        <w:adjustRightInd/>
        <w:snapToGrid/>
        <w:spacing w:after="120"/>
        <w:ind w:left="1701" w:right="1134" w:hanging="567"/>
        <w:jc w:val="both"/>
        <w:rPr>
          <w:rFonts w:eastAsia="Times New Roman"/>
          <w:lang w:val="fr-FR" w:eastAsia="fr-FR"/>
        </w:rPr>
      </w:pPr>
      <w:r w:rsidRPr="004C4631">
        <w:rPr>
          <w:rFonts w:eastAsia="Times New Roman"/>
          <w:lang w:val="fr-FR" w:eastAsia="fr-FR"/>
        </w:rPr>
        <w:t>g)</w:t>
      </w:r>
      <w:r w:rsidRPr="004C4631">
        <w:rPr>
          <w:rFonts w:eastAsia="Times New Roman"/>
          <w:lang w:val="fr-FR" w:eastAsia="fr-FR"/>
        </w:rPr>
        <w:tab/>
        <w:t>Évaluation des lacunes à la lumière du Plan-cadre mondial pour la sécurité routière, conclusions et recommandations</w:t>
      </w:r>
      <w:r w:rsidR="004C4631" w:rsidRPr="004C4631">
        <w:rPr>
          <w:rFonts w:eastAsia="Times New Roman"/>
          <w:lang w:val="fr-FR" w:eastAsia="fr-FR"/>
        </w:rPr>
        <w:t>.</w:t>
      </w:r>
    </w:p>
    <w:p w14:paraId="763E7A13" w14:textId="77777777" w:rsidR="006960AA" w:rsidRPr="004C4631" w:rsidRDefault="00FB3139" w:rsidP="00FB3139">
      <w:pPr>
        <w:pStyle w:val="H1G"/>
        <w:rPr>
          <w:lang w:val="fr-FR" w:eastAsia="fr-FR"/>
        </w:rPr>
      </w:pPr>
      <w:r w:rsidRPr="004C4631">
        <w:rPr>
          <w:lang w:val="fr-FR" w:eastAsia="fr-FR"/>
        </w:rPr>
        <w:tab/>
      </w:r>
      <w:r w:rsidR="006960AA" w:rsidRPr="004C4631">
        <w:rPr>
          <w:lang w:val="fr-FR" w:eastAsia="fr-FR"/>
        </w:rPr>
        <w:t>G.</w:t>
      </w:r>
      <w:r w:rsidR="006960AA" w:rsidRPr="004C4631">
        <w:rPr>
          <w:lang w:val="fr-FR" w:eastAsia="fr-FR"/>
        </w:rPr>
        <w:tab/>
        <w:t>Chapitre 6</w:t>
      </w:r>
      <w:r w:rsidRPr="004C4631">
        <w:rPr>
          <w:lang w:val="fr-FR" w:eastAsia="fr-FR"/>
        </w:rPr>
        <w:t> </w:t>
      </w:r>
      <w:r w:rsidR="006960AA" w:rsidRPr="004C4631">
        <w:rPr>
          <w:lang w:val="fr-FR" w:eastAsia="fr-FR"/>
        </w:rPr>
        <w:t>: Conclusions et Plan d’action pour la sécurité routière</w:t>
      </w:r>
    </w:p>
    <w:p w14:paraId="55DE0FD4" w14:textId="77777777" w:rsidR="006960AA" w:rsidRPr="004C4631" w:rsidRDefault="00FB3139" w:rsidP="00FB3139">
      <w:pPr>
        <w:pStyle w:val="HChG"/>
        <w:rPr>
          <w:lang w:val="fr-FR" w:eastAsia="fr-FR"/>
        </w:rPr>
      </w:pPr>
      <w:r w:rsidRPr="004C4631">
        <w:rPr>
          <w:lang w:val="fr-FR" w:eastAsia="fr-FR"/>
        </w:rPr>
        <w:tab/>
      </w:r>
      <w:r w:rsidR="006960AA" w:rsidRPr="004C4631">
        <w:rPr>
          <w:lang w:val="fr-FR" w:eastAsia="fr-FR"/>
        </w:rPr>
        <w:t>III.</w:t>
      </w:r>
      <w:r w:rsidR="006960AA" w:rsidRPr="004C4631">
        <w:rPr>
          <w:lang w:val="fr-FR" w:eastAsia="fr-FR"/>
        </w:rPr>
        <w:tab/>
        <w:t>Annexes</w:t>
      </w:r>
    </w:p>
    <w:p w14:paraId="43122BA1" w14:textId="77777777" w:rsidR="006960AA" w:rsidRPr="004C4631" w:rsidRDefault="006960AA" w:rsidP="00FB3139">
      <w:pPr>
        <w:spacing w:after="120"/>
        <w:ind w:left="2438" w:right="1134" w:hanging="1304"/>
        <w:jc w:val="both"/>
        <w:rPr>
          <w:rFonts w:eastAsia="Times New Roman"/>
          <w:lang w:val="fr-FR" w:eastAsia="fr-FR"/>
        </w:rPr>
      </w:pPr>
      <w:r w:rsidRPr="004C4631">
        <w:rPr>
          <w:rFonts w:eastAsia="Times New Roman"/>
          <w:b/>
          <w:bCs/>
          <w:lang w:val="fr-FR" w:eastAsia="fr-FR"/>
        </w:rPr>
        <w:t>Annexe I</w:t>
      </w:r>
      <w:r w:rsidR="00FB3139" w:rsidRPr="006C5C68">
        <w:rPr>
          <w:rFonts w:eastAsia="Times New Roman"/>
          <w:bCs/>
          <w:lang w:val="fr-FR" w:eastAsia="fr-FR"/>
        </w:rPr>
        <w:t> </w:t>
      </w:r>
      <w:r w:rsidRPr="006C5C68">
        <w:rPr>
          <w:rFonts w:eastAsia="Times New Roman"/>
          <w:bCs/>
          <w:lang w:val="fr-FR" w:eastAsia="fr-FR"/>
        </w:rPr>
        <w:t>:</w:t>
      </w:r>
      <w:r w:rsidRPr="004C4631">
        <w:rPr>
          <w:rFonts w:eastAsia="Times New Roman"/>
          <w:lang w:val="fr-FR" w:eastAsia="fr-FR"/>
        </w:rPr>
        <w:tab/>
        <w:t>Aperçu et tendances par pays</w:t>
      </w:r>
    </w:p>
    <w:p w14:paraId="2B20A3BE" w14:textId="77777777" w:rsidR="006960AA" w:rsidRPr="004C4631" w:rsidRDefault="006960AA" w:rsidP="00FB3139">
      <w:pPr>
        <w:spacing w:after="120"/>
        <w:ind w:left="2438" w:right="1134" w:hanging="1304"/>
        <w:jc w:val="both"/>
        <w:rPr>
          <w:rFonts w:eastAsia="Times New Roman"/>
          <w:lang w:val="fr-FR" w:eastAsia="fr-FR"/>
        </w:rPr>
      </w:pPr>
      <w:r w:rsidRPr="004C4631">
        <w:rPr>
          <w:rFonts w:eastAsia="Times New Roman"/>
          <w:b/>
          <w:bCs/>
          <w:lang w:val="fr-FR" w:eastAsia="fr-FR"/>
        </w:rPr>
        <w:t>Annexe II</w:t>
      </w:r>
      <w:r w:rsidR="00FB3139" w:rsidRPr="006C5C68">
        <w:rPr>
          <w:rFonts w:eastAsia="Times New Roman"/>
          <w:bCs/>
          <w:lang w:val="fr-FR" w:eastAsia="fr-FR"/>
        </w:rPr>
        <w:t> </w:t>
      </w:r>
      <w:r w:rsidRPr="006C5C68">
        <w:rPr>
          <w:rFonts w:eastAsia="Times New Roman"/>
          <w:bCs/>
          <w:lang w:val="fr-FR" w:eastAsia="fr-FR"/>
        </w:rPr>
        <w:t>:</w:t>
      </w:r>
      <w:r w:rsidRPr="004C4631">
        <w:rPr>
          <w:rFonts w:eastAsia="Times New Roman"/>
          <w:lang w:val="fr-FR" w:eastAsia="fr-FR"/>
        </w:rPr>
        <w:tab/>
        <w:t>Principaux indicateurs nationaux relatifs à l’efficacité de la politique de sécurité routière</w:t>
      </w:r>
    </w:p>
    <w:p w14:paraId="1E368B37" w14:textId="77777777" w:rsidR="006960AA" w:rsidRPr="004C4631" w:rsidRDefault="006960AA" w:rsidP="00FB3139">
      <w:pPr>
        <w:spacing w:after="120"/>
        <w:ind w:left="2438" w:right="1134" w:hanging="1304"/>
        <w:jc w:val="both"/>
        <w:rPr>
          <w:rFonts w:eastAsia="Times New Roman"/>
          <w:lang w:val="fr-FR" w:eastAsia="fr-FR"/>
        </w:rPr>
      </w:pPr>
      <w:r w:rsidRPr="004C4631">
        <w:rPr>
          <w:rFonts w:eastAsia="Times New Roman"/>
          <w:b/>
          <w:bCs/>
          <w:lang w:val="fr-FR" w:eastAsia="fr-FR"/>
        </w:rPr>
        <w:t>Annexe III</w:t>
      </w:r>
      <w:r w:rsidR="00FB3139" w:rsidRPr="006C5C68">
        <w:rPr>
          <w:rFonts w:eastAsia="Times New Roman"/>
          <w:bCs/>
          <w:lang w:val="fr-FR" w:eastAsia="fr-FR"/>
        </w:rPr>
        <w:t> </w:t>
      </w:r>
      <w:r w:rsidRPr="006C5C68">
        <w:rPr>
          <w:rFonts w:eastAsia="Times New Roman"/>
          <w:bCs/>
          <w:lang w:val="fr-FR" w:eastAsia="fr-FR"/>
        </w:rPr>
        <w:t>:</w:t>
      </w:r>
      <w:r w:rsidRPr="004C4631">
        <w:rPr>
          <w:rFonts w:eastAsia="Times New Roman"/>
          <w:lang w:val="fr-FR" w:eastAsia="fr-FR"/>
        </w:rPr>
        <w:tab/>
        <w:t>Liste des documents nationaux pertinents en matière de sécurité routière</w:t>
      </w:r>
    </w:p>
    <w:p w14:paraId="2D8772A1" w14:textId="77777777" w:rsidR="006960AA" w:rsidRDefault="006960AA" w:rsidP="00FB3139">
      <w:pPr>
        <w:pStyle w:val="SingleTxtG"/>
        <w:ind w:left="2438" w:hanging="1304"/>
        <w:rPr>
          <w:rFonts w:eastAsia="Times New Roman"/>
          <w:lang w:val="fr-FR" w:eastAsia="fr-FR"/>
        </w:rPr>
      </w:pPr>
      <w:r w:rsidRPr="004C4631">
        <w:rPr>
          <w:rFonts w:eastAsia="Times New Roman"/>
          <w:b/>
          <w:bCs/>
          <w:lang w:val="fr-FR" w:eastAsia="fr-FR"/>
        </w:rPr>
        <w:t>Annexe IV</w:t>
      </w:r>
      <w:r w:rsidR="00FB3139" w:rsidRPr="006C5C68">
        <w:rPr>
          <w:rFonts w:eastAsia="Times New Roman"/>
          <w:bCs/>
          <w:lang w:val="fr-FR" w:eastAsia="fr-FR"/>
        </w:rPr>
        <w:t> </w:t>
      </w:r>
      <w:r w:rsidRPr="006C5C68">
        <w:rPr>
          <w:rFonts w:eastAsia="Times New Roman"/>
          <w:bCs/>
          <w:lang w:val="fr-FR" w:eastAsia="fr-FR"/>
        </w:rPr>
        <w:t>:</w:t>
      </w:r>
      <w:r w:rsidRPr="004C4631">
        <w:rPr>
          <w:rFonts w:eastAsia="Times New Roman"/>
          <w:b/>
          <w:bCs/>
          <w:lang w:val="fr-FR" w:eastAsia="fr-FR"/>
        </w:rPr>
        <w:tab/>
      </w:r>
      <w:r w:rsidRPr="004C4631">
        <w:rPr>
          <w:rFonts w:eastAsia="Times New Roman"/>
          <w:lang w:val="fr-FR" w:eastAsia="fr-FR"/>
        </w:rPr>
        <w:t>Évaluation de scénarios de politique de sécurité routière à l’aide de l’outil SafeFITS</w:t>
      </w:r>
      <w:r w:rsidRPr="004C4631">
        <w:rPr>
          <w:rFonts w:eastAsia="Times New Roman"/>
          <w:sz w:val="18"/>
          <w:vertAlign w:val="superscript"/>
          <w:lang w:val="fr-FR" w:eastAsia="fr-FR"/>
        </w:rPr>
        <w:footnoteReference w:id="3"/>
      </w:r>
      <w:r w:rsidR="00FB3139" w:rsidRPr="004C4631">
        <w:rPr>
          <w:rFonts w:eastAsia="Times New Roman"/>
          <w:lang w:val="fr-FR" w:eastAsia="fr-FR"/>
        </w:rPr>
        <w:t>.</w:t>
      </w:r>
    </w:p>
    <w:p w14:paraId="4045666D" w14:textId="77777777" w:rsidR="006960AA" w:rsidRPr="006960AA" w:rsidRDefault="006960AA" w:rsidP="006960AA">
      <w:pPr>
        <w:pStyle w:val="SingleTxtG"/>
        <w:spacing w:before="240" w:after="0"/>
        <w:jc w:val="center"/>
        <w:rPr>
          <w:u w:val="single"/>
          <w:lang w:val="fr-FR" w:eastAsia="fr-FR"/>
        </w:rPr>
      </w:pPr>
      <w:r>
        <w:rPr>
          <w:u w:val="single"/>
          <w:lang w:val="fr-FR" w:eastAsia="fr-FR"/>
        </w:rPr>
        <w:tab/>
      </w:r>
      <w:r>
        <w:rPr>
          <w:u w:val="single"/>
          <w:lang w:val="fr-FR" w:eastAsia="fr-FR"/>
        </w:rPr>
        <w:tab/>
      </w:r>
      <w:r>
        <w:rPr>
          <w:u w:val="single"/>
          <w:lang w:val="fr-FR" w:eastAsia="fr-FR"/>
        </w:rPr>
        <w:tab/>
      </w:r>
    </w:p>
    <w:sectPr w:rsidR="006960AA" w:rsidRPr="006960AA" w:rsidSect="001D1F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5E4B" w14:textId="77777777" w:rsidR="00CA28A1" w:rsidRDefault="00CA28A1" w:rsidP="00F95C08">
      <w:pPr>
        <w:spacing w:line="240" w:lineRule="auto"/>
      </w:pPr>
    </w:p>
  </w:endnote>
  <w:endnote w:type="continuationSeparator" w:id="0">
    <w:p w14:paraId="5187F8C9" w14:textId="77777777" w:rsidR="00CA28A1" w:rsidRPr="00AC3823" w:rsidRDefault="00CA28A1" w:rsidP="00AC3823">
      <w:pPr>
        <w:pStyle w:val="Footer"/>
      </w:pPr>
    </w:p>
  </w:endnote>
  <w:endnote w:type="continuationNotice" w:id="1">
    <w:p w14:paraId="499BAC46" w14:textId="77777777" w:rsidR="00CA28A1" w:rsidRDefault="00CA28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0C6" w14:textId="77777777" w:rsidR="00CA28A1" w:rsidRPr="001D1F65" w:rsidRDefault="00CA28A1" w:rsidP="001D1F65">
    <w:pPr>
      <w:pStyle w:val="Footer"/>
      <w:tabs>
        <w:tab w:val="right" w:pos="9638"/>
      </w:tabs>
    </w:pPr>
    <w:r w:rsidRPr="001D1F65">
      <w:rPr>
        <w:b/>
        <w:sz w:val="18"/>
      </w:rPr>
      <w:fldChar w:fldCharType="begin"/>
    </w:r>
    <w:r w:rsidRPr="001D1F65">
      <w:rPr>
        <w:b/>
        <w:sz w:val="18"/>
      </w:rPr>
      <w:instrText xml:space="preserve"> PAGE  \* MERGEFORMAT </w:instrText>
    </w:r>
    <w:r w:rsidRPr="001D1F65">
      <w:rPr>
        <w:b/>
        <w:sz w:val="18"/>
      </w:rPr>
      <w:fldChar w:fldCharType="separate"/>
    </w:r>
    <w:r w:rsidRPr="001D1F65">
      <w:rPr>
        <w:b/>
        <w:noProof/>
        <w:sz w:val="18"/>
      </w:rPr>
      <w:t>2</w:t>
    </w:r>
    <w:r w:rsidRPr="001D1F65">
      <w:rPr>
        <w:b/>
        <w:sz w:val="18"/>
      </w:rPr>
      <w:fldChar w:fldCharType="end"/>
    </w:r>
    <w:r>
      <w:rPr>
        <w:b/>
        <w:sz w:val="18"/>
      </w:rPr>
      <w:tab/>
    </w:r>
    <w:r>
      <w:t>GE.19-21700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42FF" w14:textId="77777777" w:rsidR="00CA28A1" w:rsidRPr="001D1F65" w:rsidRDefault="00CA28A1" w:rsidP="001D1F65">
    <w:pPr>
      <w:pStyle w:val="Footer"/>
      <w:tabs>
        <w:tab w:val="right" w:pos="9638"/>
      </w:tabs>
      <w:rPr>
        <w:b/>
        <w:sz w:val="18"/>
      </w:rPr>
    </w:pPr>
    <w:r>
      <w:t>GE.19-21700</w:t>
    </w:r>
    <w:r>
      <w:tab/>
    </w:r>
    <w:r w:rsidRPr="001D1F65">
      <w:rPr>
        <w:b/>
        <w:sz w:val="18"/>
      </w:rPr>
      <w:fldChar w:fldCharType="begin"/>
    </w:r>
    <w:r w:rsidRPr="001D1F65">
      <w:rPr>
        <w:b/>
        <w:sz w:val="18"/>
      </w:rPr>
      <w:instrText xml:space="preserve"> PAGE  \* MERGEFORMAT </w:instrText>
    </w:r>
    <w:r w:rsidRPr="001D1F65">
      <w:rPr>
        <w:b/>
        <w:sz w:val="18"/>
      </w:rPr>
      <w:fldChar w:fldCharType="separate"/>
    </w:r>
    <w:r w:rsidRPr="001D1F65">
      <w:rPr>
        <w:b/>
        <w:noProof/>
        <w:sz w:val="18"/>
      </w:rPr>
      <w:t>3</w:t>
    </w:r>
    <w:r w:rsidRPr="001D1F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A96" w14:textId="77777777" w:rsidR="00CA28A1" w:rsidRPr="001D1F65" w:rsidRDefault="00CA28A1" w:rsidP="001D1F6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2E108DDE" wp14:editId="4C1F53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21700  (</w:t>
    </w:r>
    <w:proofErr w:type="gramEnd"/>
    <w:r>
      <w:rPr>
        <w:sz w:val="20"/>
      </w:rPr>
      <w:t>F)    060120    060120</w:t>
    </w:r>
    <w:r>
      <w:rPr>
        <w:sz w:val="20"/>
      </w:rPr>
      <w:br/>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sidRPr="001D1F65">
      <w:rPr>
        <w:rFonts w:ascii="C39T30Lfz" w:hAnsi="C39T30Lfz"/>
        <w:sz w:val="56"/>
      </w:rPr>
      <w:t></w:t>
    </w:r>
    <w:r>
      <w:rPr>
        <w:noProof/>
        <w:sz w:val="20"/>
      </w:rPr>
      <w:drawing>
        <wp:anchor distT="0" distB="0" distL="114300" distR="114300" simplePos="0" relativeHeight="251658240" behindDoc="0" locked="0" layoutInCell="1" allowOverlap="1" wp14:anchorId="3B7BE367" wp14:editId="1ACFC0A2">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E24B" w14:textId="77777777" w:rsidR="00CA28A1" w:rsidRPr="00AC3823" w:rsidRDefault="00CA28A1" w:rsidP="00AC3823">
      <w:pPr>
        <w:pStyle w:val="Footer"/>
        <w:tabs>
          <w:tab w:val="right" w:pos="2155"/>
        </w:tabs>
        <w:spacing w:after="80" w:line="240" w:lineRule="atLeast"/>
        <w:ind w:left="680"/>
        <w:rPr>
          <w:u w:val="single"/>
        </w:rPr>
      </w:pPr>
      <w:r>
        <w:rPr>
          <w:u w:val="single"/>
        </w:rPr>
        <w:tab/>
      </w:r>
    </w:p>
  </w:footnote>
  <w:footnote w:type="continuationSeparator" w:id="0">
    <w:p w14:paraId="5A5929BB" w14:textId="77777777" w:rsidR="00CA28A1" w:rsidRPr="00AC3823" w:rsidRDefault="00CA28A1" w:rsidP="00AC3823">
      <w:pPr>
        <w:pStyle w:val="Footer"/>
        <w:tabs>
          <w:tab w:val="right" w:pos="2155"/>
        </w:tabs>
        <w:spacing w:after="80" w:line="240" w:lineRule="atLeast"/>
        <w:ind w:left="680"/>
        <w:rPr>
          <w:u w:val="single"/>
        </w:rPr>
      </w:pPr>
      <w:r>
        <w:rPr>
          <w:u w:val="single"/>
        </w:rPr>
        <w:tab/>
      </w:r>
    </w:p>
  </w:footnote>
  <w:footnote w:type="continuationNotice" w:id="1">
    <w:p w14:paraId="688861E1" w14:textId="77777777" w:rsidR="00CA28A1" w:rsidRPr="00AC3823" w:rsidRDefault="00CA28A1">
      <w:pPr>
        <w:spacing w:line="240" w:lineRule="auto"/>
        <w:rPr>
          <w:sz w:val="2"/>
          <w:szCs w:val="2"/>
        </w:rPr>
      </w:pPr>
    </w:p>
  </w:footnote>
  <w:footnote w:id="2">
    <w:p w14:paraId="2F1DD501" w14:textId="77777777" w:rsidR="00CA28A1" w:rsidRPr="008D5DBD" w:rsidRDefault="00CA28A1" w:rsidP="006960AA">
      <w:pPr>
        <w:pStyle w:val="FootnoteText"/>
      </w:pPr>
      <w:r>
        <w:rPr>
          <w:lang w:val="fr-FR"/>
        </w:rPr>
        <w:tab/>
      </w:r>
      <w:r w:rsidRPr="00FB3139">
        <w:rPr>
          <w:sz w:val="20"/>
          <w:lang w:val="fr-FR"/>
        </w:rPr>
        <w:t>*</w:t>
      </w:r>
      <w:r>
        <w:rPr>
          <w:lang w:val="fr-FR"/>
        </w:rPr>
        <w:tab/>
        <w:t>Le Plan-cadre mondial pour la sécurité routière étant pris comme référence.</w:t>
      </w:r>
    </w:p>
  </w:footnote>
  <w:footnote w:id="3">
    <w:p w14:paraId="26814C26" w14:textId="77777777" w:rsidR="00CA28A1" w:rsidRDefault="00CA28A1" w:rsidP="006960AA">
      <w:pPr>
        <w:pStyle w:val="FootnoteText"/>
      </w:pPr>
      <w:r>
        <w:rPr>
          <w:lang w:val="fr-FR"/>
        </w:rPr>
        <w:tab/>
      </w:r>
      <w:r>
        <w:rPr>
          <w:rStyle w:val="FootnoteReference"/>
          <w:lang w:val="fr-FR"/>
        </w:rPr>
        <w:footnoteRef/>
      </w:r>
      <w:r>
        <w:rPr>
          <w:lang w:val="fr-FR"/>
        </w:rPr>
        <w:tab/>
        <w:t>Outil de modélisation des futurs systèmes sûrs de transport intérieur (SafeFITS) : Analyse réalisée au moyen de l</w:t>
      </w:r>
      <w:r w:rsidR="00C70A97">
        <w:rPr>
          <w:lang w:val="fr-FR"/>
        </w:rPr>
        <w:t>’</w:t>
      </w:r>
      <w:r>
        <w:rPr>
          <w:lang w:val="fr-FR"/>
        </w:rPr>
        <w:t>application SafeFITS, en fonction de la disponibilité des indicateurs.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B4C7" w14:textId="573DEED5" w:rsidR="00CA28A1" w:rsidRPr="001D1F65" w:rsidRDefault="00A23EF3">
    <w:pPr>
      <w:pStyle w:val="Header"/>
    </w:pPr>
    <w:r>
      <w:fldChar w:fldCharType="begin"/>
    </w:r>
    <w:r>
      <w:instrText xml:space="preserve"> TITLE  \* ME</w:instrText>
    </w:r>
    <w:r>
      <w:instrText xml:space="preserve">RGEFORMAT </w:instrText>
    </w:r>
    <w:r>
      <w:fldChar w:fldCharType="separate"/>
    </w:r>
    <w:r w:rsidR="00FC55F0">
      <w:t>ECE/TRANS/2020/10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EBFB" w14:textId="68D8B16E" w:rsidR="00CA28A1" w:rsidRPr="001D1F65" w:rsidRDefault="00A23EF3" w:rsidP="001D1F65">
    <w:pPr>
      <w:pStyle w:val="Header"/>
      <w:jc w:val="right"/>
    </w:pPr>
    <w:r>
      <w:fldChar w:fldCharType="begin"/>
    </w:r>
    <w:r>
      <w:instrText xml:space="preserve"> TITLE  \* MERGEFORMAT </w:instrText>
    </w:r>
    <w:r>
      <w:fldChar w:fldCharType="separate"/>
    </w:r>
    <w:r w:rsidR="00FC55F0">
      <w:t>ECE/TRANS/2020/10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598B"/>
    <w:rsid w:val="00017F94"/>
    <w:rsid w:val="00023842"/>
    <w:rsid w:val="000334F9"/>
    <w:rsid w:val="00045FEB"/>
    <w:rsid w:val="0007796D"/>
    <w:rsid w:val="000B7790"/>
    <w:rsid w:val="00101FAB"/>
    <w:rsid w:val="00111F2F"/>
    <w:rsid w:val="0014365E"/>
    <w:rsid w:val="00143C66"/>
    <w:rsid w:val="00176178"/>
    <w:rsid w:val="0018598B"/>
    <w:rsid w:val="001D1F65"/>
    <w:rsid w:val="001F525A"/>
    <w:rsid w:val="00223272"/>
    <w:rsid w:val="0024779E"/>
    <w:rsid w:val="00257168"/>
    <w:rsid w:val="00263C3B"/>
    <w:rsid w:val="002744B8"/>
    <w:rsid w:val="002832AC"/>
    <w:rsid w:val="002D7C93"/>
    <w:rsid w:val="00305801"/>
    <w:rsid w:val="003916DE"/>
    <w:rsid w:val="003B6157"/>
    <w:rsid w:val="003B70F1"/>
    <w:rsid w:val="00421996"/>
    <w:rsid w:val="00441C3B"/>
    <w:rsid w:val="00446FE5"/>
    <w:rsid w:val="00452396"/>
    <w:rsid w:val="0046032E"/>
    <w:rsid w:val="004837D8"/>
    <w:rsid w:val="004C4631"/>
    <w:rsid w:val="004E2EED"/>
    <w:rsid w:val="004E468C"/>
    <w:rsid w:val="00534987"/>
    <w:rsid w:val="005505B7"/>
    <w:rsid w:val="00573BE5"/>
    <w:rsid w:val="00586ED3"/>
    <w:rsid w:val="00596AA9"/>
    <w:rsid w:val="005C0067"/>
    <w:rsid w:val="00670DA3"/>
    <w:rsid w:val="006960AA"/>
    <w:rsid w:val="006C5C68"/>
    <w:rsid w:val="0071601D"/>
    <w:rsid w:val="00792FA3"/>
    <w:rsid w:val="007A62E6"/>
    <w:rsid w:val="007F20FA"/>
    <w:rsid w:val="007F76EB"/>
    <w:rsid w:val="0080684C"/>
    <w:rsid w:val="00817393"/>
    <w:rsid w:val="00827302"/>
    <w:rsid w:val="00871C75"/>
    <w:rsid w:val="008776DC"/>
    <w:rsid w:val="009446C0"/>
    <w:rsid w:val="009705C8"/>
    <w:rsid w:val="009C1CF4"/>
    <w:rsid w:val="009F6B74"/>
    <w:rsid w:val="00A23EF3"/>
    <w:rsid w:val="00A3029F"/>
    <w:rsid w:val="00A30353"/>
    <w:rsid w:val="00A8534E"/>
    <w:rsid w:val="00AC3823"/>
    <w:rsid w:val="00AE323C"/>
    <w:rsid w:val="00AF0CB5"/>
    <w:rsid w:val="00B00181"/>
    <w:rsid w:val="00B00B0D"/>
    <w:rsid w:val="00B37CF9"/>
    <w:rsid w:val="00B45F2E"/>
    <w:rsid w:val="00B765F7"/>
    <w:rsid w:val="00BA0CA9"/>
    <w:rsid w:val="00BD63D3"/>
    <w:rsid w:val="00C02897"/>
    <w:rsid w:val="00C2265B"/>
    <w:rsid w:val="00C708F0"/>
    <w:rsid w:val="00C70A97"/>
    <w:rsid w:val="00C97039"/>
    <w:rsid w:val="00CA28A1"/>
    <w:rsid w:val="00D3439C"/>
    <w:rsid w:val="00DB1831"/>
    <w:rsid w:val="00DD3BFD"/>
    <w:rsid w:val="00DF6678"/>
    <w:rsid w:val="00E0299A"/>
    <w:rsid w:val="00E73633"/>
    <w:rsid w:val="00E826F4"/>
    <w:rsid w:val="00E85C74"/>
    <w:rsid w:val="00EA6547"/>
    <w:rsid w:val="00EF2E22"/>
    <w:rsid w:val="00F2390B"/>
    <w:rsid w:val="00F35BAF"/>
    <w:rsid w:val="00F660DF"/>
    <w:rsid w:val="00F94664"/>
    <w:rsid w:val="00F9573C"/>
    <w:rsid w:val="00F95C08"/>
    <w:rsid w:val="00FB3139"/>
    <w:rsid w:val="00FC55F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1EEA9"/>
  <w15:docId w15:val="{CDFE2715-D732-4793-8FE1-897882A9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2038</Words>
  <Characters>11622</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ECE/TRANS/2020/10</vt:lpstr>
      <vt:lpstr>ECE/TRANS/2020/10</vt:lpstr>
    </vt:vector>
  </TitlesOfParts>
  <Company>DCM</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ECE/TRANS/2020/10</dc:title>
  <dc:subject/>
  <dc:creator>Maud DARICHE</dc:creator>
  <cp:keywords/>
  <cp:lastModifiedBy>Anastasia Barinova</cp:lastModifiedBy>
  <cp:revision>2</cp:revision>
  <cp:lastPrinted>2020-01-06T12:57:00Z</cp:lastPrinted>
  <dcterms:created xsi:type="dcterms:W3CDTF">2020-01-10T15:24:00Z</dcterms:created>
  <dcterms:modified xsi:type="dcterms:W3CDTF">2020-01-10T15:24:00Z</dcterms:modified>
</cp:coreProperties>
</file>