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22AAA" w14:textId="77777777" w:rsidR="0024262E" w:rsidRPr="0024262E" w:rsidRDefault="0024262E" w:rsidP="0024262E">
      <w:pPr>
        <w:rPr>
          <w:lang w:val="en-US"/>
        </w:rPr>
      </w:pPr>
      <w:bookmarkStart w:id="0" w:name="_GoBack"/>
      <w:bookmarkEnd w:id="0"/>
    </w:p>
    <w:p w14:paraId="67ABA8B4" w14:textId="77777777" w:rsidR="0024262E" w:rsidRPr="0024262E" w:rsidRDefault="0024262E" w:rsidP="0024262E">
      <w:pPr>
        <w:rPr>
          <w:lang w:val="en-US"/>
        </w:rPr>
      </w:pPr>
    </w:p>
    <w:p w14:paraId="3F73DF47" w14:textId="3C0F623A" w:rsidR="0024262E" w:rsidRPr="0024262E" w:rsidRDefault="0024262E" w:rsidP="0024262E">
      <w:pPr>
        <w:spacing w:line="240" w:lineRule="auto"/>
        <w:ind w:left="5387" w:right="-286"/>
        <w:outlineLvl w:val="0"/>
        <w:rPr>
          <w:rFonts w:ascii="Arial" w:eastAsia="Arial" w:hAnsi="Arial" w:cs="Arial"/>
          <w:bCs/>
          <w:szCs w:val="24"/>
          <w:lang w:val="en-US" w:eastAsia="de-DE"/>
        </w:rPr>
      </w:pPr>
      <w:r w:rsidRPr="00AD6C7D">
        <w:rPr>
          <w:noProof/>
          <w:lang w:val="de-DE" w:eastAsia="de-DE"/>
        </w:rPr>
        <w:drawing>
          <wp:anchor distT="0" distB="0" distL="114300" distR="114300" simplePos="0" relativeHeight="251659264" behindDoc="0" locked="0" layoutInCell="1" allowOverlap="1" wp14:anchorId="3B7E1312" wp14:editId="6EAE7F97">
            <wp:simplePos x="0" y="0"/>
            <wp:positionH relativeFrom="column">
              <wp:posOffset>0</wp:posOffset>
            </wp:positionH>
            <wp:positionV relativeFrom="paragraph">
              <wp:posOffset>-68580</wp:posOffset>
            </wp:positionV>
            <wp:extent cx="1713865" cy="604520"/>
            <wp:effectExtent l="0" t="0" r="63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Pr="0024262E">
        <w:rPr>
          <w:rFonts w:ascii="Arial" w:eastAsia="Arial" w:hAnsi="Arial" w:cs="Arial"/>
          <w:bCs/>
          <w:szCs w:val="24"/>
          <w:lang w:val="en-US" w:eastAsia="de-DE"/>
        </w:rPr>
        <w:t>CCNR-ZKR/ADN/WP.15/AC.2/7</w:t>
      </w:r>
      <w:r>
        <w:rPr>
          <w:rFonts w:ascii="Arial" w:eastAsia="Arial" w:hAnsi="Arial" w:cs="Arial"/>
          <w:bCs/>
          <w:szCs w:val="24"/>
          <w:lang w:val="en-US" w:eastAsia="de-DE"/>
        </w:rPr>
        <w:t>4</w:t>
      </w:r>
    </w:p>
    <w:p w14:paraId="5B49711F" w14:textId="77777777" w:rsidR="0024262E" w:rsidRPr="00AD6C7D" w:rsidRDefault="0024262E" w:rsidP="0024262E">
      <w:pPr>
        <w:spacing w:line="240" w:lineRule="auto"/>
        <w:ind w:left="5387" w:right="-286"/>
        <w:outlineLvl w:val="0"/>
        <w:rPr>
          <w:rFonts w:ascii="Arial" w:hAnsi="Arial" w:cs="Arial"/>
          <w:sz w:val="16"/>
          <w:szCs w:val="24"/>
          <w:lang w:val="de-DE" w:eastAsia="de-DE"/>
        </w:rPr>
      </w:pPr>
      <w:r w:rsidRPr="00AD6C7D">
        <w:rPr>
          <w:rFonts w:ascii="Arial" w:hAnsi="Arial" w:cs="Arial"/>
          <w:sz w:val="16"/>
          <w:szCs w:val="24"/>
          <w:lang w:val="de-DE" w:eastAsia="de-DE"/>
        </w:rPr>
        <w:t>Allgemeine Verteilung</w:t>
      </w:r>
    </w:p>
    <w:p w14:paraId="2B85934C" w14:textId="0E154035" w:rsidR="0024262E" w:rsidRPr="00AD6C7D" w:rsidRDefault="0024262E" w:rsidP="0024262E">
      <w:pPr>
        <w:tabs>
          <w:tab w:val="right" w:pos="3856"/>
          <w:tab w:val="left" w:pos="5670"/>
        </w:tabs>
        <w:spacing w:line="240" w:lineRule="auto"/>
        <w:ind w:left="5387"/>
        <w:rPr>
          <w:rFonts w:ascii="Arial" w:eastAsia="Arial" w:hAnsi="Arial" w:cs="Arial"/>
          <w:szCs w:val="24"/>
          <w:lang w:val="de-DE" w:eastAsia="de-DE"/>
        </w:rPr>
      </w:pPr>
      <w:r w:rsidRPr="00AD6C7D">
        <w:rPr>
          <w:rFonts w:ascii="Arial" w:eastAsia="Arial" w:hAnsi="Arial" w:cs="Arial"/>
          <w:szCs w:val="24"/>
          <w:lang w:val="de-DE" w:eastAsia="de-DE"/>
        </w:rPr>
        <w:t>1</w:t>
      </w:r>
      <w:r>
        <w:rPr>
          <w:rFonts w:ascii="Arial" w:eastAsia="Arial" w:hAnsi="Arial" w:cs="Arial"/>
          <w:szCs w:val="24"/>
          <w:lang w:val="de-DE" w:eastAsia="de-DE"/>
        </w:rPr>
        <w:t>3</w:t>
      </w:r>
      <w:r w:rsidRPr="00AD6C7D">
        <w:rPr>
          <w:rFonts w:ascii="Arial" w:eastAsia="Arial" w:hAnsi="Arial" w:cs="Arial"/>
          <w:szCs w:val="24"/>
          <w:lang w:val="de-DE" w:eastAsia="de-DE"/>
        </w:rPr>
        <w:t xml:space="preserve">. </w:t>
      </w:r>
      <w:r>
        <w:rPr>
          <w:rFonts w:ascii="Arial" w:eastAsia="Arial" w:hAnsi="Arial" w:cs="Arial"/>
          <w:szCs w:val="24"/>
          <w:lang w:val="de-DE" w:eastAsia="de-DE"/>
        </w:rPr>
        <w:t>Februar</w:t>
      </w:r>
      <w:r w:rsidRPr="00AD6C7D">
        <w:rPr>
          <w:rFonts w:ascii="Arial" w:eastAsia="Arial" w:hAnsi="Arial" w:cs="Arial"/>
          <w:szCs w:val="24"/>
          <w:lang w:val="de-DE" w:eastAsia="de-DE"/>
        </w:rPr>
        <w:t xml:space="preserve"> 20</w:t>
      </w:r>
      <w:r>
        <w:rPr>
          <w:rFonts w:ascii="Arial" w:eastAsia="Arial" w:hAnsi="Arial" w:cs="Arial"/>
          <w:szCs w:val="24"/>
          <w:lang w:val="de-DE" w:eastAsia="de-DE"/>
        </w:rPr>
        <w:t>20</w:t>
      </w:r>
    </w:p>
    <w:p w14:paraId="3E7086B4" w14:textId="77777777" w:rsidR="0024262E" w:rsidRPr="00AD6C7D" w:rsidRDefault="0024262E" w:rsidP="0024262E">
      <w:pPr>
        <w:tabs>
          <w:tab w:val="right" w:pos="3856"/>
          <w:tab w:val="left" w:pos="5670"/>
        </w:tabs>
        <w:spacing w:line="240" w:lineRule="auto"/>
        <w:ind w:left="5387" w:right="565"/>
        <w:rPr>
          <w:rFonts w:ascii="Arial" w:hAnsi="Arial" w:cs="Arial"/>
          <w:snapToGrid w:val="0"/>
          <w:kern w:val="2"/>
          <w:lang w:val="de-DE" w:eastAsia="de-DE"/>
        </w:rPr>
      </w:pPr>
      <w:proofErr w:type="spellStart"/>
      <w:r w:rsidRPr="00AD6C7D">
        <w:rPr>
          <w:rFonts w:ascii="Arial" w:eastAsia="Arial" w:hAnsi="Arial" w:cs="Arial"/>
          <w:sz w:val="16"/>
          <w:szCs w:val="24"/>
          <w:lang w:val="de-DE" w:eastAsia="de-DE"/>
        </w:rPr>
        <w:t>Or</w:t>
      </w:r>
      <w:proofErr w:type="spellEnd"/>
      <w:r w:rsidRPr="00AD6C7D">
        <w:rPr>
          <w:rFonts w:ascii="Arial" w:eastAsia="Arial" w:hAnsi="Arial" w:cs="Arial"/>
          <w:sz w:val="16"/>
          <w:szCs w:val="24"/>
          <w:lang w:val="de-DE" w:eastAsia="de-DE"/>
        </w:rPr>
        <w:t>.  ENGLISCH</w:t>
      </w:r>
    </w:p>
    <w:p w14:paraId="7DEC74CA" w14:textId="77777777" w:rsidR="0024262E" w:rsidRPr="00AD6C7D" w:rsidRDefault="0024262E" w:rsidP="0024262E">
      <w:pPr>
        <w:spacing w:line="240" w:lineRule="auto"/>
        <w:rPr>
          <w:rFonts w:ascii="Arial" w:hAnsi="Arial" w:cs="Arial"/>
          <w:sz w:val="16"/>
          <w:szCs w:val="24"/>
          <w:lang w:val="de-DE" w:eastAsia="de-DE"/>
        </w:rPr>
      </w:pPr>
    </w:p>
    <w:p w14:paraId="73495B92" w14:textId="77777777" w:rsidR="0024262E" w:rsidRPr="00AD6C7D" w:rsidRDefault="0024262E" w:rsidP="0024262E">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AD6C7D">
        <w:rPr>
          <w:rFonts w:ascii="Arial" w:hAnsi="Arial" w:cs="Arial"/>
          <w:snapToGrid w:val="0"/>
          <w:sz w:val="16"/>
          <w:szCs w:val="16"/>
          <w:lang w:val="de-DE" w:eastAsia="fr-FR"/>
        </w:rPr>
        <w:t xml:space="preserve">GEMEINSAME EXPERTENTAGUNG FÜR DIE DEM ÜBEREINKOMMEN ÜBER DIE INTERNATIONALE BEFÖRDERUNG VON GEFÄHRLICHEN GÜTERN AUF </w:t>
      </w:r>
      <w:proofErr w:type="spellStart"/>
      <w:r w:rsidRPr="00AD6C7D">
        <w:rPr>
          <w:rFonts w:ascii="Arial" w:hAnsi="Arial" w:cs="Arial"/>
          <w:snapToGrid w:val="0"/>
          <w:sz w:val="16"/>
          <w:szCs w:val="16"/>
          <w:lang w:val="de-DE" w:eastAsia="fr-FR"/>
        </w:rPr>
        <w:t>BINNENWASSERSTRAßEN</w:t>
      </w:r>
      <w:proofErr w:type="spellEnd"/>
    </w:p>
    <w:p w14:paraId="604AE959" w14:textId="77777777" w:rsidR="0024262E" w:rsidRPr="00AD6C7D" w:rsidRDefault="0024262E" w:rsidP="0024262E">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AD6C7D">
        <w:rPr>
          <w:rFonts w:ascii="Arial" w:hAnsi="Arial" w:cs="Arial"/>
          <w:snapToGrid w:val="0"/>
          <w:sz w:val="16"/>
          <w:szCs w:val="16"/>
          <w:lang w:val="de-DE" w:eastAsia="fr-FR"/>
        </w:rPr>
        <w:t>(ADN) BEIGEFÜGTE VERORDNUNG</w:t>
      </w:r>
    </w:p>
    <w:p w14:paraId="34E6D82B" w14:textId="77777777" w:rsidR="0024262E" w:rsidRPr="00AD6C7D" w:rsidRDefault="0024262E" w:rsidP="0024262E">
      <w:pPr>
        <w:tabs>
          <w:tab w:val="left" w:pos="2977"/>
        </w:tabs>
        <w:spacing w:line="240" w:lineRule="auto"/>
        <w:ind w:left="4111" w:right="-2"/>
        <w:rPr>
          <w:rFonts w:ascii="Arial" w:hAnsi="Arial" w:cs="Arial"/>
          <w:snapToGrid w:val="0"/>
          <w:sz w:val="16"/>
          <w:szCs w:val="16"/>
          <w:lang w:val="de-DE" w:eastAsia="fr-FR"/>
        </w:rPr>
      </w:pPr>
      <w:r w:rsidRPr="00AD6C7D">
        <w:rPr>
          <w:rFonts w:ascii="Arial" w:hAnsi="Arial" w:cs="Arial"/>
          <w:snapToGrid w:val="0"/>
          <w:sz w:val="16"/>
          <w:szCs w:val="16"/>
          <w:lang w:val="de-DE" w:eastAsia="fr-FR"/>
        </w:rPr>
        <w:t>(SICHERHEITSAUSSCHUSS)</w:t>
      </w:r>
    </w:p>
    <w:p w14:paraId="16FFC57C" w14:textId="02135EF7" w:rsidR="0024262E" w:rsidRPr="00AD6C7D" w:rsidRDefault="0024262E" w:rsidP="0024262E">
      <w:pPr>
        <w:tabs>
          <w:tab w:val="left" w:pos="2977"/>
        </w:tabs>
        <w:spacing w:line="240" w:lineRule="auto"/>
        <w:ind w:left="4111" w:right="-2"/>
        <w:rPr>
          <w:rFonts w:ascii="Arial" w:hAnsi="Arial" w:cs="Arial"/>
          <w:snapToGrid w:val="0"/>
          <w:sz w:val="16"/>
          <w:szCs w:val="16"/>
          <w:lang w:val="de-DE" w:eastAsia="fr-FR"/>
        </w:rPr>
      </w:pPr>
      <w:r w:rsidRPr="00AD6C7D">
        <w:rPr>
          <w:rFonts w:ascii="Arial" w:hAnsi="Arial" w:cs="Arial"/>
          <w:snapToGrid w:val="0"/>
          <w:sz w:val="16"/>
          <w:szCs w:val="16"/>
          <w:lang w:val="de-DE" w:eastAsia="fr-FR"/>
        </w:rPr>
        <w:t>(3</w:t>
      </w:r>
      <w:r>
        <w:rPr>
          <w:rFonts w:ascii="Arial" w:hAnsi="Arial" w:cs="Arial"/>
          <w:snapToGrid w:val="0"/>
          <w:sz w:val="16"/>
          <w:szCs w:val="16"/>
          <w:lang w:val="de-DE" w:eastAsia="fr-FR"/>
        </w:rPr>
        <w:t>6</w:t>
      </w:r>
      <w:r w:rsidRPr="00AD6C7D">
        <w:rPr>
          <w:rFonts w:ascii="Arial" w:hAnsi="Arial" w:cs="Arial"/>
          <w:snapToGrid w:val="0"/>
          <w:sz w:val="16"/>
          <w:szCs w:val="16"/>
          <w:lang w:val="de-DE" w:eastAsia="fr-FR"/>
        </w:rPr>
        <w:t>. Tagung, Genf, 2</w:t>
      </w:r>
      <w:r>
        <w:rPr>
          <w:rFonts w:ascii="Arial" w:hAnsi="Arial" w:cs="Arial"/>
          <w:snapToGrid w:val="0"/>
          <w:sz w:val="16"/>
          <w:szCs w:val="16"/>
          <w:lang w:val="de-DE" w:eastAsia="fr-FR"/>
        </w:rPr>
        <w:t>7</w:t>
      </w:r>
      <w:r w:rsidRPr="00AD6C7D">
        <w:rPr>
          <w:rFonts w:ascii="Arial" w:hAnsi="Arial" w:cs="Arial"/>
          <w:snapToGrid w:val="0"/>
          <w:sz w:val="16"/>
          <w:szCs w:val="16"/>
          <w:lang w:val="de-DE" w:eastAsia="fr-FR"/>
        </w:rPr>
        <w:t>. bis 3</w:t>
      </w:r>
      <w:r>
        <w:rPr>
          <w:rFonts w:ascii="Arial" w:hAnsi="Arial" w:cs="Arial"/>
          <w:snapToGrid w:val="0"/>
          <w:sz w:val="16"/>
          <w:szCs w:val="16"/>
          <w:lang w:val="de-DE" w:eastAsia="fr-FR"/>
        </w:rPr>
        <w:t>1</w:t>
      </w:r>
      <w:r w:rsidRPr="00AD6C7D">
        <w:rPr>
          <w:rFonts w:ascii="Arial" w:hAnsi="Arial" w:cs="Arial"/>
          <w:snapToGrid w:val="0"/>
          <w:sz w:val="16"/>
          <w:szCs w:val="16"/>
          <w:lang w:val="de-DE" w:eastAsia="fr-FR"/>
        </w:rPr>
        <w:t xml:space="preserve">. </w:t>
      </w:r>
      <w:r>
        <w:rPr>
          <w:rFonts w:ascii="Arial" w:hAnsi="Arial" w:cs="Arial"/>
          <w:snapToGrid w:val="0"/>
          <w:sz w:val="16"/>
          <w:szCs w:val="16"/>
          <w:lang w:val="de-DE" w:eastAsia="fr-FR"/>
        </w:rPr>
        <w:t>Januar</w:t>
      </w:r>
      <w:r w:rsidRPr="00AD6C7D">
        <w:rPr>
          <w:rFonts w:ascii="Arial" w:hAnsi="Arial" w:cs="Arial"/>
          <w:snapToGrid w:val="0"/>
          <w:sz w:val="16"/>
          <w:szCs w:val="16"/>
          <w:lang w:val="de-DE" w:eastAsia="fr-FR"/>
        </w:rPr>
        <w:t xml:space="preserve"> 20</w:t>
      </w:r>
      <w:r>
        <w:rPr>
          <w:rFonts w:ascii="Arial" w:hAnsi="Arial" w:cs="Arial"/>
          <w:snapToGrid w:val="0"/>
          <w:sz w:val="16"/>
          <w:szCs w:val="16"/>
          <w:lang w:val="de-DE" w:eastAsia="fr-FR"/>
        </w:rPr>
        <w:t>20</w:t>
      </w:r>
      <w:r w:rsidRPr="00AD6C7D">
        <w:rPr>
          <w:rFonts w:ascii="Arial" w:hAnsi="Arial" w:cs="Arial"/>
          <w:snapToGrid w:val="0"/>
          <w:sz w:val="16"/>
          <w:szCs w:val="16"/>
          <w:lang w:val="de-DE" w:eastAsia="fr-FR"/>
        </w:rPr>
        <w:t>)</w:t>
      </w:r>
    </w:p>
    <w:p w14:paraId="6D47F40B" w14:textId="77777777" w:rsidR="0024262E" w:rsidRPr="00AD6C7D" w:rsidRDefault="0024262E" w:rsidP="0024262E">
      <w:pPr>
        <w:rPr>
          <w:lang w:val="de-DE"/>
        </w:rPr>
      </w:pPr>
    </w:p>
    <w:p w14:paraId="3A7E59BF" w14:textId="327211CD" w:rsidR="00304C40" w:rsidRPr="0024262E" w:rsidRDefault="00304C40" w:rsidP="00027AD8">
      <w:pPr>
        <w:pStyle w:val="HChG"/>
        <w:spacing w:before="300"/>
        <w:rPr>
          <w:lang w:val="de-DE"/>
        </w:rPr>
      </w:pPr>
      <w:r w:rsidRPr="00CE6D3E">
        <w:tab/>
      </w:r>
      <w:r w:rsidRPr="00CE6D3E">
        <w:tab/>
      </w:r>
      <w:r w:rsidR="00027AD8" w:rsidRPr="00027AD8">
        <w:rPr>
          <w:lang w:val="de-DE"/>
        </w:rPr>
        <w:t>Protokoll über die sechsunddreißigste Sitzung der Gemeinsamen Expertentagung für die dem Europäischen Übereinkommen über die internationale Beförderung von gefährlichen Gütern auf Binnenwasserstraßen beigefügte Verordnung (ADN-Sicherheitsausschuss)</w:t>
      </w:r>
      <w:r w:rsidR="00027AD8" w:rsidRPr="00027AD8">
        <w:rPr>
          <w:rStyle w:val="Appelnotedebasdep"/>
          <w:sz w:val="28"/>
          <w:szCs w:val="28"/>
          <w:lang w:val="de-DE"/>
        </w:rPr>
        <w:t xml:space="preserve"> </w:t>
      </w:r>
      <w:r w:rsidR="00027AD8" w:rsidRPr="00027AD8">
        <w:rPr>
          <w:rStyle w:val="Appelnotedebasdep"/>
          <w:sz w:val="28"/>
          <w:szCs w:val="28"/>
          <w:lang w:val="de-DE"/>
        </w:rPr>
        <w:footnoteReference w:customMarkFollows="1" w:id="1"/>
        <w:sym w:font="Symbol" w:char="F02A"/>
      </w:r>
    </w:p>
    <w:p w14:paraId="1C45C084" w14:textId="231CB5B1" w:rsidR="00304C40" w:rsidRPr="0024262E" w:rsidRDefault="00304C40" w:rsidP="00027AD8">
      <w:pPr>
        <w:pStyle w:val="HChG"/>
        <w:spacing w:before="120" w:after="0"/>
        <w:rPr>
          <w:lang w:val="de-DE"/>
        </w:rPr>
      </w:pPr>
      <w:r w:rsidRPr="0024262E">
        <w:rPr>
          <w:lang w:val="de-DE"/>
        </w:rPr>
        <w:br w:type="page"/>
      </w:r>
      <w:r w:rsidR="00027AD8" w:rsidRPr="00027AD8">
        <w:rPr>
          <w:lang w:val="de-DE"/>
        </w:rPr>
        <w:lastRenderedPageBreak/>
        <w:t>Inhalt</w:t>
      </w:r>
    </w:p>
    <w:p w14:paraId="07A50501" w14:textId="0D377D5E" w:rsidR="009C1F4F" w:rsidRPr="0024262E" w:rsidRDefault="00304C40" w:rsidP="00027AD8">
      <w:pPr>
        <w:tabs>
          <w:tab w:val="right" w:pos="8929"/>
          <w:tab w:val="right" w:pos="9638"/>
        </w:tabs>
        <w:spacing w:after="120"/>
        <w:ind w:left="284"/>
        <w:rPr>
          <w:i/>
          <w:sz w:val="18"/>
          <w:lang w:val="de-DE"/>
        </w:rPr>
      </w:pPr>
      <w:r w:rsidRPr="0024262E">
        <w:rPr>
          <w:i/>
          <w:sz w:val="18"/>
          <w:lang w:val="de-DE"/>
        </w:rPr>
        <w:tab/>
      </w:r>
      <w:r w:rsidR="00027AD8" w:rsidRPr="00027AD8">
        <w:rPr>
          <w:i/>
          <w:sz w:val="18"/>
          <w:lang w:val="de-DE"/>
        </w:rPr>
        <w:t>Absätze</w:t>
      </w:r>
      <w:r w:rsidRPr="0024262E">
        <w:rPr>
          <w:i/>
          <w:sz w:val="18"/>
          <w:lang w:val="de-DE"/>
        </w:rPr>
        <w:tab/>
      </w:r>
      <w:r w:rsidR="00027AD8" w:rsidRPr="00027AD8">
        <w:rPr>
          <w:i/>
          <w:sz w:val="18"/>
          <w:lang w:val="de-DE"/>
        </w:rPr>
        <w:t>Seite</w:t>
      </w:r>
    </w:p>
    <w:p w14:paraId="30A18720" w14:textId="77777777" w:rsidR="00251B6A" w:rsidRPr="0024262E" w:rsidRDefault="00251B6A" w:rsidP="00251B6A">
      <w:pPr>
        <w:tabs>
          <w:tab w:val="right" w:pos="8929"/>
          <w:tab w:val="right" w:pos="9638"/>
        </w:tabs>
        <w:spacing w:after="120"/>
        <w:ind w:left="284"/>
        <w:rPr>
          <w:i/>
          <w:sz w:val="18"/>
          <w:lang w:val="de-DE"/>
        </w:rPr>
      </w:pPr>
      <w:r w:rsidRPr="0024262E">
        <w:rPr>
          <w:i/>
          <w:sz w:val="18"/>
          <w:lang w:val="de-DE"/>
        </w:rPr>
        <w:tab/>
      </w:r>
      <w:r w:rsidRPr="00027AD8">
        <w:rPr>
          <w:i/>
          <w:sz w:val="18"/>
          <w:lang w:val="de-DE"/>
        </w:rPr>
        <w:t>Absätze</w:t>
      </w:r>
      <w:r w:rsidRPr="0024262E">
        <w:rPr>
          <w:i/>
          <w:sz w:val="18"/>
          <w:lang w:val="de-DE"/>
        </w:rPr>
        <w:tab/>
      </w:r>
      <w:r w:rsidRPr="00027AD8">
        <w:rPr>
          <w:i/>
          <w:sz w:val="18"/>
          <w:lang w:val="de-DE"/>
        </w:rPr>
        <w:t>Seite</w:t>
      </w:r>
    </w:p>
    <w:p w14:paraId="3FC9B170"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027AD8">
        <w:rPr>
          <w:rStyle w:val="Lienhypertexte"/>
          <w:color w:val="auto"/>
          <w:u w:val="none"/>
          <w:lang w:val="de-DE"/>
        </w:rPr>
        <w:t>I.</w:t>
      </w:r>
      <w:r w:rsidRPr="0024262E">
        <w:rPr>
          <w:rStyle w:val="Lienhypertexte"/>
          <w:noProof/>
          <w:color w:val="auto"/>
          <w:u w:val="none"/>
          <w:lang w:val="de-DE"/>
        </w:rPr>
        <w:tab/>
      </w:r>
      <w:r w:rsidRPr="00027AD8">
        <w:rPr>
          <w:rStyle w:val="Lienhypertexte"/>
          <w:color w:val="auto"/>
          <w:u w:val="none"/>
          <w:lang w:val="de-DE"/>
        </w:rPr>
        <w:t>Teilnehmer</w:t>
      </w:r>
      <w:r w:rsidRPr="0024262E">
        <w:rPr>
          <w:rStyle w:val="Lienhypertexte"/>
          <w:noProof/>
          <w:webHidden/>
          <w:color w:val="auto"/>
          <w:u w:val="none"/>
          <w:lang w:val="de-DE"/>
        </w:rPr>
        <w:tab/>
      </w:r>
      <w:r w:rsidRPr="0024262E">
        <w:rPr>
          <w:rStyle w:val="Lienhypertexte"/>
          <w:noProof/>
          <w:webHidden/>
          <w:color w:val="auto"/>
          <w:u w:val="none"/>
          <w:lang w:val="de-DE"/>
        </w:rPr>
        <w:tab/>
        <w:t>1-4</w:t>
      </w:r>
      <w:r w:rsidRPr="0024262E">
        <w:rPr>
          <w:rStyle w:val="Lienhypertexte"/>
          <w:noProof/>
          <w:webHidden/>
          <w:color w:val="auto"/>
          <w:u w:val="none"/>
          <w:lang w:val="de-DE"/>
        </w:rPr>
        <w:tab/>
        <w:t>4</w:t>
      </w:r>
    </w:p>
    <w:p w14:paraId="37A8F539"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027AD8">
        <w:rPr>
          <w:rStyle w:val="Lienhypertexte"/>
          <w:color w:val="auto"/>
          <w:u w:val="none"/>
          <w:lang w:val="de-DE"/>
        </w:rPr>
        <w:t>II.</w:t>
      </w:r>
      <w:r w:rsidRPr="0024262E">
        <w:rPr>
          <w:rStyle w:val="Lienhypertexte"/>
          <w:noProof/>
          <w:color w:val="auto"/>
          <w:u w:val="none"/>
          <w:lang w:val="de-DE"/>
        </w:rPr>
        <w:tab/>
      </w:r>
      <w:r w:rsidRPr="00027AD8">
        <w:rPr>
          <w:rStyle w:val="Lienhypertexte"/>
          <w:color w:val="auto"/>
          <w:u w:val="none"/>
          <w:lang w:val="de-DE"/>
        </w:rPr>
        <w:t>Genehmigung der Tagesordnung (TOP 1)</w:t>
      </w:r>
      <w:r w:rsidRPr="0024262E">
        <w:rPr>
          <w:rStyle w:val="Lienhypertexte"/>
          <w:noProof/>
          <w:webHidden/>
          <w:color w:val="auto"/>
          <w:u w:val="none"/>
          <w:lang w:val="de-DE"/>
        </w:rPr>
        <w:tab/>
      </w:r>
      <w:r w:rsidRPr="0024262E">
        <w:rPr>
          <w:rStyle w:val="Lienhypertexte"/>
          <w:noProof/>
          <w:webHidden/>
          <w:color w:val="auto"/>
          <w:u w:val="none"/>
          <w:lang w:val="de-DE"/>
        </w:rPr>
        <w:tab/>
        <w:t>5</w:t>
      </w:r>
      <w:r w:rsidRPr="0024262E">
        <w:rPr>
          <w:rStyle w:val="Lienhypertexte"/>
          <w:noProof/>
          <w:webHidden/>
          <w:color w:val="auto"/>
          <w:u w:val="none"/>
          <w:lang w:val="de-DE"/>
        </w:rPr>
        <w:tab/>
        <w:t>4</w:t>
      </w:r>
    </w:p>
    <w:p w14:paraId="67D455E2"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027AD8">
        <w:rPr>
          <w:rStyle w:val="Lienhypertexte"/>
          <w:color w:val="auto"/>
          <w:u w:val="none"/>
          <w:lang w:val="de-DE"/>
        </w:rPr>
        <w:t>III.</w:t>
      </w:r>
      <w:r w:rsidRPr="0024262E">
        <w:rPr>
          <w:rStyle w:val="Lienhypertexte"/>
          <w:noProof/>
          <w:color w:val="auto"/>
          <w:u w:val="none"/>
          <w:lang w:val="de-DE"/>
        </w:rPr>
        <w:tab/>
      </w:r>
      <w:r w:rsidRPr="00027AD8">
        <w:rPr>
          <w:rStyle w:val="Lienhypertexte"/>
          <w:color w:val="auto"/>
          <w:u w:val="none"/>
          <w:lang w:val="de-DE"/>
        </w:rPr>
        <w:t>Wahl des Büros für 2020 (TOP 2)</w:t>
      </w:r>
      <w:r w:rsidRPr="0024262E">
        <w:rPr>
          <w:rStyle w:val="Lienhypertexte"/>
          <w:noProof/>
          <w:webHidden/>
          <w:color w:val="auto"/>
          <w:u w:val="none"/>
          <w:lang w:val="de-DE"/>
        </w:rPr>
        <w:tab/>
      </w:r>
      <w:r w:rsidRPr="0024262E">
        <w:rPr>
          <w:rStyle w:val="Lienhypertexte"/>
          <w:noProof/>
          <w:webHidden/>
          <w:color w:val="auto"/>
          <w:u w:val="none"/>
          <w:lang w:val="de-DE"/>
        </w:rPr>
        <w:tab/>
        <w:t>6</w:t>
      </w:r>
      <w:r w:rsidRPr="0024262E">
        <w:rPr>
          <w:rStyle w:val="Lienhypertexte"/>
          <w:noProof/>
          <w:webHidden/>
          <w:color w:val="auto"/>
          <w:u w:val="none"/>
          <w:lang w:val="de-DE"/>
        </w:rPr>
        <w:tab/>
        <w:t>4</w:t>
      </w:r>
    </w:p>
    <w:p w14:paraId="57EFB88F"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027AD8">
        <w:rPr>
          <w:rStyle w:val="Lienhypertexte"/>
          <w:color w:val="auto"/>
          <w:u w:val="none"/>
          <w:lang w:val="de-DE"/>
        </w:rPr>
        <w:t>IV.</w:t>
      </w:r>
      <w:r w:rsidRPr="0024262E">
        <w:rPr>
          <w:rStyle w:val="Lienhypertexte"/>
          <w:noProof/>
          <w:color w:val="auto"/>
          <w:u w:val="none"/>
          <w:lang w:val="de-DE"/>
        </w:rPr>
        <w:tab/>
      </w:r>
      <w:r w:rsidRPr="00027AD8">
        <w:rPr>
          <w:rStyle w:val="Lienhypertexte"/>
          <w:color w:val="auto"/>
          <w:u w:val="none"/>
          <w:lang w:val="de-DE"/>
        </w:rPr>
        <w:t>Fragen im Zusammenhang mit den Arbeiten der Organe der Vereinten Nationen oder anderer Organisationen (TOP 3)</w:t>
      </w:r>
      <w:r w:rsidRPr="0024262E">
        <w:rPr>
          <w:rStyle w:val="Lienhypertexte"/>
          <w:noProof/>
          <w:webHidden/>
          <w:color w:val="auto"/>
          <w:u w:val="none"/>
          <w:lang w:val="de-DE"/>
        </w:rPr>
        <w:tab/>
      </w:r>
      <w:r w:rsidRPr="0024262E">
        <w:rPr>
          <w:rStyle w:val="Lienhypertexte"/>
          <w:noProof/>
          <w:webHidden/>
          <w:color w:val="auto"/>
          <w:u w:val="none"/>
          <w:lang w:val="de-DE"/>
        </w:rPr>
        <w:tab/>
        <w:t>7-13</w:t>
      </w:r>
      <w:r w:rsidRPr="0024262E">
        <w:rPr>
          <w:rStyle w:val="Lienhypertexte"/>
          <w:noProof/>
          <w:webHidden/>
          <w:color w:val="auto"/>
          <w:u w:val="none"/>
          <w:lang w:val="de-DE"/>
        </w:rPr>
        <w:tab/>
        <w:t>4</w:t>
      </w:r>
    </w:p>
    <w:p w14:paraId="228830A6"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027AD8">
        <w:rPr>
          <w:rStyle w:val="Lienhypertexte"/>
          <w:color w:val="auto"/>
          <w:u w:val="none"/>
          <w:lang w:val="de-DE"/>
        </w:rPr>
        <w:t>A.</w:t>
      </w:r>
      <w:r w:rsidRPr="0024262E">
        <w:rPr>
          <w:rStyle w:val="Lienhypertexte"/>
          <w:noProof/>
          <w:color w:val="auto"/>
          <w:u w:val="none"/>
          <w:lang w:val="de-DE"/>
        </w:rPr>
        <w:tab/>
      </w:r>
      <w:r w:rsidRPr="00027AD8">
        <w:rPr>
          <w:rStyle w:val="Lienhypertexte"/>
          <w:color w:val="auto"/>
          <w:u w:val="none"/>
          <w:lang w:val="de-DE"/>
        </w:rPr>
        <w:t>Information des Sekretariats der Donaukommission</w:t>
      </w:r>
      <w:r w:rsidRPr="0024262E">
        <w:rPr>
          <w:rStyle w:val="Lienhypertexte"/>
          <w:noProof/>
          <w:webHidden/>
          <w:color w:val="auto"/>
          <w:u w:val="none"/>
          <w:lang w:val="de-DE"/>
        </w:rPr>
        <w:tab/>
      </w:r>
      <w:r w:rsidRPr="0024262E">
        <w:rPr>
          <w:rStyle w:val="Lienhypertexte"/>
          <w:noProof/>
          <w:webHidden/>
          <w:color w:val="auto"/>
          <w:u w:val="none"/>
          <w:lang w:val="de-DE"/>
        </w:rPr>
        <w:tab/>
        <w:t>8-9</w:t>
      </w:r>
      <w:r w:rsidRPr="0024262E">
        <w:rPr>
          <w:rStyle w:val="Lienhypertexte"/>
          <w:noProof/>
          <w:webHidden/>
          <w:color w:val="auto"/>
          <w:u w:val="none"/>
          <w:lang w:val="de-DE"/>
        </w:rPr>
        <w:tab/>
      </w:r>
      <w:r>
        <w:rPr>
          <w:rStyle w:val="Lienhypertexte"/>
          <w:noProof/>
          <w:webHidden/>
          <w:color w:val="auto"/>
          <w:u w:val="none"/>
          <w:lang w:val="de-DE"/>
        </w:rPr>
        <w:t>5</w:t>
      </w:r>
    </w:p>
    <w:p w14:paraId="5DBF1CF4"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559" w:hanging="1559"/>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027AD8">
        <w:rPr>
          <w:rStyle w:val="Lienhypertexte"/>
          <w:color w:val="auto"/>
          <w:u w:val="none"/>
          <w:lang w:val="de-DE"/>
        </w:rPr>
        <w:t>B.</w:t>
      </w:r>
      <w:r w:rsidRPr="0024262E">
        <w:rPr>
          <w:rStyle w:val="Lienhypertexte"/>
          <w:noProof/>
          <w:color w:val="auto"/>
          <w:u w:val="none"/>
          <w:lang w:val="de-DE"/>
        </w:rPr>
        <w:tab/>
      </w:r>
      <w:r w:rsidRPr="00027AD8">
        <w:rPr>
          <w:rStyle w:val="Lienhypertexte"/>
          <w:color w:val="auto"/>
          <w:u w:val="none"/>
          <w:lang w:val="de-DE"/>
        </w:rPr>
        <w:t>Informationen zu besonderen Anforderungen an elektrische Antriebssysteme im ES-TRIN</w:t>
      </w:r>
      <w:r w:rsidRPr="0024262E">
        <w:rPr>
          <w:rStyle w:val="Lienhypertexte"/>
          <w:noProof/>
          <w:webHidden/>
          <w:color w:val="auto"/>
          <w:u w:val="none"/>
          <w:lang w:val="de-DE"/>
        </w:rPr>
        <w:tab/>
      </w:r>
      <w:r w:rsidRPr="0024262E">
        <w:rPr>
          <w:rStyle w:val="Lienhypertexte"/>
          <w:noProof/>
          <w:webHidden/>
          <w:color w:val="auto"/>
          <w:u w:val="none"/>
          <w:lang w:val="de-DE"/>
        </w:rPr>
        <w:tab/>
        <w:t>10-12</w:t>
      </w:r>
      <w:r w:rsidRPr="0024262E">
        <w:rPr>
          <w:rStyle w:val="Lienhypertexte"/>
          <w:noProof/>
          <w:webHidden/>
          <w:color w:val="auto"/>
          <w:u w:val="none"/>
          <w:lang w:val="de-DE"/>
        </w:rPr>
        <w:tab/>
        <w:t>5</w:t>
      </w:r>
    </w:p>
    <w:p w14:paraId="07C6B5E1"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559" w:hanging="1559"/>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027AD8">
        <w:rPr>
          <w:rStyle w:val="Lienhypertexte"/>
          <w:color w:val="auto"/>
          <w:u w:val="none"/>
          <w:lang w:val="de-DE"/>
        </w:rPr>
        <w:t>C.</w:t>
      </w:r>
      <w:r w:rsidRPr="0024262E">
        <w:rPr>
          <w:rStyle w:val="Lienhypertexte"/>
          <w:noProof/>
          <w:color w:val="auto"/>
          <w:u w:val="none"/>
          <w:lang w:val="de-DE"/>
        </w:rPr>
        <w:tab/>
      </w:r>
      <w:r w:rsidRPr="00027AD8">
        <w:rPr>
          <w:rStyle w:val="Lienhypertexte"/>
          <w:color w:val="auto"/>
          <w:u w:val="none"/>
          <w:lang w:val="de-DE"/>
        </w:rPr>
        <w:t>Informationen über Finanzierungsmöglichkeiten für die Ökologisierung der Beförderung gefährlicher Güter</w:t>
      </w:r>
      <w:r w:rsidRPr="0024262E">
        <w:rPr>
          <w:rStyle w:val="Lienhypertexte"/>
          <w:noProof/>
          <w:webHidden/>
          <w:color w:val="auto"/>
          <w:u w:val="none"/>
          <w:lang w:val="de-DE"/>
        </w:rPr>
        <w:tab/>
      </w:r>
      <w:r w:rsidRPr="0024262E">
        <w:rPr>
          <w:rStyle w:val="Lienhypertexte"/>
          <w:noProof/>
          <w:webHidden/>
          <w:color w:val="auto"/>
          <w:u w:val="none"/>
          <w:lang w:val="de-DE"/>
        </w:rPr>
        <w:tab/>
        <w:t>13</w:t>
      </w:r>
      <w:r w:rsidRPr="0024262E">
        <w:rPr>
          <w:rStyle w:val="Lienhypertexte"/>
          <w:noProof/>
          <w:webHidden/>
          <w:color w:val="auto"/>
          <w:u w:val="none"/>
          <w:lang w:val="de-DE"/>
        </w:rPr>
        <w:tab/>
        <w:t>5</w:t>
      </w:r>
    </w:p>
    <w:p w14:paraId="6D3C282A"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027AD8">
        <w:rPr>
          <w:rStyle w:val="Lienhypertexte"/>
          <w:color w:val="auto"/>
          <w:u w:val="none"/>
          <w:lang w:val="de-DE"/>
        </w:rPr>
        <w:t>V.</w:t>
      </w:r>
      <w:r w:rsidRPr="0024262E">
        <w:rPr>
          <w:rStyle w:val="Lienhypertexte"/>
          <w:noProof/>
          <w:color w:val="auto"/>
          <w:u w:val="none"/>
          <w:lang w:val="de-DE"/>
        </w:rPr>
        <w:tab/>
      </w:r>
      <w:r w:rsidRPr="00027AD8">
        <w:rPr>
          <w:rStyle w:val="Lienhypertexte"/>
          <w:color w:val="auto"/>
          <w:u w:val="none"/>
          <w:lang w:val="de-DE"/>
        </w:rPr>
        <w:t>Durchführung des Europäischen Übereinkommens über die internationale Beförderung</w:t>
      </w:r>
      <w:r w:rsidRPr="00027AD8">
        <w:rPr>
          <w:rStyle w:val="Lienhypertexte"/>
          <w:color w:val="auto"/>
          <w:u w:val="none"/>
          <w:lang w:val="de-DE"/>
        </w:rPr>
        <w:br/>
        <w:t>von gefährlichen Gütern auf Binnenwasserstraßen (ADN) (TOP 4)</w:t>
      </w:r>
      <w:r w:rsidRPr="0024262E">
        <w:rPr>
          <w:rStyle w:val="Lienhypertexte"/>
          <w:noProof/>
          <w:webHidden/>
          <w:color w:val="auto"/>
          <w:u w:val="none"/>
          <w:lang w:val="de-DE"/>
        </w:rPr>
        <w:tab/>
      </w:r>
      <w:r w:rsidRPr="0024262E">
        <w:rPr>
          <w:rStyle w:val="Lienhypertexte"/>
          <w:noProof/>
          <w:webHidden/>
          <w:color w:val="auto"/>
          <w:u w:val="none"/>
          <w:lang w:val="de-DE"/>
        </w:rPr>
        <w:tab/>
        <w:t>14-28</w:t>
      </w:r>
      <w:r w:rsidRPr="0024262E">
        <w:rPr>
          <w:rStyle w:val="Lienhypertexte"/>
          <w:noProof/>
          <w:webHidden/>
          <w:color w:val="auto"/>
          <w:u w:val="none"/>
          <w:lang w:val="de-DE"/>
        </w:rPr>
        <w:tab/>
      </w:r>
      <w:r>
        <w:rPr>
          <w:rStyle w:val="Lienhypertexte"/>
          <w:noProof/>
          <w:webHidden/>
          <w:color w:val="auto"/>
          <w:u w:val="none"/>
          <w:lang w:val="de-DE"/>
        </w:rPr>
        <w:t>6</w:t>
      </w:r>
    </w:p>
    <w:p w14:paraId="37DDD2A3"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027AD8">
        <w:rPr>
          <w:rStyle w:val="Lienhypertexte"/>
          <w:color w:val="auto"/>
          <w:u w:val="none"/>
          <w:lang w:val="de-DE"/>
        </w:rPr>
        <w:t>A.</w:t>
      </w:r>
      <w:r w:rsidRPr="0024262E">
        <w:rPr>
          <w:rStyle w:val="Lienhypertexte"/>
          <w:noProof/>
          <w:color w:val="auto"/>
          <w:u w:val="none"/>
          <w:lang w:val="de-DE"/>
        </w:rPr>
        <w:tab/>
      </w:r>
      <w:r w:rsidRPr="00027AD8">
        <w:rPr>
          <w:rStyle w:val="Lienhypertexte"/>
          <w:color w:val="auto"/>
          <w:u w:val="none"/>
          <w:lang w:val="de-DE"/>
        </w:rPr>
        <w:t>Status des ADN</w:t>
      </w:r>
      <w:r w:rsidRPr="0024262E">
        <w:rPr>
          <w:rStyle w:val="Lienhypertexte"/>
          <w:noProof/>
          <w:webHidden/>
          <w:color w:val="auto"/>
          <w:u w:val="none"/>
          <w:lang w:val="de-DE"/>
        </w:rPr>
        <w:tab/>
      </w:r>
      <w:r w:rsidRPr="0024262E">
        <w:rPr>
          <w:rStyle w:val="Lienhypertexte"/>
          <w:noProof/>
          <w:webHidden/>
          <w:color w:val="auto"/>
          <w:u w:val="none"/>
          <w:lang w:val="de-DE"/>
        </w:rPr>
        <w:tab/>
        <w:t>14</w:t>
      </w:r>
      <w:r w:rsidRPr="0024262E">
        <w:rPr>
          <w:rStyle w:val="Lienhypertexte"/>
          <w:noProof/>
          <w:webHidden/>
          <w:color w:val="auto"/>
          <w:u w:val="none"/>
          <w:lang w:val="de-DE"/>
        </w:rPr>
        <w:tab/>
      </w:r>
      <w:r>
        <w:rPr>
          <w:rStyle w:val="Lienhypertexte"/>
          <w:noProof/>
          <w:webHidden/>
          <w:color w:val="auto"/>
          <w:u w:val="none"/>
          <w:lang w:val="de-DE"/>
        </w:rPr>
        <w:t>6</w:t>
      </w:r>
    </w:p>
    <w:p w14:paraId="53E688F6"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027AD8">
        <w:rPr>
          <w:rStyle w:val="Lienhypertexte"/>
          <w:color w:val="auto"/>
          <w:u w:val="none"/>
          <w:lang w:val="de-DE"/>
        </w:rPr>
        <w:t>B.</w:t>
      </w:r>
      <w:r w:rsidRPr="0024262E">
        <w:rPr>
          <w:rStyle w:val="Lienhypertexte"/>
          <w:noProof/>
          <w:color w:val="auto"/>
          <w:u w:val="none"/>
          <w:lang w:val="de-DE"/>
        </w:rPr>
        <w:tab/>
      </w:r>
      <w:r w:rsidRPr="00027AD8">
        <w:rPr>
          <w:rStyle w:val="Lienhypertexte"/>
          <w:color w:val="auto"/>
          <w:u w:val="none"/>
          <w:lang w:val="de-DE"/>
        </w:rPr>
        <w:t>Ausnahmegenehmigungen, Abweichungen und Gleichwertigkeiten</w:t>
      </w:r>
      <w:r w:rsidRPr="0024262E">
        <w:rPr>
          <w:rStyle w:val="Lienhypertexte"/>
          <w:noProof/>
          <w:webHidden/>
          <w:color w:val="auto"/>
          <w:u w:val="none"/>
          <w:lang w:val="de-DE"/>
        </w:rPr>
        <w:tab/>
      </w:r>
      <w:r w:rsidRPr="0024262E">
        <w:rPr>
          <w:rStyle w:val="Lienhypertexte"/>
          <w:noProof/>
          <w:webHidden/>
          <w:color w:val="auto"/>
          <w:u w:val="none"/>
          <w:lang w:val="de-DE"/>
        </w:rPr>
        <w:tab/>
        <w:t>15</w:t>
      </w:r>
      <w:r w:rsidRPr="0024262E">
        <w:rPr>
          <w:rStyle w:val="Lienhypertexte"/>
          <w:noProof/>
          <w:webHidden/>
          <w:color w:val="auto"/>
          <w:u w:val="none"/>
          <w:lang w:val="de-DE"/>
        </w:rPr>
        <w:tab/>
        <w:t>6</w:t>
      </w:r>
    </w:p>
    <w:p w14:paraId="4E2125B9"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027AD8">
        <w:rPr>
          <w:rStyle w:val="Lienhypertexte"/>
          <w:color w:val="auto"/>
          <w:u w:val="none"/>
          <w:lang w:val="de-DE"/>
        </w:rPr>
        <w:t>C.</w:t>
      </w:r>
      <w:r w:rsidRPr="0024262E">
        <w:rPr>
          <w:rStyle w:val="Lienhypertexte"/>
          <w:noProof/>
          <w:color w:val="auto"/>
          <w:u w:val="none"/>
          <w:lang w:val="de-DE"/>
        </w:rPr>
        <w:tab/>
      </w:r>
      <w:r w:rsidRPr="00027AD8">
        <w:rPr>
          <w:rStyle w:val="Lienhypertexte"/>
          <w:color w:val="auto"/>
          <w:u w:val="none"/>
          <w:lang w:val="de-DE"/>
        </w:rPr>
        <w:t>Auslegung der dem ADN beigefügten Verordnung</w:t>
      </w:r>
      <w:r w:rsidRPr="0024262E">
        <w:rPr>
          <w:rStyle w:val="Lienhypertexte"/>
          <w:noProof/>
          <w:webHidden/>
          <w:color w:val="auto"/>
          <w:u w:val="none"/>
          <w:lang w:val="de-DE"/>
        </w:rPr>
        <w:tab/>
      </w:r>
      <w:r w:rsidRPr="0024262E">
        <w:rPr>
          <w:rStyle w:val="Lienhypertexte"/>
          <w:noProof/>
          <w:webHidden/>
          <w:color w:val="auto"/>
          <w:u w:val="none"/>
          <w:lang w:val="de-DE"/>
        </w:rPr>
        <w:tab/>
        <w:t>16</w:t>
      </w:r>
      <w:r w:rsidRPr="0024262E">
        <w:rPr>
          <w:rStyle w:val="Lienhypertexte"/>
          <w:noProof/>
          <w:webHidden/>
          <w:color w:val="auto"/>
          <w:u w:val="none"/>
          <w:lang w:val="de-DE"/>
        </w:rPr>
        <w:tab/>
        <w:t>6</w:t>
      </w:r>
    </w:p>
    <w:p w14:paraId="68B11AAC"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027AD8">
        <w:rPr>
          <w:rStyle w:val="Lienhypertexte"/>
          <w:color w:val="auto"/>
          <w:u w:val="none"/>
          <w:lang w:val="de-DE"/>
        </w:rPr>
        <w:t>D.</w:t>
      </w:r>
      <w:r w:rsidRPr="0024262E">
        <w:rPr>
          <w:rStyle w:val="Lienhypertexte"/>
          <w:noProof/>
          <w:color w:val="auto"/>
          <w:u w:val="none"/>
          <w:lang w:val="de-DE"/>
        </w:rPr>
        <w:tab/>
      </w:r>
      <w:proofErr w:type="spellStart"/>
      <w:r w:rsidRPr="00027AD8">
        <w:rPr>
          <w:rStyle w:val="Lienhypertexte"/>
          <w:color w:val="auto"/>
          <w:u w:val="none"/>
          <w:lang w:val="de-DE"/>
        </w:rPr>
        <w:t>Sachkundigenausbildung</w:t>
      </w:r>
      <w:proofErr w:type="spellEnd"/>
      <w:r w:rsidRPr="0024262E">
        <w:rPr>
          <w:rStyle w:val="Lienhypertexte"/>
          <w:noProof/>
          <w:webHidden/>
          <w:color w:val="auto"/>
          <w:u w:val="none"/>
          <w:lang w:val="de-DE"/>
        </w:rPr>
        <w:tab/>
      </w:r>
      <w:r w:rsidRPr="0024262E">
        <w:rPr>
          <w:rStyle w:val="Lienhypertexte"/>
          <w:noProof/>
          <w:webHidden/>
          <w:color w:val="auto"/>
          <w:u w:val="none"/>
          <w:lang w:val="de-DE"/>
        </w:rPr>
        <w:tab/>
        <w:t>17</w:t>
      </w:r>
      <w:r w:rsidRPr="0024262E">
        <w:rPr>
          <w:rStyle w:val="Lienhypertexte"/>
          <w:noProof/>
          <w:webHidden/>
          <w:color w:val="auto"/>
          <w:u w:val="none"/>
          <w:lang w:val="de-DE"/>
        </w:rPr>
        <w:tab/>
        <w:t>6</w:t>
      </w:r>
    </w:p>
    <w:p w14:paraId="6D592AF9"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027AD8">
        <w:rPr>
          <w:rStyle w:val="Lienhypertexte"/>
          <w:color w:val="auto"/>
          <w:u w:val="none"/>
          <w:lang w:val="de-DE"/>
        </w:rPr>
        <w:t>E.</w:t>
      </w:r>
      <w:r w:rsidRPr="0024262E">
        <w:rPr>
          <w:rStyle w:val="Lienhypertexte"/>
          <w:noProof/>
          <w:color w:val="auto"/>
          <w:u w:val="none"/>
          <w:lang w:val="de-DE"/>
        </w:rPr>
        <w:tab/>
      </w:r>
      <w:r w:rsidRPr="00027AD8">
        <w:rPr>
          <w:rStyle w:val="Lienhypertexte"/>
          <w:color w:val="auto"/>
          <w:u w:val="none"/>
          <w:lang w:val="de-DE"/>
        </w:rPr>
        <w:t>Fragen im Zusammenhang mit den Klassifikationsgesellschaften</w:t>
      </w:r>
      <w:r w:rsidRPr="0024262E">
        <w:rPr>
          <w:rStyle w:val="Lienhypertexte"/>
          <w:noProof/>
          <w:webHidden/>
          <w:color w:val="auto"/>
          <w:u w:val="none"/>
          <w:lang w:val="de-DE"/>
        </w:rPr>
        <w:tab/>
      </w:r>
      <w:r w:rsidRPr="0024262E">
        <w:rPr>
          <w:rStyle w:val="Lienhypertexte"/>
          <w:noProof/>
          <w:webHidden/>
          <w:color w:val="auto"/>
          <w:u w:val="none"/>
          <w:lang w:val="de-DE"/>
        </w:rPr>
        <w:tab/>
        <w:t>18-28</w:t>
      </w:r>
      <w:r w:rsidRPr="0024262E">
        <w:rPr>
          <w:rStyle w:val="Lienhypertexte"/>
          <w:noProof/>
          <w:webHidden/>
          <w:color w:val="auto"/>
          <w:u w:val="none"/>
          <w:lang w:val="de-DE"/>
        </w:rPr>
        <w:tab/>
        <w:t>6</w:t>
      </w:r>
    </w:p>
    <w:p w14:paraId="10D28147"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980" w:hanging="1980"/>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1.</w:t>
      </w:r>
      <w:r w:rsidRPr="0024262E">
        <w:rPr>
          <w:rStyle w:val="Lienhypertexte"/>
          <w:noProof/>
          <w:color w:val="auto"/>
          <w:u w:val="none"/>
          <w:lang w:val="de-DE"/>
        </w:rPr>
        <w:tab/>
      </w:r>
      <w:r w:rsidRPr="00027AD8">
        <w:rPr>
          <w:rStyle w:val="Lienhypertexte"/>
          <w:color w:val="auto"/>
          <w:u w:val="none"/>
          <w:lang w:val="de-DE"/>
        </w:rPr>
        <w:t>Neue Generation von Binnen-See-Schiffen für die Beförderung gefährlicher Güter</w:t>
      </w:r>
      <w:r>
        <w:rPr>
          <w:rStyle w:val="Lienhypertexte"/>
          <w:color w:val="auto"/>
          <w:u w:val="none"/>
          <w:lang w:val="de-DE"/>
        </w:rPr>
        <w:t>.</w:t>
      </w:r>
      <w:r w:rsidRPr="0024262E">
        <w:rPr>
          <w:rStyle w:val="Lienhypertexte"/>
          <w:noProof/>
          <w:color w:val="auto"/>
          <w:u w:val="none"/>
          <w:lang w:val="de-DE"/>
        </w:rPr>
        <w:t xml:space="preserve"> </w:t>
      </w:r>
      <w:r w:rsidRPr="00027AD8">
        <w:rPr>
          <w:rStyle w:val="Lienhypertexte"/>
          <w:color w:val="auto"/>
          <w:u w:val="none"/>
          <w:lang w:val="de-DE"/>
        </w:rPr>
        <w:t>Erfahrungen der Russischen Föderation</w:t>
      </w:r>
      <w:r w:rsidRPr="0024262E">
        <w:rPr>
          <w:rStyle w:val="Lienhypertexte"/>
          <w:noProof/>
          <w:webHidden/>
          <w:color w:val="auto"/>
          <w:u w:val="none"/>
          <w:lang w:val="de-DE"/>
        </w:rPr>
        <w:tab/>
      </w:r>
      <w:r w:rsidRPr="0024262E">
        <w:rPr>
          <w:rStyle w:val="Lienhypertexte"/>
          <w:noProof/>
          <w:webHidden/>
          <w:color w:val="auto"/>
          <w:u w:val="none"/>
          <w:lang w:val="de-DE"/>
        </w:rPr>
        <w:tab/>
        <w:t>18-21</w:t>
      </w:r>
      <w:r w:rsidRPr="0024262E">
        <w:rPr>
          <w:rStyle w:val="Lienhypertexte"/>
          <w:noProof/>
          <w:webHidden/>
          <w:color w:val="auto"/>
          <w:u w:val="none"/>
          <w:lang w:val="de-DE"/>
        </w:rPr>
        <w:tab/>
        <w:t>6</w:t>
      </w:r>
    </w:p>
    <w:p w14:paraId="76B64D24"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2.</w:t>
      </w:r>
      <w:r w:rsidRPr="0024262E">
        <w:rPr>
          <w:rStyle w:val="Lienhypertexte"/>
          <w:noProof/>
          <w:color w:val="auto"/>
          <w:u w:val="none"/>
          <w:lang w:val="de-DE"/>
        </w:rPr>
        <w:tab/>
      </w:r>
      <w:r w:rsidRPr="00027AD8">
        <w:rPr>
          <w:rStyle w:val="Lienhypertexte"/>
          <w:color w:val="auto"/>
          <w:spacing w:val="-2"/>
          <w:u w:val="none"/>
          <w:lang w:val="de-DE"/>
        </w:rPr>
        <w:t>Vorschlag zur Aktualisierung von 9.3.4 (alternative Bauweisen) ADN</w:t>
      </w:r>
      <w:r w:rsidRPr="0024262E">
        <w:rPr>
          <w:rStyle w:val="Lienhypertexte"/>
          <w:noProof/>
          <w:color w:val="auto"/>
          <w:u w:val="none"/>
          <w:lang w:val="de-DE"/>
        </w:rPr>
        <w:tab/>
      </w:r>
      <w:r w:rsidRPr="0024262E">
        <w:rPr>
          <w:rStyle w:val="Lienhypertexte"/>
          <w:noProof/>
          <w:color w:val="auto"/>
          <w:u w:val="none"/>
          <w:lang w:val="de-DE"/>
        </w:rPr>
        <w:tab/>
        <w:t>22</w:t>
      </w:r>
      <w:r w:rsidRPr="0024262E">
        <w:rPr>
          <w:rStyle w:val="Lienhypertexte"/>
          <w:noProof/>
          <w:webHidden/>
          <w:color w:val="auto"/>
          <w:u w:val="none"/>
          <w:lang w:val="de-DE"/>
        </w:rPr>
        <w:tab/>
      </w:r>
      <w:r>
        <w:rPr>
          <w:rStyle w:val="Lienhypertexte"/>
          <w:noProof/>
          <w:webHidden/>
          <w:color w:val="auto"/>
          <w:u w:val="none"/>
          <w:lang w:val="de-DE"/>
        </w:rPr>
        <w:t>7</w:t>
      </w:r>
    </w:p>
    <w:p w14:paraId="4ABA61CD"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3.</w:t>
      </w:r>
      <w:r w:rsidRPr="0024262E">
        <w:rPr>
          <w:rStyle w:val="Lienhypertexte"/>
          <w:noProof/>
          <w:color w:val="auto"/>
          <w:u w:val="none"/>
          <w:lang w:val="de-DE"/>
        </w:rPr>
        <w:tab/>
      </w:r>
      <w:r w:rsidRPr="002B5957">
        <w:rPr>
          <w:rStyle w:val="Lienhypertexte"/>
          <w:color w:val="auto"/>
          <w:u w:val="none"/>
          <w:lang w:val="de-DE"/>
        </w:rPr>
        <w:t>Nachweis der Einhaltung der Norm EN ISO/IEC 17020:2012</w:t>
      </w:r>
      <w:r w:rsidRPr="0024262E">
        <w:rPr>
          <w:rStyle w:val="Lienhypertexte"/>
          <w:noProof/>
          <w:webHidden/>
          <w:color w:val="auto"/>
          <w:u w:val="none"/>
          <w:lang w:val="de-DE"/>
        </w:rPr>
        <w:tab/>
      </w:r>
      <w:r w:rsidRPr="0024262E">
        <w:rPr>
          <w:rStyle w:val="Lienhypertexte"/>
          <w:noProof/>
          <w:webHidden/>
          <w:color w:val="auto"/>
          <w:u w:val="none"/>
          <w:lang w:val="de-DE"/>
        </w:rPr>
        <w:tab/>
        <w:t>23-26</w:t>
      </w:r>
      <w:r w:rsidRPr="0024262E">
        <w:rPr>
          <w:rStyle w:val="Lienhypertexte"/>
          <w:noProof/>
          <w:webHidden/>
          <w:color w:val="auto"/>
          <w:u w:val="none"/>
          <w:lang w:val="de-DE"/>
        </w:rPr>
        <w:tab/>
        <w:t>7</w:t>
      </w:r>
    </w:p>
    <w:p w14:paraId="6B46DBE6"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4.</w:t>
      </w:r>
      <w:r w:rsidRPr="0024262E">
        <w:rPr>
          <w:rStyle w:val="Lienhypertexte"/>
          <w:noProof/>
          <w:color w:val="auto"/>
          <w:u w:val="none"/>
          <w:lang w:val="de-DE"/>
        </w:rPr>
        <w:tab/>
      </w:r>
      <w:r w:rsidRPr="002B5957">
        <w:rPr>
          <w:rStyle w:val="Lienhypertexte"/>
          <w:color w:val="auto"/>
          <w:u w:val="none"/>
          <w:lang w:val="de-DE"/>
        </w:rPr>
        <w:t>Aktueller Stand der Zulassung von Ladungsrechnern</w:t>
      </w:r>
      <w:r w:rsidRPr="0024262E">
        <w:rPr>
          <w:rStyle w:val="Lienhypertexte"/>
          <w:noProof/>
          <w:webHidden/>
          <w:color w:val="auto"/>
          <w:u w:val="none"/>
          <w:lang w:val="de-DE"/>
        </w:rPr>
        <w:tab/>
      </w:r>
      <w:r w:rsidRPr="0024262E">
        <w:rPr>
          <w:rStyle w:val="Lienhypertexte"/>
          <w:noProof/>
          <w:webHidden/>
          <w:color w:val="auto"/>
          <w:u w:val="none"/>
          <w:lang w:val="de-DE"/>
        </w:rPr>
        <w:tab/>
        <w:t>27</w:t>
      </w:r>
      <w:r w:rsidRPr="0024262E">
        <w:rPr>
          <w:rStyle w:val="Lienhypertexte"/>
          <w:noProof/>
          <w:webHidden/>
          <w:color w:val="auto"/>
          <w:u w:val="none"/>
          <w:lang w:val="de-DE"/>
        </w:rPr>
        <w:tab/>
        <w:t>7</w:t>
      </w:r>
    </w:p>
    <w:p w14:paraId="186EEC03"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5.</w:t>
      </w:r>
      <w:r w:rsidRPr="0024262E">
        <w:rPr>
          <w:rStyle w:val="Lienhypertexte"/>
          <w:noProof/>
          <w:color w:val="auto"/>
          <w:u w:val="none"/>
          <w:lang w:val="de-DE"/>
        </w:rPr>
        <w:tab/>
      </w:r>
      <w:r w:rsidRPr="002B5957">
        <w:rPr>
          <w:rStyle w:val="Lienhypertexte"/>
          <w:color w:val="auto"/>
          <w:u w:val="none"/>
          <w:lang w:val="de-DE"/>
        </w:rPr>
        <w:t>Über die Zoneneinteilung – Zone 1</w:t>
      </w:r>
      <w:r w:rsidRPr="0024262E">
        <w:rPr>
          <w:rStyle w:val="Lienhypertexte"/>
          <w:noProof/>
          <w:color w:val="auto"/>
          <w:u w:val="none"/>
          <w:lang w:val="de-DE"/>
        </w:rPr>
        <w:tab/>
      </w:r>
      <w:r w:rsidRPr="0024262E">
        <w:rPr>
          <w:rStyle w:val="Lienhypertexte"/>
          <w:noProof/>
          <w:color w:val="auto"/>
          <w:u w:val="none"/>
          <w:lang w:val="de-DE"/>
        </w:rPr>
        <w:tab/>
        <w:t>28</w:t>
      </w:r>
      <w:r w:rsidRPr="0024262E">
        <w:rPr>
          <w:rStyle w:val="Lienhypertexte"/>
          <w:noProof/>
          <w:webHidden/>
          <w:color w:val="auto"/>
          <w:u w:val="none"/>
          <w:lang w:val="de-DE"/>
        </w:rPr>
        <w:tab/>
      </w:r>
      <w:r>
        <w:rPr>
          <w:rStyle w:val="Lienhypertexte"/>
          <w:noProof/>
          <w:webHidden/>
          <w:color w:val="auto"/>
          <w:u w:val="none"/>
          <w:lang w:val="de-DE"/>
        </w:rPr>
        <w:t>8</w:t>
      </w:r>
    </w:p>
    <w:p w14:paraId="7260E077"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B5957">
        <w:rPr>
          <w:rStyle w:val="Lienhypertexte"/>
          <w:color w:val="auto"/>
          <w:u w:val="none"/>
          <w:lang w:val="de-DE"/>
        </w:rPr>
        <w:t>VI.</w:t>
      </w:r>
      <w:r w:rsidRPr="0024262E">
        <w:rPr>
          <w:rStyle w:val="Lienhypertexte"/>
          <w:noProof/>
          <w:color w:val="auto"/>
          <w:u w:val="none"/>
          <w:lang w:val="de-DE"/>
        </w:rPr>
        <w:tab/>
      </w:r>
      <w:r w:rsidRPr="002B5957">
        <w:rPr>
          <w:rStyle w:val="Lienhypertexte"/>
          <w:color w:val="auto"/>
          <w:u w:val="none"/>
          <w:lang w:val="de-DE"/>
        </w:rPr>
        <w:t>Vorschläge für Änderungen der dem ADN beigefügten Verordnung (TOP 5)</w:t>
      </w:r>
      <w:r w:rsidRPr="0024262E">
        <w:rPr>
          <w:rStyle w:val="Lienhypertexte"/>
          <w:noProof/>
          <w:webHidden/>
          <w:color w:val="auto"/>
          <w:u w:val="none"/>
          <w:lang w:val="de-DE"/>
        </w:rPr>
        <w:tab/>
      </w:r>
      <w:r w:rsidRPr="0024262E">
        <w:rPr>
          <w:rStyle w:val="Lienhypertexte"/>
          <w:noProof/>
          <w:webHidden/>
          <w:color w:val="auto"/>
          <w:u w:val="none"/>
          <w:lang w:val="de-DE"/>
        </w:rPr>
        <w:tab/>
        <w:t>29-53</w:t>
      </w:r>
      <w:r w:rsidRPr="0024262E">
        <w:rPr>
          <w:rStyle w:val="Lienhypertexte"/>
          <w:noProof/>
          <w:webHidden/>
          <w:color w:val="auto"/>
          <w:u w:val="none"/>
          <w:lang w:val="de-DE"/>
        </w:rPr>
        <w:tab/>
      </w:r>
      <w:r>
        <w:rPr>
          <w:rStyle w:val="Lienhypertexte"/>
          <w:noProof/>
          <w:webHidden/>
          <w:color w:val="auto"/>
          <w:u w:val="none"/>
          <w:lang w:val="de-DE"/>
        </w:rPr>
        <w:t>8</w:t>
      </w:r>
    </w:p>
    <w:p w14:paraId="099029F9"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B5957">
        <w:rPr>
          <w:rStyle w:val="Lienhypertexte"/>
          <w:color w:val="auto"/>
          <w:u w:val="none"/>
          <w:lang w:val="de-DE"/>
        </w:rPr>
        <w:t>A.</w:t>
      </w:r>
      <w:r w:rsidRPr="0024262E">
        <w:rPr>
          <w:rStyle w:val="Lienhypertexte"/>
          <w:noProof/>
          <w:color w:val="auto"/>
          <w:u w:val="none"/>
          <w:lang w:val="de-DE"/>
        </w:rPr>
        <w:tab/>
      </w:r>
      <w:r w:rsidRPr="002B5957">
        <w:rPr>
          <w:rStyle w:val="Lienhypertexte"/>
          <w:color w:val="auto"/>
          <w:u w:val="none"/>
          <w:lang w:val="de-DE"/>
        </w:rPr>
        <w:t>Arbeiten der Gemeinsamen RID/ADR/ADN-Tagung</w:t>
      </w:r>
      <w:r w:rsidRPr="0024262E">
        <w:rPr>
          <w:rStyle w:val="Lienhypertexte"/>
          <w:noProof/>
          <w:webHidden/>
          <w:color w:val="auto"/>
          <w:u w:val="none"/>
          <w:lang w:val="de-DE"/>
        </w:rPr>
        <w:tab/>
      </w:r>
      <w:r w:rsidRPr="0024262E">
        <w:rPr>
          <w:rStyle w:val="Lienhypertexte"/>
          <w:noProof/>
          <w:webHidden/>
          <w:color w:val="auto"/>
          <w:u w:val="none"/>
          <w:lang w:val="de-DE"/>
        </w:rPr>
        <w:tab/>
        <w:t>29-32</w:t>
      </w:r>
      <w:r w:rsidRPr="0024262E">
        <w:rPr>
          <w:rStyle w:val="Lienhypertexte"/>
          <w:noProof/>
          <w:webHidden/>
          <w:color w:val="auto"/>
          <w:u w:val="none"/>
          <w:lang w:val="de-DE"/>
        </w:rPr>
        <w:tab/>
      </w:r>
      <w:r>
        <w:rPr>
          <w:rStyle w:val="Lienhypertexte"/>
          <w:noProof/>
          <w:webHidden/>
          <w:color w:val="auto"/>
          <w:u w:val="none"/>
          <w:lang w:val="de-DE"/>
        </w:rPr>
        <w:t>8</w:t>
      </w:r>
    </w:p>
    <w:p w14:paraId="7AA6E8EE"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B5957">
        <w:rPr>
          <w:rStyle w:val="Lienhypertexte"/>
          <w:color w:val="auto"/>
          <w:u w:val="none"/>
          <w:lang w:val="de-DE"/>
        </w:rPr>
        <w:t>B.</w:t>
      </w:r>
      <w:r w:rsidRPr="0024262E">
        <w:rPr>
          <w:rStyle w:val="Lienhypertexte"/>
          <w:noProof/>
          <w:color w:val="auto"/>
          <w:u w:val="none"/>
          <w:lang w:val="de-DE"/>
        </w:rPr>
        <w:tab/>
      </w:r>
      <w:r w:rsidRPr="002B5957">
        <w:rPr>
          <w:rStyle w:val="Lienhypertexte"/>
          <w:color w:val="auto"/>
          <w:u w:val="none"/>
          <w:lang w:val="de-DE"/>
        </w:rPr>
        <w:t>Weitere Vorschläge</w:t>
      </w:r>
      <w:r w:rsidRPr="0024262E">
        <w:rPr>
          <w:rStyle w:val="Lienhypertexte"/>
          <w:noProof/>
          <w:webHidden/>
          <w:color w:val="auto"/>
          <w:u w:val="none"/>
          <w:lang w:val="de-DE"/>
        </w:rPr>
        <w:tab/>
      </w:r>
      <w:r w:rsidRPr="0024262E">
        <w:rPr>
          <w:rStyle w:val="Lienhypertexte"/>
          <w:noProof/>
          <w:webHidden/>
          <w:color w:val="auto"/>
          <w:u w:val="none"/>
          <w:lang w:val="de-DE"/>
        </w:rPr>
        <w:tab/>
        <w:t>33-52</w:t>
      </w:r>
      <w:r w:rsidRPr="0024262E">
        <w:rPr>
          <w:rStyle w:val="Lienhypertexte"/>
          <w:noProof/>
          <w:webHidden/>
          <w:color w:val="auto"/>
          <w:u w:val="none"/>
          <w:lang w:val="de-DE"/>
        </w:rPr>
        <w:tab/>
        <w:t>8</w:t>
      </w:r>
    </w:p>
    <w:p w14:paraId="7042EA7E"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1.</w:t>
      </w:r>
      <w:r w:rsidRPr="0024262E">
        <w:rPr>
          <w:rStyle w:val="Lienhypertexte"/>
          <w:noProof/>
          <w:color w:val="auto"/>
          <w:u w:val="none"/>
          <w:lang w:val="de-DE"/>
        </w:rPr>
        <w:tab/>
      </w:r>
      <w:r w:rsidRPr="002B5957">
        <w:rPr>
          <w:rStyle w:val="Lienhypertexte"/>
          <w:color w:val="auto"/>
          <w:u w:val="none"/>
          <w:lang w:val="de-DE"/>
        </w:rPr>
        <w:t>Übergangsbestimmungen</w:t>
      </w:r>
      <w:r w:rsidRPr="0024262E">
        <w:rPr>
          <w:rStyle w:val="Lienhypertexte"/>
          <w:noProof/>
          <w:webHidden/>
          <w:color w:val="auto"/>
          <w:u w:val="none"/>
          <w:lang w:val="de-DE"/>
        </w:rPr>
        <w:tab/>
      </w:r>
      <w:r w:rsidRPr="0024262E">
        <w:rPr>
          <w:rStyle w:val="Lienhypertexte"/>
          <w:noProof/>
          <w:webHidden/>
          <w:color w:val="auto"/>
          <w:u w:val="none"/>
          <w:lang w:val="de-DE"/>
        </w:rPr>
        <w:tab/>
        <w:t>33</w:t>
      </w:r>
      <w:r w:rsidRPr="0024262E">
        <w:rPr>
          <w:rStyle w:val="Lienhypertexte"/>
          <w:noProof/>
          <w:webHidden/>
          <w:color w:val="auto"/>
          <w:u w:val="none"/>
          <w:lang w:val="de-DE"/>
        </w:rPr>
        <w:tab/>
        <w:t>8</w:t>
      </w:r>
    </w:p>
    <w:p w14:paraId="522AE3AD"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980" w:hanging="1980"/>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2.</w:t>
      </w:r>
      <w:r w:rsidRPr="0024262E">
        <w:rPr>
          <w:rStyle w:val="Lienhypertexte"/>
          <w:noProof/>
          <w:color w:val="auto"/>
          <w:u w:val="none"/>
          <w:lang w:val="de-DE"/>
        </w:rPr>
        <w:tab/>
      </w:r>
      <w:r w:rsidRPr="002B5957">
        <w:rPr>
          <w:rStyle w:val="Lienhypertexte"/>
          <w:color w:val="auto"/>
          <w:u w:val="none"/>
          <w:lang w:val="de-DE"/>
        </w:rPr>
        <w:t>Vorschlag zur Harmonisierung von 8.2.1.4 ADN in den verschiedenen</w:t>
      </w:r>
      <w:r>
        <w:rPr>
          <w:rStyle w:val="Lienhypertexte"/>
          <w:color w:val="auto"/>
          <w:u w:val="none"/>
          <w:lang w:val="de-DE"/>
        </w:rPr>
        <w:br/>
        <w:t>Sprachfassungen</w:t>
      </w:r>
      <w:r w:rsidRPr="0024262E">
        <w:rPr>
          <w:rStyle w:val="Lienhypertexte"/>
          <w:noProof/>
          <w:webHidden/>
          <w:color w:val="auto"/>
          <w:u w:val="none"/>
          <w:lang w:val="de-DE"/>
        </w:rPr>
        <w:tab/>
      </w:r>
      <w:r w:rsidRPr="0024262E">
        <w:rPr>
          <w:rStyle w:val="Lienhypertexte"/>
          <w:noProof/>
          <w:webHidden/>
          <w:color w:val="auto"/>
          <w:u w:val="none"/>
          <w:lang w:val="de-DE"/>
        </w:rPr>
        <w:tab/>
        <w:t>34</w:t>
      </w:r>
      <w:r w:rsidRPr="0024262E">
        <w:rPr>
          <w:rStyle w:val="Lienhypertexte"/>
          <w:noProof/>
          <w:webHidden/>
          <w:color w:val="auto"/>
          <w:u w:val="none"/>
          <w:lang w:val="de-DE"/>
        </w:rPr>
        <w:tab/>
        <w:t>8</w:t>
      </w:r>
    </w:p>
    <w:p w14:paraId="526D4015"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3.</w:t>
      </w:r>
      <w:r w:rsidRPr="0024262E">
        <w:rPr>
          <w:rStyle w:val="Lienhypertexte"/>
          <w:noProof/>
          <w:color w:val="auto"/>
          <w:u w:val="none"/>
          <w:lang w:val="de-DE"/>
        </w:rPr>
        <w:tab/>
      </w:r>
      <w:r w:rsidRPr="002B5957">
        <w:rPr>
          <w:rStyle w:val="Lienhypertexte"/>
          <w:color w:val="auto"/>
          <w:u w:val="none"/>
          <w:lang w:val="de-DE"/>
        </w:rPr>
        <w:t>Änderung von 8.1.2.2 der dem ADN beigefügten Verordnung</w:t>
      </w:r>
      <w:r w:rsidRPr="0024262E">
        <w:rPr>
          <w:rStyle w:val="Lienhypertexte"/>
          <w:noProof/>
          <w:webHidden/>
          <w:color w:val="auto"/>
          <w:u w:val="none"/>
          <w:lang w:val="de-DE"/>
        </w:rPr>
        <w:tab/>
      </w:r>
      <w:r w:rsidRPr="0024262E">
        <w:rPr>
          <w:rStyle w:val="Lienhypertexte"/>
          <w:noProof/>
          <w:webHidden/>
          <w:color w:val="auto"/>
          <w:u w:val="none"/>
          <w:lang w:val="de-DE"/>
        </w:rPr>
        <w:tab/>
        <w:t>35</w:t>
      </w:r>
      <w:r w:rsidRPr="0024262E">
        <w:rPr>
          <w:rStyle w:val="Lienhypertexte"/>
          <w:noProof/>
          <w:webHidden/>
          <w:color w:val="auto"/>
          <w:u w:val="none"/>
          <w:lang w:val="de-DE"/>
        </w:rPr>
        <w:tab/>
      </w:r>
      <w:r>
        <w:rPr>
          <w:rStyle w:val="Lienhypertexte"/>
          <w:noProof/>
          <w:webHidden/>
          <w:color w:val="auto"/>
          <w:u w:val="none"/>
          <w:lang w:val="de-DE"/>
        </w:rPr>
        <w:t>9</w:t>
      </w:r>
    </w:p>
    <w:p w14:paraId="44405679"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4.</w:t>
      </w:r>
      <w:r w:rsidRPr="0024262E">
        <w:rPr>
          <w:rStyle w:val="Lienhypertexte"/>
          <w:noProof/>
          <w:color w:val="auto"/>
          <w:u w:val="none"/>
          <w:lang w:val="de-DE"/>
        </w:rPr>
        <w:tab/>
      </w:r>
      <w:r w:rsidRPr="002B5957">
        <w:rPr>
          <w:rStyle w:val="Lienhypertexte"/>
          <w:color w:val="auto"/>
          <w:u w:val="none"/>
          <w:lang w:val="de-DE"/>
        </w:rPr>
        <w:t>Übergangsvorschriften für autonome Schutzsysteme</w:t>
      </w:r>
      <w:r w:rsidRPr="0024262E">
        <w:rPr>
          <w:rStyle w:val="Lienhypertexte"/>
          <w:noProof/>
          <w:webHidden/>
          <w:color w:val="auto"/>
          <w:u w:val="none"/>
          <w:lang w:val="de-DE"/>
        </w:rPr>
        <w:tab/>
      </w:r>
      <w:r w:rsidRPr="0024262E">
        <w:rPr>
          <w:rStyle w:val="Lienhypertexte"/>
          <w:noProof/>
          <w:webHidden/>
          <w:color w:val="auto"/>
          <w:u w:val="none"/>
          <w:lang w:val="de-DE"/>
        </w:rPr>
        <w:tab/>
        <w:t>36-37</w:t>
      </w:r>
      <w:r w:rsidRPr="0024262E">
        <w:rPr>
          <w:rStyle w:val="Lienhypertexte"/>
          <w:noProof/>
          <w:webHidden/>
          <w:color w:val="auto"/>
          <w:u w:val="none"/>
          <w:lang w:val="de-DE"/>
        </w:rPr>
        <w:tab/>
      </w:r>
      <w:r>
        <w:rPr>
          <w:rStyle w:val="Lienhypertexte"/>
          <w:noProof/>
          <w:webHidden/>
          <w:color w:val="auto"/>
          <w:u w:val="none"/>
          <w:lang w:val="de-DE"/>
        </w:rPr>
        <w:t>9</w:t>
      </w:r>
    </w:p>
    <w:p w14:paraId="7342288F"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5.</w:t>
      </w:r>
      <w:r w:rsidRPr="0024262E">
        <w:rPr>
          <w:rStyle w:val="Lienhypertexte"/>
          <w:noProof/>
          <w:color w:val="auto"/>
          <w:u w:val="none"/>
          <w:lang w:val="de-DE"/>
        </w:rPr>
        <w:tab/>
      </w:r>
      <w:r w:rsidRPr="002B5957">
        <w:rPr>
          <w:rStyle w:val="Lienhypertexte"/>
          <w:color w:val="auto"/>
          <w:u w:val="none"/>
          <w:lang w:val="de-DE"/>
        </w:rPr>
        <w:t>Bauwerkstoffe</w:t>
      </w:r>
      <w:r w:rsidRPr="0024262E">
        <w:rPr>
          <w:rStyle w:val="Lienhypertexte"/>
          <w:noProof/>
          <w:webHidden/>
          <w:color w:val="auto"/>
          <w:u w:val="none"/>
          <w:lang w:val="de-DE"/>
        </w:rPr>
        <w:tab/>
      </w:r>
      <w:r w:rsidRPr="0024262E">
        <w:rPr>
          <w:rStyle w:val="Lienhypertexte"/>
          <w:noProof/>
          <w:webHidden/>
          <w:color w:val="auto"/>
          <w:u w:val="none"/>
          <w:lang w:val="de-DE"/>
        </w:rPr>
        <w:tab/>
        <w:t>38</w:t>
      </w:r>
      <w:r w:rsidRPr="0024262E">
        <w:rPr>
          <w:rStyle w:val="Lienhypertexte"/>
          <w:noProof/>
          <w:webHidden/>
          <w:color w:val="auto"/>
          <w:u w:val="none"/>
          <w:lang w:val="de-DE"/>
        </w:rPr>
        <w:tab/>
        <w:t>9</w:t>
      </w:r>
    </w:p>
    <w:p w14:paraId="4C1AF687"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6.</w:t>
      </w:r>
      <w:r w:rsidRPr="0024262E">
        <w:rPr>
          <w:rStyle w:val="Lienhypertexte"/>
          <w:noProof/>
          <w:color w:val="auto"/>
          <w:u w:val="none"/>
          <w:lang w:val="de-DE"/>
        </w:rPr>
        <w:tab/>
      </w:r>
      <w:r w:rsidRPr="002B5957">
        <w:rPr>
          <w:rStyle w:val="Lienhypertexte"/>
          <w:color w:val="auto"/>
          <w:u w:val="none"/>
          <w:lang w:val="de-DE"/>
        </w:rPr>
        <w:t>9.3.3.13.4 ADN</w:t>
      </w:r>
      <w:r w:rsidRPr="0024262E">
        <w:rPr>
          <w:rStyle w:val="Lienhypertexte"/>
          <w:noProof/>
          <w:webHidden/>
          <w:color w:val="auto"/>
          <w:u w:val="none"/>
          <w:lang w:val="de-DE"/>
        </w:rPr>
        <w:tab/>
      </w:r>
      <w:r w:rsidRPr="0024262E">
        <w:rPr>
          <w:rStyle w:val="Lienhypertexte"/>
          <w:noProof/>
          <w:webHidden/>
          <w:color w:val="auto"/>
          <w:u w:val="none"/>
          <w:lang w:val="de-DE"/>
        </w:rPr>
        <w:tab/>
        <w:t>39</w:t>
      </w:r>
      <w:r w:rsidRPr="0024262E">
        <w:rPr>
          <w:rStyle w:val="Lienhypertexte"/>
          <w:noProof/>
          <w:webHidden/>
          <w:color w:val="auto"/>
          <w:u w:val="none"/>
          <w:lang w:val="de-DE"/>
        </w:rPr>
        <w:tab/>
        <w:t>9</w:t>
      </w:r>
    </w:p>
    <w:p w14:paraId="41706732"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7.</w:t>
      </w:r>
      <w:r w:rsidRPr="0024262E">
        <w:rPr>
          <w:rStyle w:val="Lienhypertexte"/>
          <w:noProof/>
          <w:color w:val="auto"/>
          <w:u w:val="none"/>
          <w:lang w:val="de-DE"/>
        </w:rPr>
        <w:tab/>
      </w:r>
      <w:r w:rsidRPr="002B5957">
        <w:rPr>
          <w:rStyle w:val="Lienhypertexte"/>
          <w:color w:val="auto"/>
          <w:u w:val="none"/>
          <w:lang w:val="de-DE"/>
        </w:rPr>
        <w:t>Änderungen der Muster der Zulassungszeugnisse</w:t>
      </w:r>
      <w:r w:rsidRPr="0024262E">
        <w:rPr>
          <w:rStyle w:val="Lienhypertexte"/>
          <w:noProof/>
          <w:webHidden/>
          <w:color w:val="auto"/>
          <w:u w:val="none"/>
          <w:lang w:val="de-DE"/>
        </w:rPr>
        <w:tab/>
      </w:r>
      <w:r w:rsidRPr="0024262E">
        <w:rPr>
          <w:rStyle w:val="Lienhypertexte"/>
          <w:noProof/>
          <w:webHidden/>
          <w:color w:val="auto"/>
          <w:u w:val="none"/>
          <w:lang w:val="de-DE"/>
        </w:rPr>
        <w:tab/>
        <w:t>40</w:t>
      </w:r>
      <w:r w:rsidRPr="0024262E">
        <w:rPr>
          <w:rStyle w:val="Lienhypertexte"/>
          <w:noProof/>
          <w:webHidden/>
          <w:color w:val="auto"/>
          <w:u w:val="none"/>
          <w:lang w:val="de-DE"/>
        </w:rPr>
        <w:tab/>
        <w:t>9</w:t>
      </w:r>
    </w:p>
    <w:p w14:paraId="1033ADF4"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8.</w:t>
      </w:r>
      <w:r w:rsidRPr="0024262E">
        <w:rPr>
          <w:rStyle w:val="Lienhypertexte"/>
          <w:noProof/>
          <w:color w:val="auto"/>
          <w:u w:val="none"/>
          <w:lang w:val="de-DE"/>
        </w:rPr>
        <w:tab/>
      </w:r>
      <w:r w:rsidRPr="002B5957">
        <w:rPr>
          <w:rStyle w:val="Lienhypertexte"/>
          <w:color w:val="auto"/>
          <w:u w:val="none"/>
          <w:lang w:val="de-DE"/>
        </w:rPr>
        <w:t>1.8.1.2.1 ADN – Standardisierte Schiffskontrolllisten</w:t>
      </w:r>
      <w:r w:rsidRPr="0024262E">
        <w:rPr>
          <w:rStyle w:val="Lienhypertexte"/>
          <w:noProof/>
          <w:webHidden/>
          <w:color w:val="auto"/>
          <w:u w:val="none"/>
          <w:lang w:val="de-DE"/>
        </w:rPr>
        <w:tab/>
      </w:r>
      <w:r w:rsidRPr="0024262E">
        <w:rPr>
          <w:rStyle w:val="Lienhypertexte"/>
          <w:noProof/>
          <w:webHidden/>
          <w:color w:val="auto"/>
          <w:u w:val="none"/>
          <w:lang w:val="de-DE"/>
        </w:rPr>
        <w:tab/>
        <w:t>41</w:t>
      </w:r>
      <w:r w:rsidRPr="0024262E">
        <w:rPr>
          <w:rStyle w:val="Lienhypertexte"/>
          <w:noProof/>
          <w:webHidden/>
          <w:color w:val="auto"/>
          <w:u w:val="none"/>
          <w:lang w:val="de-DE"/>
        </w:rPr>
        <w:tab/>
      </w:r>
      <w:r>
        <w:rPr>
          <w:rStyle w:val="Lienhypertexte"/>
          <w:noProof/>
          <w:webHidden/>
          <w:color w:val="auto"/>
          <w:u w:val="none"/>
          <w:lang w:val="de-DE"/>
        </w:rPr>
        <w:t>10</w:t>
      </w:r>
    </w:p>
    <w:p w14:paraId="29A51361"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9.</w:t>
      </w:r>
      <w:r w:rsidRPr="0024262E">
        <w:rPr>
          <w:rStyle w:val="Lienhypertexte"/>
          <w:noProof/>
          <w:color w:val="auto"/>
          <w:u w:val="none"/>
          <w:lang w:val="de-DE"/>
        </w:rPr>
        <w:tab/>
      </w:r>
      <w:r w:rsidRPr="00397A11">
        <w:rPr>
          <w:rStyle w:val="Lienhypertexte"/>
          <w:color w:val="auto"/>
          <w:u w:val="none"/>
          <w:lang w:val="de-DE"/>
        </w:rPr>
        <w:t>Schlauchleitungen für LNG</w:t>
      </w:r>
      <w:r w:rsidRPr="0024262E">
        <w:rPr>
          <w:rStyle w:val="Lienhypertexte"/>
          <w:noProof/>
          <w:webHidden/>
          <w:color w:val="auto"/>
          <w:u w:val="none"/>
          <w:lang w:val="de-DE"/>
        </w:rPr>
        <w:tab/>
      </w:r>
      <w:r w:rsidRPr="0024262E">
        <w:rPr>
          <w:rStyle w:val="Lienhypertexte"/>
          <w:noProof/>
          <w:webHidden/>
          <w:color w:val="auto"/>
          <w:u w:val="none"/>
          <w:lang w:val="de-DE"/>
        </w:rPr>
        <w:tab/>
        <w:t>42</w:t>
      </w:r>
      <w:r w:rsidRPr="0024262E">
        <w:rPr>
          <w:rStyle w:val="Lienhypertexte"/>
          <w:noProof/>
          <w:webHidden/>
          <w:color w:val="auto"/>
          <w:u w:val="none"/>
          <w:lang w:val="de-DE"/>
        </w:rPr>
        <w:tab/>
      </w:r>
      <w:r>
        <w:rPr>
          <w:rStyle w:val="Lienhypertexte"/>
          <w:noProof/>
          <w:webHidden/>
          <w:color w:val="auto"/>
          <w:u w:val="none"/>
          <w:lang w:val="de-DE"/>
        </w:rPr>
        <w:t>10</w:t>
      </w:r>
    </w:p>
    <w:p w14:paraId="3CE52A62"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10.</w:t>
      </w:r>
      <w:r w:rsidRPr="0024262E">
        <w:rPr>
          <w:rStyle w:val="Lienhypertexte"/>
          <w:noProof/>
          <w:color w:val="auto"/>
          <w:u w:val="none"/>
          <w:lang w:val="de-DE"/>
        </w:rPr>
        <w:tab/>
      </w:r>
      <w:r w:rsidRPr="00397A11">
        <w:rPr>
          <w:rStyle w:val="Lienhypertexte"/>
          <w:color w:val="auto"/>
          <w:u w:val="none"/>
          <w:lang w:val="de-DE"/>
        </w:rPr>
        <w:t>Änderungsvorschlag zu UN-Nr. 2057 (</w:t>
      </w:r>
      <w:proofErr w:type="spellStart"/>
      <w:r w:rsidRPr="00397A11">
        <w:rPr>
          <w:rStyle w:val="Lienhypertexte"/>
          <w:color w:val="auto"/>
          <w:u w:val="none"/>
          <w:lang w:val="de-DE"/>
        </w:rPr>
        <w:t>Tripropylen</w:t>
      </w:r>
      <w:proofErr w:type="spellEnd"/>
      <w:r w:rsidRPr="00397A11">
        <w:rPr>
          <w:rStyle w:val="Lienhypertexte"/>
          <w:color w:val="auto"/>
          <w:u w:val="none"/>
          <w:lang w:val="de-DE"/>
        </w:rPr>
        <w:t>) in Tabelle C</w:t>
      </w:r>
      <w:r w:rsidRPr="0024262E">
        <w:rPr>
          <w:rStyle w:val="Lienhypertexte"/>
          <w:noProof/>
          <w:webHidden/>
          <w:color w:val="auto"/>
          <w:u w:val="none"/>
          <w:lang w:val="de-DE"/>
        </w:rPr>
        <w:tab/>
      </w:r>
      <w:r w:rsidRPr="0024262E">
        <w:rPr>
          <w:rStyle w:val="Lienhypertexte"/>
          <w:noProof/>
          <w:webHidden/>
          <w:color w:val="auto"/>
          <w:u w:val="none"/>
          <w:lang w:val="de-DE"/>
        </w:rPr>
        <w:tab/>
        <w:t>43</w:t>
      </w:r>
      <w:r w:rsidRPr="0024262E">
        <w:rPr>
          <w:rStyle w:val="Lienhypertexte"/>
          <w:noProof/>
          <w:webHidden/>
          <w:color w:val="auto"/>
          <w:u w:val="none"/>
          <w:lang w:val="de-DE"/>
        </w:rPr>
        <w:tab/>
      </w:r>
      <w:r>
        <w:rPr>
          <w:rStyle w:val="Lienhypertexte"/>
          <w:noProof/>
          <w:webHidden/>
          <w:color w:val="auto"/>
          <w:u w:val="none"/>
          <w:lang w:val="de-DE"/>
        </w:rPr>
        <w:t>10</w:t>
      </w:r>
    </w:p>
    <w:p w14:paraId="3E97C9A5"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11.</w:t>
      </w:r>
      <w:r w:rsidRPr="0024262E">
        <w:rPr>
          <w:rStyle w:val="Lienhypertexte"/>
          <w:noProof/>
          <w:color w:val="auto"/>
          <w:u w:val="none"/>
          <w:lang w:val="de-DE"/>
        </w:rPr>
        <w:tab/>
      </w:r>
      <w:r w:rsidRPr="00397A11">
        <w:rPr>
          <w:rStyle w:val="Lienhypertexte"/>
          <w:color w:val="auto"/>
          <w:spacing w:val="-2"/>
          <w:u w:val="none"/>
          <w:lang w:val="de-DE"/>
        </w:rPr>
        <w:t>Vorschlag des Sekretariats der Donaukommission zum ADN 2019</w:t>
      </w:r>
      <w:r w:rsidRPr="0024262E">
        <w:rPr>
          <w:rStyle w:val="Lienhypertexte"/>
          <w:noProof/>
          <w:webHidden/>
          <w:color w:val="auto"/>
          <w:u w:val="none"/>
          <w:lang w:val="de-DE"/>
        </w:rPr>
        <w:tab/>
      </w:r>
      <w:r w:rsidRPr="0024262E">
        <w:rPr>
          <w:rStyle w:val="Lienhypertexte"/>
          <w:noProof/>
          <w:webHidden/>
          <w:color w:val="auto"/>
          <w:u w:val="none"/>
          <w:lang w:val="de-DE"/>
        </w:rPr>
        <w:tab/>
        <w:t>44</w:t>
      </w:r>
      <w:r w:rsidRPr="0024262E">
        <w:rPr>
          <w:rStyle w:val="Lienhypertexte"/>
          <w:noProof/>
          <w:webHidden/>
          <w:color w:val="auto"/>
          <w:u w:val="none"/>
          <w:lang w:val="de-DE"/>
        </w:rPr>
        <w:tab/>
      </w:r>
      <w:r>
        <w:rPr>
          <w:rStyle w:val="Lienhypertexte"/>
          <w:noProof/>
          <w:webHidden/>
          <w:color w:val="auto"/>
          <w:u w:val="none"/>
          <w:lang w:val="de-DE"/>
        </w:rPr>
        <w:t>10</w:t>
      </w:r>
    </w:p>
    <w:p w14:paraId="601F82D3"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12.</w:t>
      </w:r>
      <w:r w:rsidRPr="0024262E">
        <w:rPr>
          <w:rStyle w:val="Lienhypertexte"/>
          <w:noProof/>
          <w:color w:val="auto"/>
          <w:u w:val="none"/>
          <w:lang w:val="de-DE"/>
        </w:rPr>
        <w:tab/>
      </w:r>
      <w:r w:rsidRPr="008D63EB">
        <w:rPr>
          <w:rStyle w:val="Lienhypertexte"/>
          <w:color w:val="auto"/>
          <w:u w:val="none"/>
          <w:lang w:val="de-DE"/>
        </w:rPr>
        <w:t xml:space="preserve">Entgasen – Verwendung des alten Begriffs der </w:t>
      </w:r>
      <w:r w:rsidRPr="001B739C">
        <w:rPr>
          <w:rStyle w:val="Lienhypertexte"/>
          <w:color w:val="auto"/>
          <w:u w:val="none"/>
          <w:lang w:val="de-DE"/>
        </w:rPr>
        <w:t>Gasfreiheit</w:t>
      </w:r>
      <w:r w:rsidRPr="0024262E">
        <w:rPr>
          <w:rStyle w:val="Lienhypertexte"/>
          <w:noProof/>
          <w:webHidden/>
          <w:color w:val="auto"/>
          <w:u w:val="none"/>
          <w:lang w:val="de-DE"/>
        </w:rPr>
        <w:tab/>
      </w:r>
      <w:r w:rsidRPr="0024262E">
        <w:rPr>
          <w:rStyle w:val="Lienhypertexte"/>
          <w:noProof/>
          <w:webHidden/>
          <w:color w:val="auto"/>
          <w:u w:val="none"/>
          <w:lang w:val="de-DE"/>
        </w:rPr>
        <w:tab/>
        <w:t>45</w:t>
      </w:r>
      <w:r w:rsidRPr="0024262E">
        <w:rPr>
          <w:rStyle w:val="Lienhypertexte"/>
          <w:noProof/>
          <w:webHidden/>
          <w:color w:val="auto"/>
          <w:u w:val="none"/>
          <w:lang w:val="de-DE"/>
        </w:rPr>
        <w:tab/>
        <w:t>10</w:t>
      </w:r>
    </w:p>
    <w:p w14:paraId="33EAC839"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13.</w:t>
      </w:r>
      <w:r w:rsidRPr="0024262E">
        <w:rPr>
          <w:rStyle w:val="Lienhypertexte"/>
          <w:noProof/>
          <w:color w:val="auto"/>
          <w:u w:val="none"/>
          <w:lang w:val="de-DE"/>
        </w:rPr>
        <w:tab/>
      </w:r>
      <w:r w:rsidRPr="008D63EB">
        <w:rPr>
          <w:rStyle w:val="Lienhypertexte"/>
          <w:color w:val="auto"/>
          <w:spacing w:val="-2"/>
          <w:u w:val="none"/>
          <w:lang w:val="de-DE"/>
        </w:rPr>
        <w:t>Harmonisierung der Explosionsgruppen zwischen dem IBC-Code und dem ADN</w:t>
      </w:r>
      <w:r w:rsidRPr="0024262E">
        <w:rPr>
          <w:rStyle w:val="Lienhypertexte"/>
          <w:noProof/>
          <w:webHidden/>
          <w:color w:val="auto"/>
          <w:u w:val="none"/>
          <w:lang w:val="de-DE"/>
        </w:rPr>
        <w:tab/>
        <w:t>46</w:t>
      </w:r>
      <w:r w:rsidRPr="0024262E">
        <w:rPr>
          <w:rStyle w:val="Lienhypertexte"/>
          <w:noProof/>
          <w:webHidden/>
          <w:color w:val="auto"/>
          <w:u w:val="none"/>
          <w:lang w:val="de-DE"/>
        </w:rPr>
        <w:tab/>
        <w:t>10</w:t>
      </w:r>
    </w:p>
    <w:p w14:paraId="510FF7F1"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lastRenderedPageBreak/>
        <w:tab/>
      </w:r>
      <w:r w:rsidRPr="0024262E">
        <w:rPr>
          <w:rStyle w:val="Lienhypertexte"/>
          <w:noProof/>
          <w:color w:val="auto"/>
          <w:u w:val="none"/>
          <w:lang w:val="de-DE"/>
        </w:rPr>
        <w:tab/>
      </w:r>
      <w:r w:rsidRPr="0024262E">
        <w:rPr>
          <w:rStyle w:val="Lienhypertexte"/>
          <w:noProof/>
          <w:color w:val="auto"/>
          <w:u w:val="none"/>
          <w:lang w:val="de-DE"/>
        </w:rPr>
        <w:tab/>
        <w:t>14.</w:t>
      </w:r>
      <w:r w:rsidRPr="0024262E">
        <w:rPr>
          <w:rStyle w:val="Lienhypertexte"/>
          <w:noProof/>
          <w:color w:val="auto"/>
          <w:u w:val="none"/>
          <w:lang w:val="de-DE"/>
        </w:rPr>
        <w:tab/>
      </w:r>
      <w:r w:rsidRPr="008D63EB">
        <w:rPr>
          <w:rStyle w:val="Lienhypertexte"/>
          <w:color w:val="auto"/>
          <w:u w:val="none"/>
          <w:lang w:val="de-DE"/>
        </w:rPr>
        <w:t>Änderung der Tabelle C Spalte (16) für UN-Nr. 2527</w:t>
      </w:r>
      <w:r w:rsidRPr="0024262E">
        <w:rPr>
          <w:rStyle w:val="Lienhypertexte"/>
          <w:noProof/>
          <w:webHidden/>
          <w:color w:val="auto"/>
          <w:u w:val="none"/>
          <w:lang w:val="de-DE"/>
        </w:rPr>
        <w:tab/>
      </w:r>
      <w:r w:rsidRPr="0024262E">
        <w:rPr>
          <w:rStyle w:val="Lienhypertexte"/>
          <w:noProof/>
          <w:webHidden/>
          <w:color w:val="auto"/>
          <w:u w:val="none"/>
          <w:lang w:val="de-DE"/>
        </w:rPr>
        <w:tab/>
        <w:t>47</w:t>
      </w:r>
      <w:r w:rsidRPr="0024262E">
        <w:rPr>
          <w:rStyle w:val="Lienhypertexte"/>
          <w:noProof/>
          <w:webHidden/>
          <w:color w:val="auto"/>
          <w:u w:val="none"/>
          <w:lang w:val="de-DE"/>
        </w:rPr>
        <w:tab/>
        <w:t>10</w:t>
      </w:r>
    </w:p>
    <w:p w14:paraId="6CA7AC18"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15.</w:t>
      </w:r>
      <w:r w:rsidRPr="0024262E">
        <w:rPr>
          <w:rStyle w:val="Lienhypertexte"/>
          <w:noProof/>
          <w:color w:val="auto"/>
          <w:u w:val="none"/>
          <w:lang w:val="de-DE"/>
        </w:rPr>
        <w:tab/>
      </w:r>
      <w:r w:rsidRPr="008D63EB">
        <w:rPr>
          <w:rStyle w:val="Lienhypertexte"/>
          <w:color w:val="auto"/>
          <w:u w:val="none"/>
          <w:lang w:val="de-DE"/>
        </w:rPr>
        <w:t>Korrekturen zum ADN 2019</w:t>
      </w:r>
      <w:r w:rsidRPr="0024262E">
        <w:rPr>
          <w:rStyle w:val="Lienhypertexte"/>
          <w:noProof/>
          <w:webHidden/>
          <w:color w:val="auto"/>
          <w:u w:val="none"/>
          <w:lang w:val="de-DE"/>
        </w:rPr>
        <w:tab/>
      </w:r>
      <w:r w:rsidRPr="0024262E">
        <w:rPr>
          <w:rStyle w:val="Lienhypertexte"/>
          <w:noProof/>
          <w:webHidden/>
          <w:color w:val="auto"/>
          <w:u w:val="none"/>
          <w:lang w:val="de-DE"/>
        </w:rPr>
        <w:tab/>
        <w:t>48</w:t>
      </w:r>
      <w:r w:rsidRPr="0024262E">
        <w:rPr>
          <w:rStyle w:val="Lienhypertexte"/>
          <w:noProof/>
          <w:webHidden/>
          <w:color w:val="auto"/>
          <w:u w:val="none"/>
          <w:lang w:val="de-DE"/>
        </w:rPr>
        <w:tab/>
        <w:t>1</w:t>
      </w:r>
      <w:r>
        <w:rPr>
          <w:rStyle w:val="Lienhypertexte"/>
          <w:noProof/>
          <w:webHidden/>
          <w:color w:val="auto"/>
          <w:u w:val="none"/>
          <w:lang w:val="de-DE"/>
        </w:rPr>
        <w:t>1</w:t>
      </w:r>
    </w:p>
    <w:p w14:paraId="778202DC"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16.</w:t>
      </w:r>
      <w:r w:rsidRPr="0024262E">
        <w:rPr>
          <w:rStyle w:val="Lienhypertexte"/>
          <w:noProof/>
          <w:color w:val="auto"/>
          <w:u w:val="none"/>
          <w:lang w:val="de-DE"/>
        </w:rPr>
        <w:tab/>
      </w:r>
      <w:r w:rsidRPr="008D63EB">
        <w:rPr>
          <w:rStyle w:val="Lienhypertexte"/>
          <w:color w:val="auto"/>
          <w:u w:val="none"/>
          <w:lang w:val="de-DE"/>
        </w:rPr>
        <w:t xml:space="preserve">1.2.1 ADN – </w:t>
      </w:r>
      <w:proofErr w:type="spellStart"/>
      <w:r w:rsidRPr="008D63EB">
        <w:rPr>
          <w:rStyle w:val="Lienhypertexte"/>
          <w:color w:val="auto"/>
          <w:u w:val="none"/>
          <w:lang w:val="de-DE"/>
        </w:rPr>
        <w:t>Probenahmesysteme</w:t>
      </w:r>
      <w:proofErr w:type="spellEnd"/>
      <w:r w:rsidRPr="0024262E">
        <w:rPr>
          <w:rStyle w:val="Lienhypertexte"/>
          <w:noProof/>
          <w:webHidden/>
          <w:color w:val="auto"/>
          <w:u w:val="none"/>
          <w:lang w:val="de-DE"/>
        </w:rPr>
        <w:tab/>
      </w:r>
      <w:r w:rsidRPr="0024262E">
        <w:rPr>
          <w:rStyle w:val="Lienhypertexte"/>
          <w:noProof/>
          <w:webHidden/>
          <w:color w:val="auto"/>
          <w:u w:val="none"/>
          <w:lang w:val="de-DE"/>
        </w:rPr>
        <w:tab/>
        <w:t>49</w:t>
      </w:r>
      <w:r w:rsidRPr="0024262E">
        <w:rPr>
          <w:rStyle w:val="Lienhypertexte"/>
          <w:noProof/>
          <w:webHidden/>
          <w:color w:val="auto"/>
          <w:u w:val="none"/>
          <w:lang w:val="de-DE"/>
        </w:rPr>
        <w:tab/>
        <w:t>1</w:t>
      </w:r>
      <w:r>
        <w:rPr>
          <w:rStyle w:val="Lienhypertexte"/>
          <w:noProof/>
          <w:webHidden/>
          <w:color w:val="auto"/>
          <w:u w:val="none"/>
          <w:lang w:val="de-DE"/>
        </w:rPr>
        <w:t>1</w:t>
      </w:r>
    </w:p>
    <w:p w14:paraId="51B4B2B9"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17.</w:t>
      </w:r>
      <w:r w:rsidRPr="0024262E">
        <w:rPr>
          <w:rStyle w:val="Lienhypertexte"/>
          <w:noProof/>
          <w:color w:val="auto"/>
          <w:u w:val="none"/>
          <w:lang w:val="de-DE"/>
        </w:rPr>
        <w:tab/>
      </w:r>
      <w:r w:rsidRPr="008D63EB">
        <w:rPr>
          <w:rStyle w:val="Lienhypertexte"/>
          <w:color w:val="auto"/>
          <w:u w:val="none"/>
          <w:lang w:val="de-DE"/>
        </w:rPr>
        <w:t>UN-Nr. 3082 – Bilgenwasser</w:t>
      </w:r>
      <w:r w:rsidRPr="0024262E">
        <w:rPr>
          <w:rStyle w:val="Lienhypertexte"/>
          <w:noProof/>
          <w:webHidden/>
          <w:color w:val="auto"/>
          <w:u w:val="none"/>
          <w:lang w:val="de-DE"/>
        </w:rPr>
        <w:tab/>
      </w:r>
      <w:r w:rsidRPr="0024262E">
        <w:rPr>
          <w:rStyle w:val="Lienhypertexte"/>
          <w:noProof/>
          <w:webHidden/>
          <w:color w:val="auto"/>
          <w:u w:val="none"/>
          <w:lang w:val="de-DE"/>
        </w:rPr>
        <w:tab/>
        <w:t>50</w:t>
      </w:r>
      <w:r w:rsidRPr="0024262E">
        <w:rPr>
          <w:rStyle w:val="Lienhypertexte"/>
          <w:noProof/>
          <w:webHidden/>
          <w:color w:val="auto"/>
          <w:u w:val="none"/>
          <w:lang w:val="de-DE"/>
        </w:rPr>
        <w:tab/>
        <w:t>1</w:t>
      </w:r>
      <w:r>
        <w:rPr>
          <w:rStyle w:val="Lienhypertexte"/>
          <w:noProof/>
          <w:webHidden/>
          <w:color w:val="auto"/>
          <w:u w:val="none"/>
          <w:lang w:val="de-DE"/>
        </w:rPr>
        <w:t>1</w:t>
      </w:r>
    </w:p>
    <w:p w14:paraId="1C394657"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18.</w:t>
      </w:r>
      <w:r w:rsidRPr="0024262E">
        <w:rPr>
          <w:rStyle w:val="Lienhypertexte"/>
          <w:noProof/>
          <w:color w:val="auto"/>
          <w:u w:val="none"/>
          <w:lang w:val="de-DE"/>
        </w:rPr>
        <w:tab/>
      </w:r>
      <w:r w:rsidRPr="008D63EB">
        <w:rPr>
          <w:rStyle w:val="Lienhypertexte"/>
          <w:color w:val="auto"/>
          <w:u w:val="none"/>
          <w:lang w:val="de-DE"/>
        </w:rPr>
        <w:t>Änderung von 7.1.4.1: Begrenzung der beförderten Mengen</w:t>
      </w:r>
      <w:r w:rsidRPr="0024262E">
        <w:rPr>
          <w:rStyle w:val="Lienhypertexte"/>
          <w:noProof/>
          <w:color w:val="auto"/>
          <w:u w:val="none"/>
          <w:lang w:val="de-DE"/>
        </w:rPr>
        <w:tab/>
      </w:r>
      <w:r w:rsidRPr="0024262E">
        <w:rPr>
          <w:rStyle w:val="Lienhypertexte"/>
          <w:noProof/>
          <w:color w:val="auto"/>
          <w:u w:val="none"/>
          <w:lang w:val="de-DE"/>
        </w:rPr>
        <w:tab/>
        <w:t>51</w:t>
      </w:r>
      <w:r w:rsidRPr="0024262E">
        <w:rPr>
          <w:rStyle w:val="Lienhypertexte"/>
          <w:noProof/>
          <w:webHidden/>
          <w:color w:val="auto"/>
          <w:u w:val="none"/>
          <w:lang w:val="de-DE"/>
        </w:rPr>
        <w:tab/>
        <w:t>1</w:t>
      </w:r>
      <w:r>
        <w:rPr>
          <w:rStyle w:val="Lienhypertexte"/>
          <w:noProof/>
          <w:webHidden/>
          <w:color w:val="auto"/>
          <w:u w:val="none"/>
          <w:lang w:val="de-DE"/>
        </w:rPr>
        <w:t>1</w:t>
      </w:r>
    </w:p>
    <w:p w14:paraId="5C4C36FE"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24262E">
        <w:rPr>
          <w:rStyle w:val="Lienhypertexte"/>
          <w:noProof/>
          <w:color w:val="auto"/>
          <w:u w:val="none"/>
          <w:lang w:val="de-DE"/>
        </w:rPr>
        <w:tab/>
        <w:t>19.</w:t>
      </w:r>
      <w:r w:rsidRPr="0024262E">
        <w:rPr>
          <w:rStyle w:val="Lienhypertexte"/>
          <w:noProof/>
          <w:color w:val="auto"/>
          <w:u w:val="none"/>
          <w:lang w:val="de-DE"/>
        </w:rPr>
        <w:tab/>
      </w:r>
      <w:r w:rsidRPr="008D63EB">
        <w:rPr>
          <w:rStyle w:val="Lienhypertexte"/>
          <w:color w:val="auto"/>
          <w:u w:val="none"/>
          <w:lang w:val="de-DE"/>
        </w:rPr>
        <w:t>Änderungen zu 7.2 ADN</w:t>
      </w:r>
      <w:r w:rsidRPr="0024262E">
        <w:rPr>
          <w:rStyle w:val="Lienhypertexte"/>
          <w:noProof/>
          <w:webHidden/>
          <w:color w:val="auto"/>
          <w:u w:val="none"/>
          <w:lang w:val="de-DE"/>
        </w:rPr>
        <w:tab/>
      </w:r>
      <w:r w:rsidRPr="0024262E">
        <w:rPr>
          <w:rStyle w:val="Lienhypertexte"/>
          <w:noProof/>
          <w:webHidden/>
          <w:color w:val="auto"/>
          <w:u w:val="none"/>
          <w:lang w:val="de-DE"/>
        </w:rPr>
        <w:tab/>
        <w:t>52</w:t>
      </w:r>
      <w:r w:rsidRPr="0024262E">
        <w:rPr>
          <w:rStyle w:val="Lienhypertexte"/>
          <w:noProof/>
          <w:webHidden/>
          <w:color w:val="auto"/>
          <w:u w:val="none"/>
          <w:lang w:val="de-DE"/>
        </w:rPr>
        <w:tab/>
        <w:t>11</w:t>
      </w:r>
    </w:p>
    <w:p w14:paraId="72E6A1BC"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8D63EB">
        <w:rPr>
          <w:rStyle w:val="Lienhypertexte"/>
          <w:color w:val="auto"/>
          <w:u w:val="none"/>
          <w:lang w:val="de-DE"/>
        </w:rPr>
        <w:t>C.</w:t>
      </w:r>
      <w:r w:rsidRPr="0024262E">
        <w:rPr>
          <w:rStyle w:val="Lienhypertexte"/>
          <w:noProof/>
          <w:color w:val="auto"/>
          <w:u w:val="none"/>
          <w:lang w:val="de-DE"/>
        </w:rPr>
        <w:tab/>
      </w:r>
      <w:r w:rsidRPr="008D63EB">
        <w:rPr>
          <w:rStyle w:val="Lienhypertexte"/>
          <w:color w:val="auto"/>
          <w:u w:val="none"/>
          <w:lang w:val="de-DE"/>
        </w:rPr>
        <w:t>Überprüfung der in den vorhergehenden Sitzungen angenommenen Änderungen</w:t>
      </w:r>
      <w:r w:rsidRPr="0024262E">
        <w:rPr>
          <w:rStyle w:val="Lienhypertexte"/>
          <w:noProof/>
          <w:webHidden/>
          <w:color w:val="auto"/>
          <w:u w:val="none"/>
          <w:lang w:val="de-DE"/>
        </w:rPr>
        <w:tab/>
        <w:t>53</w:t>
      </w:r>
      <w:r w:rsidRPr="0024262E">
        <w:rPr>
          <w:rStyle w:val="Lienhypertexte"/>
          <w:noProof/>
          <w:webHidden/>
          <w:color w:val="auto"/>
          <w:u w:val="none"/>
          <w:lang w:val="de-DE"/>
        </w:rPr>
        <w:tab/>
        <w:t>11</w:t>
      </w:r>
    </w:p>
    <w:p w14:paraId="14D7A5FB"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8D63EB">
        <w:rPr>
          <w:rStyle w:val="Lienhypertexte"/>
          <w:color w:val="auto"/>
          <w:u w:val="none"/>
          <w:lang w:val="de-DE"/>
        </w:rPr>
        <w:t>VII.</w:t>
      </w:r>
      <w:r w:rsidRPr="0024262E">
        <w:rPr>
          <w:rStyle w:val="Lienhypertexte"/>
          <w:noProof/>
          <w:color w:val="auto"/>
          <w:u w:val="none"/>
          <w:lang w:val="de-DE"/>
        </w:rPr>
        <w:tab/>
      </w:r>
      <w:r w:rsidRPr="008D63EB">
        <w:rPr>
          <w:rStyle w:val="Lienhypertexte"/>
          <w:color w:val="auto"/>
          <w:u w:val="none"/>
          <w:lang w:val="de-DE"/>
        </w:rPr>
        <w:t>Berichte informeller Arbeitsgruppen (TOP 6)</w:t>
      </w:r>
      <w:r w:rsidRPr="0024262E">
        <w:rPr>
          <w:rStyle w:val="Lienhypertexte"/>
          <w:noProof/>
          <w:webHidden/>
          <w:color w:val="auto"/>
          <w:u w:val="none"/>
          <w:lang w:val="de-DE"/>
        </w:rPr>
        <w:tab/>
      </w:r>
      <w:r w:rsidRPr="0024262E">
        <w:rPr>
          <w:rStyle w:val="Lienhypertexte"/>
          <w:noProof/>
          <w:webHidden/>
          <w:color w:val="auto"/>
          <w:u w:val="none"/>
          <w:lang w:val="de-DE"/>
        </w:rPr>
        <w:tab/>
        <w:t>54-58</w:t>
      </w:r>
      <w:r w:rsidRPr="0024262E">
        <w:rPr>
          <w:rStyle w:val="Lienhypertexte"/>
          <w:noProof/>
          <w:webHidden/>
          <w:color w:val="auto"/>
          <w:u w:val="none"/>
          <w:lang w:val="de-DE"/>
        </w:rPr>
        <w:tab/>
        <w:t>1</w:t>
      </w:r>
      <w:r>
        <w:rPr>
          <w:rStyle w:val="Lienhypertexte"/>
          <w:noProof/>
          <w:webHidden/>
          <w:color w:val="auto"/>
          <w:u w:val="none"/>
          <w:lang w:val="de-DE"/>
        </w:rPr>
        <w:t>2</w:t>
      </w:r>
    </w:p>
    <w:p w14:paraId="30074B40"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559" w:hanging="1559"/>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8D63EB">
        <w:rPr>
          <w:rStyle w:val="Lienhypertexte"/>
          <w:color w:val="auto"/>
          <w:u w:val="none"/>
          <w:lang w:val="de-DE"/>
        </w:rPr>
        <w:t>A.</w:t>
      </w:r>
      <w:r w:rsidRPr="0024262E">
        <w:rPr>
          <w:rStyle w:val="Lienhypertexte"/>
          <w:noProof/>
          <w:color w:val="auto"/>
          <w:u w:val="none"/>
          <w:lang w:val="de-DE"/>
        </w:rPr>
        <w:tab/>
      </w:r>
      <w:r w:rsidRPr="008D63EB">
        <w:rPr>
          <w:rStyle w:val="Lienhypertexte"/>
          <w:color w:val="auto"/>
          <w:u w:val="none"/>
          <w:lang w:val="de-DE"/>
        </w:rPr>
        <w:t>Protokoll über die 18. Sitzung der Empfohlenen ADN-Klassifikationsgesellschaften</w:t>
      </w:r>
      <w:r w:rsidRPr="0024262E">
        <w:rPr>
          <w:rStyle w:val="Lienhypertexte"/>
          <w:noProof/>
          <w:webHidden/>
          <w:color w:val="auto"/>
          <w:u w:val="none"/>
          <w:lang w:val="de-DE"/>
        </w:rPr>
        <w:tab/>
        <w:t>54</w:t>
      </w:r>
      <w:r w:rsidRPr="0024262E">
        <w:rPr>
          <w:rStyle w:val="Lienhypertexte"/>
          <w:noProof/>
          <w:webHidden/>
          <w:color w:val="auto"/>
          <w:u w:val="none"/>
          <w:lang w:val="de-DE"/>
        </w:rPr>
        <w:tab/>
        <w:t>1</w:t>
      </w:r>
      <w:r>
        <w:rPr>
          <w:rStyle w:val="Lienhypertexte"/>
          <w:noProof/>
          <w:webHidden/>
          <w:color w:val="auto"/>
          <w:u w:val="none"/>
          <w:lang w:val="de-DE"/>
        </w:rPr>
        <w:t>2</w:t>
      </w:r>
    </w:p>
    <w:p w14:paraId="22DEB184"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8D63EB">
        <w:rPr>
          <w:rStyle w:val="Lienhypertexte"/>
          <w:color w:val="auto"/>
          <w:u w:val="none"/>
          <w:lang w:val="de-DE"/>
        </w:rPr>
        <w:t>B.</w:t>
      </w:r>
      <w:r w:rsidRPr="0024262E">
        <w:rPr>
          <w:rStyle w:val="Lienhypertexte"/>
          <w:noProof/>
          <w:color w:val="auto"/>
          <w:u w:val="none"/>
          <w:lang w:val="de-DE"/>
        </w:rPr>
        <w:tab/>
      </w:r>
      <w:r w:rsidRPr="008D63EB">
        <w:rPr>
          <w:rStyle w:val="Lienhypertexte"/>
          <w:color w:val="auto"/>
          <w:u w:val="none"/>
          <w:lang w:val="de-DE"/>
        </w:rPr>
        <w:t>Bericht der informellen Arbeitsgruppe „Membrantanks“</w:t>
      </w:r>
      <w:r w:rsidRPr="0024262E">
        <w:rPr>
          <w:rStyle w:val="Lienhypertexte"/>
          <w:noProof/>
          <w:webHidden/>
          <w:color w:val="auto"/>
          <w:u w:val="none"/>
          <w:lang w:val="de-DE"/>
        </w:rPr>
        <w:tab/>
      </w:r>
      <w:r w:rsidRPr="0024262E">
        <w:rPr>
          <w:rStyle w:val="Lienhypertexte"/>
          <w:noProof/>
          <w:webHidden/>
          <w:color w:val="auto"/>
          <w:u w:val="none"/>
          <w:lang w:val="de-DE"/>
        </w:rPr>
        <w:tab/>
        <w:t>55-56</w:t>
      </w:r>
      <w:r w:rsidRPr="0024262E">
        <w:rPr>
          <w:rStyle w:val="Lienhypertexte"/>
          <w:noProof/>
          <w:webHidden/>
          <w:color w:val="auto"/>
          <w:u w:val="none"/>
          <w:lang w:val="de-DE"/>
        </w:rPr>
        <w:tab/>
        <w:t>1</w:t>
      </w:r>
      <w:r>
        <w:rPr>
          <w:rStyle w:val="Lienhypertexte"/>
          <w:noProof/>
          <w:webHidden/>
          <w:color w:val="auto"/>
          <w:u w:val="none"/>
          <w:lang w:val="de-DE"/>
        </w:rPr>
        <w:t>2</w:t>
      </w:r>
    </w:p>
    <w:p w14:paraId="544CD192"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560" w:hanging="1560"/>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8D63EB">
        <w:rPr>
          <w:rStyle w:val="Lienhypertexte"/>
          <w:color w:val="auto"/>
          <w:u w:val="none"/>
          <w:lang w:val="de-DE"/>
        </w:rPr>
        <w:t>C.</w:t>
      </w:r>
      <w:r w:rsidRPr="0024262E">
        <w:rPr>
          <w:rStyle w:val="Lienhypertexte"/>
          <w:noProof/>
          <w:color w:val="auto"/>
          <w:u w:val="none"/>
          <w:lang w:val="de-DE"/>
        </w:rPr>
        <w:tab/>
      </w:r>
      <w:r w:rsidRPr="008D63EB">
        <w:rPr>
          <w:rStyle w:val="Lienhypertexte"/>
          <w:color w:val="auto"/>
          <w:u w:val="none"/>
          <w:lang w:val="de-DE"/>
        </w:rPr>
        <w:t>Bericht über die vierte Sitzung der informellen Arbeitsgruppe „Load-on-Top in Binnenschiffen“</w:t>
      </w:r>
      <w:r w:rsidRPr="0024262E">
        <w:rPr>
          <w:rStyle w:val="Lienhypertexte"/>
          <w:noProof/>
          <w:webHidden/>
          <w:color w:val="auto"/>
          <w:u w:val="none"/>
          <w:lang w:val="de-DE"/>
        </w:rPr>
        <w:tab/>
      </w:r>
      <w:r w:rsidRPr="0024262E">
        <w:rPr>
          <w:rStyle w:val="Lienhypertexte"/>
          <w:noProof/>
          <w:webHidden/>
          <w:color w:val="auto"/>
          <w:u w:val="none"/>
          <w:lang w:val="de-DE"/>
        </w:rPr>
        <w:tab/>
      </w:r>
      <w:r>
        <w:rPr>
          <w:rStyle w:val="Lienhypertexte"/>
          <w:noProof/>
          <w:webHidden/>
          <w:color w:val="auto"/>
          <w:u w:val="none"/>
          <w:lang w:val="de-DE"/>
        </w:rPr>
        <w:tab/>
      </w:r>
      <w:r>
        <w:rPr>
          <w:rStyle w:val="Lienhypertexte"/>
          <w:noProof/>
          <w:webHidden/>
          <w:color w:val="auto"/>
          <w:u w:val="none"/>
          <w:lang w:val="de-DE"/>
        </w:rPr>
        <w:tab/>
      </w:r>
      <w:r w:rsidRPr="0024262E">
        <w:rPr>
          <w:rStyle w:val="Lienhypertexte"/>
          <w:noProof/>
          <w:webHidden/>
          <w:color w:val="auto"/>
          <w:u w:val="none"/>
          <w:lang w:val="de-DE"/>
        </w:rPr>
        <w:t>57</w:t>
      </w:r>
      <w:r w:rsidRPr="0024262E">
        <w:rPr>
          <w:rStyle w:val="Lienhypertexte"/>
          <w:noProof/>
          <w:webHidden/>
          <w:color w:val="auto"/>
          <w:u w:val="none"/>
          <w:lang w:val="de-DE"/>
        </w:rPr>
        <w:tab/>
      </w:r>
      <w:r>
        <w:rPr>
          <w:rStyle w:val="Lienhypertexte"/>
          <w:noProof/>
          <w:webHidden/>
          <w:color w:val="auto"/>
          <w:u w:val="none"/>
          <w:lang w:val="de-DE"/>
        </w:rPr>
        <w:t>12</w:t>
      </w:r>
    </w:p>
    <w:p w14:paraId="2210A5DB"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24262E">
        <w:rPr>
          <w:rStyle w:val="Lienhypertexte"/>
          <w:noProof/>
          <w:color w:val="auto"/>
          <w:u w:val="none"/>
          <w:lang w:val="de-DE"/>
        </w:rPr>
        <w:tab/>
      </w:r>
      <w:r w:rsidRPr="008D63EB">
        <w:rPr>
          <w:rStyle w:val="Lienhypertexte"/>
          <w:color w:val="auto"/>
          <w:u w:val="none"/>
          <w:lang w:val="de-DE"/>
        </w:rPr>
        <w:t>D.</w:t>
      </w:r>
      <w:r w:rsidRPr="0024262E">
        <w:rPr>
          <w:rStyle w:val="Lienhypertexte"/>
          <w:noProof/>
          <w:color w:val="auto"/>
          <w:u w:val="none"/>
          <w:lang w:val="de-DE"/>
        </w:rPr>
        <w:tab/>
      </w:r>
      <w:r w:rsidRPr="00FE1AB9">
        <w:rPr>
          <w:rStyle w:val="Lienhypertexte"/>
          <w:color w:val="auto"/>
          <w:u w:val="none"/>
          <w:lang w:val="de-DE"/>
        </w:rPr>
        <w:t>Bericht der informellen Arbeitsgruppe „</w:t>
      </w:r>
      <w:r w:rsidRPr="001B739C">
        <w:rPr>
          <w:rStyle w:val="Lienhypertexte"/>
          <w:color w:val="auto"/>
          <w:u w:val="none"/>
          <w:lang w:val="de-DE"/>
        </w:rPr>
        <w:t>Entgasen/Betriebsemissionen</w:t>
      </w:r>
      <w:r w:rsidRPr="00FE1AB9">
        <w:rPr>
          <w:rStyle w:val="Lienhypertexte"/>
          <w:color w:val="auto"/>
          <w:u w:val="none"/>
          <w:lang w:val="de-DE"/>
        </w:rPr>
        <w:t>“</w:t>
      </w:r>
      <w:r w:rsidRPr="0024262E">
        <w:rPr>
          <w:rStyle w:val="Lienhypertexte"/>
          <w:noProof/>
          <w:webHidden/>
          <w:color w:val="auto"/>
          <w:u w:val="none"/>
          <w:lang w:val="de-DE"/>
        </w:rPr>
        <w:tab/>
      </w:r>
      <w:r w:rsidRPr="0024262E">
        <w:rPr>
          <w:rStyle w:val="Lienhypertexte"/>
          <w:noProof/>
          <w:webHidden/>
          <w:color w:val="auto"/>
          <w:u w:val="none"/>
          <w:lang w:val="de-DE"/>
        </w:rPr>
        <w:tab/>
        <w:t>58</w:t>
      </w:r>
      <w:r w:rsidRPr="0024262E">
        <w:rPr>
          <w:rStyle w:val="Lienhypertexte"/>
          <w:noProof/>
          <w:webHidden/>
          <w:color w:val="auto"/>
          <w:u w:val="none"/>
          <w:lang w:val="de-DE"/>
        </w:rPr>
        <w:tab/>
        <w:t>12</w:t>
      </w:r>
    </w:p>
    <w:p w14:paraId="73B797E6"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FE1AB9">
        <w:rPr>
          <w:rStyle w:val="Lienhypertexte"/>
          <w:color w:val="auto"/>
          <w:u w:val="none"/>
          <w:lang w:val="de-DE"/>
        </w:rPr>
        <w:t>VIII.</w:t>
      </w:r>
      <w:r w:rsidRPr="0024262E">
        <w:rPr>
          <w:rStyle w:val="Lienhypertexte"/>
          <w:noProof/>
          <w:color w:val="auto"/>
          <w:u w:val="none"/>
          <w:lang w:val="de-DE"/>
        </w:rPr>
        <w:tab/>
      </w:r>
      <w:r w:rsidRPr="00FE1AB9">
        <w:rPr>
          <w:rStyle w:val="Lienhypertexte"/>
          <w:color w:val="auto"/>
          <w:u w:val="none"/>
          <w:lang w:val="de-DE"/>
        </w:rPr>
        <w:t>Arbeitsprogramm und Sitzungsplan (TOP 7)</w:t>
      </w:r>
      <w:r w:rsidRPr="0024262E">
        <w:rPr>
          <w:rStyle w:val="Lienhypertexte"/>
          <w:noProof/>
          <w:webHidden/>
          <w:color w:val="auto"/>
          <w:u w:val="none"/>
          <w:lang w:val="de-DE"/>
        </w:rPr>
        <w:tab/>
      </w:r>
      <w:r w:rsidRPr="0024262E">
        <w:rPr>
          <w:rStyle w:val="Lienhypertexte"/>
          <w:noProof/>
          <w:webHidden/>
          <w:color w:val="auto"/>
          <w:u w:val="none"/>
          <w:lang w:val="de-DE"/>
        </w:rPr>
        <w:tab/>
        <w:t>59-60</w:t>
      </w:r>
      <w:r w:rsidRPr="0024262E">
        <w:rPr>
          <w:rStyle w:val="Lienhypertexte"/>
          <w:noProof/>
          <w:webHidden/>
          <w:color w:val="auto"/>
          <w:u w:val="none"/>
          <w:lang w:val="de-DE"/>
        </w:rPr>
        <w:tab/>
        <w:t>1</w:t>
      </w:r>
      <w:r>
        <w:rPr>
          <w:rStyle w:val="Lienhypertexte"/>
          <w:noProof/>
          <w:webHidden/>
          <w:color w:val="auto"/>
          <w:u w:val="none"/>
          <w:lang w:val="de-DE"/>
        </w:rPr>
        <w:t>3</w:t>
      </w:r>
    </w:p>
    <w:p w14:paraId="654B4E7C"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FE1AB9">
        <w:rPr>
          <w:rStyle w:val="Lienhypertexte"/>
          <w:color w:val="auto"/>
          <w:u w:val="none"/>
          <w:lang w:val="de-DE"/>
        </w:rPr>
        <w:t>IX.</w:t>
      </w:r>
      <w:r w:rsidRPr="0024262E">
        <w:rPr>
          <w:rStyle w:val="Lienhypertexte"/>
          <w:noProof/>
          <w:color w:val="auto"/>
          <w:u w:val="none"/>
          <w:lang w:val="de-DE"/>
        </w:rPr>
        <w:tab/>
      </w:r>
      <w:r w:rsidRPr="00FE1AB9">
        <w:rPr>
          <w:rStyle w:val="Lienhypertexte"/>
          <w:color w:val="auto"/>
          <w:u w:val="none"/>
          <w:lang w:val="de-DE"/>
        </w:rPr>
        <w:t>Verschiedenes (TOP 8)</w:t>
      </w:r>
      <w:r w:rsidRPr="0024262E">
        <w:rPr>
          <w:rStyle w:val="Lienhypertexte"/>
          <w:noProof/>
          <w:webHidden/>
          <w:color w:val="auto"/>
          <w:u w:val="none"/>
          <w:lang w:val="de-DE"/>
        </w:rPr>
        <w:tab/>
      </w:r>
      <w:r w:rsidRPr="0024262E">
        <w:rPr>
          <w:rStyle w:val="Lienhypertexte"/>
          <w:noProof/>
          <w:webHidden/>
          <w:color w:val="auto"/>
          <w:u w:val="none"/>
          <w:lang w:val="de-DE"/>
        </w:rPr>
        <w:tab/>
        <w:t>61-63</w:t>
      </w:r>
      <w:r w:rsidRPr="0024262E">
        <w:rPr>
          <w:rStyle w:val="Lienhypertexte"/>
          <w:noProof/>
          <w:webHidden/>
          <w:color w:val="auto"/>
          <w:u w:val="none"/>
          <w:lang w:val="de-DE"/>
        </w:rPr>
        <w:tab/>
        <w:t>1</w:t>
      </w:r>
      <w:r>
        <w:rPr>
          <w:rStyle w:val="Lienhypertexte"/>
          <w:noProof/>
          <w:webHidden/>
          <w:color w:val="auto"/>
          <w:u w:val="none"/>
          <w:lang w:val="de-DE"/>
        </w:rPr>
        <w:t>3</w:t>
      </w:r>
    </w:p>
    <w:p w14:paraId="150ED5AC"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24262E">
        <w:rPr>
          <w:rStyle w:val="Lienhypertexte"/>
          <w:noProof/>
          <w:color w:val="auto"/>
          <w:u w:val="none"/>
          <w:lang w:val="de-DE"/>
        </w:rPr>
        <w:tab/>
      </w:r>
      <w:r w:rsidRPr="00FE1AB9">
        <w:rPr>
          <w:rStyle w:val="Lienhypertexte"/>
          <w:color w:val="auto"/>
          <w:u w:val="none"/>
          <w:lang w:val="de-DE"/>
        </w:rPr>
        <w:t>X.</w:t>
      </w:r>
      <w:r w:rsidRPr="0024262E">
        <w:rPr>
          <w:rStyle w:val="Lienhypertexte"/>
          <w:noProof/>
          <w:color w:val="auto"/>
          <w:u w:val="none"/>
          <w:lang w:val="de-DE"/>
        </w:rPr>
        <w:tab/>
      </w:r>
      <w:r w:rsidRPr="00FE1AB9">
        <w:rPr>
          <w:rStyle w:val="Lienhypertexte"/>
          <w:color w:val="auto"/>
          <w:u w:val="none"/>
          <w:lang w:val="de-DE"/>
        </w:rPr>
        <w:t>Genehmigung des Sitzungsprotokolls (TOP 9)</w:t>
      </w:r>
      <w:r w:rsidRPr="0024262E">
        <w:rPr>
          <w:rStyle w:val="Lienhypertexte"/>
          <w:noProof/>
          <w:webHidden/>
          <w:color w:val="auto"/>
          <w:u w:val="none"/>
          <w:lang w:val="de-DE"/>
        </w:rPr>
        <w:tab/>
      </w:r>
      <w:r w:rsidRPr="0024262E">
        <w:rPr>
          <w:rStyle w:val="Lienhypertexte"/>
          <w:noProof/>
          <w:webHidden/>
          <w:color w:val="auto"/>
          <w:u w:val="none"/>
          <w:lang w:val="de-DE"/>
        </w:rPr>
        <w:tab/>
        <w:t>64</w:t>
      </w:r>
      <w:r w:rsidRPr="0024262E">
        <w:rPr>
          <w:rStyle w:val="Lienhypertexte"/>
          <w:noProof/>
          <w:webHidden/>
          <w:color w:val="auto"/>
          <w:u w:val="none"/>
          <w:lang w:val="de-DE"/>
        </w:rPr>
        <w:tab/>
        <w:t>1</w:t>
      </w:r>
      <w:r>
        <w:rPr>
          <w:rStyle w:val="Lienhypertexte"/>
          <w:noProof/>
          <w:webHidden/>
          <w:color w:val="auto"/>
          <w:u w:val="none"/>
          <w:lang w:val="de-DE"/>
        </w:rPr>
        <w:t>3</w:t>
      </w:r>
    </w:p>
    <w:p w14:paraId="7527ED2A"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Lienhypertexte"/>
          <w:noProof/>
          <w:color w:val="auto"/>
          <w:u w:val="none"/>
          <w:lang w:val="de-DE"/>
        </w:rPr>
      </w:pPr>
      <w:r w:rsidRPr="00FE1AB9">
        <w:rPr>
          <w:rStyle w:val="Lienhypertexte"/>
          <w:color w:val="auto"/>
          <w:u w:val="none"/>
          <w:lang w:val="de-DE"/>
        </w:rPr>
        <w:t>Anlagen</w:t>
      </w:r>
    </w:p>
    <w:p w14:paraId="17C2619E" w14:textId="77777777" w:rsidR="00251B6A" w:rsidRPr="0024262E" w:rsidRDefault="00251B6A" w:rsidP="00251B6A">
      <w:pPr>
        <w:keepNext/>
        <w:keepLines/>
        <w:tabs>
          <w:tab w:val="right" w:pos="850"/>
          <w:tab w:val="left" w:pos="1134"/>
          <w:tab w:val="left" w:pos="1559"/>
          <w:tab w:val="left" w:pos="1984"/>
          <w:tab w:val="left" w:leader="dot" w:pos="8900"/>
          <w:tab w:val="right" w:pos="9638"/>
        </w:tabs>
        <w:spacing w:after="120"/>
        <w:ind w:left="1134" w:hanging="1134"/>
        <w:rPr>
          <w:rStyle w:val="Lienhypertexte"/>
          <w:noProof/>
          <w:color w:val="auto"/>
          <w:u w:val="none"/>
          <w:lang w:val="de-DE"/>
        </w:rPr>
      </w:pPr>
      <w:r w:rsidRPr="0024262E">
        <w:rPr>
          <w:rStyle w:val="Lienhypertexte"/>
          <w:noProof/>
          <w:color w:val="auto"/>
          <w:u w:val="none"/>
          <w:lang w:val="de-DE"/>
        </w:rPr>
        <w:tab/>
      </w:r>
      <w:r w:rsidRPr="00FE1AB9">
        <w:rPr>
          <w:rStyle w:val="Lienhypertexte"/>
          <w:color w:val="auto"/>
          <w:u w:val="none"/>
          <w:lang w:val="de-DE"/>
        </w:rPr>
        <w:t>I.</w:t>
      </w:r>
      <w:r w:rsidRPr="0024262E">
        <w:rPr>
          <w:rStyle w:val="Lienhypertexte"/>
          <w:noProof/>
          <w:color w:val="auto"/>
          <w:u w:val="none"/>
          <w:lang w:val="de-DE"/>
        </w:rPr>
        <w:tab/>
      </w:r>
      <w:r w:rsidRPr="00FE1AB9">
        <w:rPr>
          <w:rStyle w:val="Lienhypertexte"/>
          <w:color w:val="auto"/>
          <w:u w:val="none"/>
          <w:lang w:val="de-DE"/>
        </w:rPr>
        <w:t>Änderungsvorschläge zu der dem ADN beigefügten Verordnung, die am 1. Januar 2021 in Kraft treten sollen</w:t>
      </w:r>
      <w:r w:rsidRPr="0024262E">
        <w:rPr>
          <w:rStyle w:val="Lienhypertexte"/>
          <w:noProof/>
          <w:webHidden/>
          <w:color w:val="auto"/>
          <w:u w:val="none"/>
          <w:lang w:val="de-DE"/>
        </w:rPr>
        <w:tab/>
      </w:r>
      <w:r w:rsidRPr="0024262E">
        <w:rPr>
          <w:rStyle w:val="Lienhypertexte"/>
          <w:noProof/>
          <w:webHidden/>
          <w:color w:val="auto"/>
          <w:u w:val="none"/>
          <w:lang w:val="de-DE"/>
        </w:rPr>
        <w:tab/>
      </w:r>
      <w:r>
        <w:rPr>
          <w:rStyle w:val="Lienhypertexte"/>
          <w:noProof/>
          <w:webHidden/>
          <w:color w:val="auto"/>
          <w:u w:val="none"/>
          <w:lang w:val="de-DE"/>
        </w:rPr>
        <w:tab/>
      </w:r>
      <w:r w:rsidRPr="0024262E">
        <w:rPr>
          <w:rStyle w:val="Lienhypertexte"/>
          <w:noProof/>
          <w:webHidden/>
          <w:color w:val="auto"/>
          <w:u w:val="none"/>
          <w:lang w:val="de-DE"/>
        </w:rPr>
        <w:t>1</w:t>
      </w:r>
      <w:r>
        <w:rPr>
          <w:rStyle w:val="Lienhypertexte"/>
          <w:noProof/>
          <w:webHidden/>
          <w:color w:val="auto"/>
          <w:u w:val="none"/>
          <w:lang w:val="de-DE"/>
        </w:rPr>
        <w:t>4</w:t>
      </w:r>
    </w:p>
    <w:p w14:paraId="17279988" w14:textId="77777777" w:rsidR="00251B6A" w:rsidRPr="0024262E" w:rsidRDefault="00251B6A" w:rsidP="00251B6A">
      <w:pPr>
        <w:keepNext/>
        <w:keepLines/>
        <w:tabs>
          <w:tab w:val="right" w:pos="850"/>
          <w:tab w:val="left" w:pos="1134"/>
          <w:tab w:val="left" w:pos="1559"/>
          <w:tab w:val="left" w:pos="1984"/>
          <w:tab w:val="left" w:leader="dot" w:pos="8900"/>
          <w:tab w:val="right" w:pos="9638"/>
        </w:tabs>
        <w:spacing w:after="120"/>
        <w:ind w:left="1134" w:hanging="1134"/>
        <w:rPr>
          <w:rStyle w:val="Lienhypertexte"/>
          <w:noProof/>
          <w:color w:val="auto"/>
          <w:u w:val="none"/>
          <w:lang w:val="de-DE"/>
        </w:rPr>
      </w:pPr>
      <w:r w:rsidRPr="0024262E">
        <w:rPr>
          <w:rStyle w:val="Lienhypertexte"/>
          <w:noProof/>
          <w:color w:val="auto"/>
          <w:u w:val="none"/>
          <w:lang w:val="de-DE"/>
        </w:rPr>
        <w:tab/>
      </w:r>
      <w:r w:rsidRPr="00FE1AB9">
        <w:rPr>
          <w:rStyle w:val="Lienhypertexte"/>
          <w:color w:val="auto"/>
          <w:u w:val="none"/>
          <w:lang w:val="de-DE"/>
        </w:rPr>
        <w:t>II.</w:t>
      </w:r>
      <w:r w:rsidRPr="0024262E">
        <w:rPr>
          <w:rStyle w:val="Lienhypertexte"/>
          <w:noProof/>
          <w:color w:val="auto"/>
          <w:u w:val="none"/>
          <w:lang w:val="de-DE"/>
        </w:rPr>
        <w:tab/>
      </w:r>
      <w:r w:rsidRPr="002268AD">
        <w:rPr>
          <w:lang w:val="de-DE"/>
        </w:rPr>
        <w:t>Änderungen an den standardisierten Mustern der Schiffskontrolllisten</w:t>
      </w:r>
      <w:r w:rsidRPr="0024262E">
        <w:rPr>
          <w:noProof/>
          <w:webHidden/>
          <w:lang w:val="de-DE"/>
        </w:rPr>
        <w:tab/>
      </w:r>
      <w:r w:rsidRPr="0024262E">
        <w:rPr>
          <w:noProof/>
          <w:webHidden/>
          <w:lang w:val="de-DE"/>
        </w:rPr>
        <w:tab/>
        <w:t>1</w:t>
      </w:r>
      <w:r>
        <w:rPr>
          <w:noProof/>
          <w:webHidden/>
          <w:lang w:val="de-DE"/>
        </w:rPr>
        <w:t>5</w:t>
      </w:r>
    </w:p>
    <w:p w14:paraId="6539B38C" w14:textId="77777777" w:rsidR="00251B6A" w:rsidRPr="0024262E" w:rsidRDefault="00251B6A" w:rsidP="00251B6A">
      <w:pPr>
        <w:keepNext/>
        <w:keepLines/>
        <w:tabs>
          <w:tab w:val="right" w:pos="850"/>
          <w:tab w:val="left" w:pos="1134"/>
          <w:tab w:val="left" w:pos="1559"/>
          <w:tab w:val="left" w:pos="1984"/>
          <w:tab w:val="left" w:leader="dot" w:pos="8900"/>
          <w:tab w:val="right" w:pos="9638"/>
        </w:tabs>
        <w:spacing w:after="120"/>
        <w:ind w:left="1134" w:hanging="1134"/>
        <w:rPr>
          <w:rStyle w:val="Lienhypertexte"/>
          <w:noProof/>
          <w:color w:val="auto"/>
          <w:u w:val="none"/>
          <w:lang w:val="de-DE"/>
        </w:rPr>
      </w:pPr>
      <w:r w:rsidRPr="0024262E">
        <w:rPr>
          <w:rStyle w:val="Lienhypertexte"/>
          <w:noProof/>
          <w:color w:val="auto"/>
          <w:u w:val="none"/>
          <w:lang w:val="de-DE"/>
        </w:rPr>
        <w:tab/>
      </w:r>
      <w:r w:rsidRPr="002268AD">
        <w:rPr>
          <w:rStyle w:val="Lienhypertexte"/>
          <w:color w:val="auto"/>
          <w:u w:val="none"/>
          <w:lang w:val="de-DE"/>
        </w:rPr>
        <w:t>III.</w:t>
      </w:r>
      <w:r w:rsidRPr="0024262E">
        <w:rPr>
          <w:rStyle w:val="Lienhypertexte"/>
          <w:noProof/>
          <w:color w:val="auto"/>
          <w:u w:val="none"/>
          <w:lang w:val="de-DE"/>
        </w:rPr>
        <w:tab/>
      </w:r>
      <w:r w:rsidRPr="002268AD">
        <w:rPr>
          <w:lang w:val="de-DE"/>
        </w:rPr>
        <w:t>Berichtigungen am Dokument ECE/TRANS/276 (ADN-Ausgabe 2019)</w:t>
      </w:r>
      <w:r w:rsidRPr="002268AD">
        <w:rPr>
          <w:lang w:val="de-DE"/>
        </w:rPr>
        <w:br/>
        <w:t>(bedürfen nicht der Zustimmung der Vertragsparteien)</w:t>
      </w:r>
      <w:r w:rsidRPr="0024262E">
        <w:rPr>
          <w:noProof/>
          <w:lang w:val="de-DE"/>
        </w:rPr>
        <w:tab/>
      </w:r>
      <w:r w:rsidRPr="0024262E">
        <w:rPr>
          <w:noProof/>
          <w:lang w:val="de-DE"/>
        </w:rPr>
        <w:tab/>
      </w:r>
      <w:r w:rsidRPr="0024262E">
        <w:rPr>
          <w:noProof/>
          <w:webHidden/>
          <w:lang w:val="de-DE"/>
        </w:rPr>
        <w:t>1</w:t>
      </w:r>
      <w:r>
        <w:rPr>
          <w:noProof/>
          <w:webHidden/>
          <w:lang w:val="de-DE"/>
        </w:rPr>
        <w:t>6</w:t>
      </w:r>
    </w:p>
    <w:p w14:paraId="71A9E416" w14:textId="77777777" w:rsidR="00251B6A" w:rsidRPr="0024262E" w:rsidRDefault="00251B6A" w:rsidP="00251B6A">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p>
    <w:p w14:paraId="21199285" w14:textId="1119C74F" w:rsidR="00AF0B68" w:rsidRPr="0024262E" w:rsidRDefault="00304C40" w:rsidP="00A21BC1">
      <w:pPr>
        <w:pStyle w:val="HChG"/>
        <w:rPr>
          <w:lang w:val="de-DE"/>
        </w:rPr>
      </w:pPr>
      <w:r w:rsidRPr="0024262E">
        <w:rPr>
          <w:lang w:val="de-DE"/>
        </w:rPr>
        <w:br w:type="page"/>
      </w:r>
    </w:p>
    <w:p w14:paraId="10710948" w14:textId="0589B4AF" w:rsidR="00A21BC1" w:rsidRPr="0024262E" w:rsidRDefault="00A21BC1" w:rsidP="002268AD">
      <w:pPr>
        <w:pStyle w:val="HChG"/>
        <w:rPr>
          <w:lang w:val="de-DE"/>
        </w:rPr>
      </w:pPr>
      <w:r w:rsidRPr="0024262E">
        <w:rPr>
          <w:lang w:val="de-DE"/>
        </w:rPr>
        <w:lastRenderedPageBreak/>
        <w:tab/>
      </w:r>
      <w:bookmarkStart w:id="1" w:name="_Toc32481631"/>
      <w:bookmarkStart w:id="2" w:name="_Hlk536607859"/>
      <w:r w:rsidR="002268AD" w:rsidRPr="002268AD">
        <w:rPr>
          <w:lang w:val="de-DE"/>
        </w:rPr>
        <w:t>I.</w:t>
      </w:r>
      <w:r w:rsidRPr="0024262E">
        <w:rPr>
          <w:lang w:val="de-DE"/>
        </w:rPr>
        <w:tab/>
      </w:r>
      <w:bookmarkEnd w:id="1"/>
      <w:r w:rsidR="002268AD" w:rsidRPr="002268AD">
        <w:rPr>
          <w:lang w:val="de-DE"/>
        </w:rPr>
        <w:t>Teilnehmer</w:t>
      </w:r>
    </w:p>
    <w:p w14:paraId="5B7DD2F7" w14:textId="38DCEBF6" w:rsidR="00A21BC1" w:rsidRPr="0024262E" w:rsidRDefault="00A21BC1" w:rsidP="001B739C">
      <w:pPr>
        <w:pStyle w:val="SingleTxtG"/>
        <w:rPr>
          <w:lang w:val="de-DE"/>
        </w:rPr>
      </w:pPr>
      <w:bookmarkStart w:id="3" w:name="_Hlk30518676"/>
      <w:r w:rsidRPr="0024262E">
        <w:rPr>
          <w:lang w:val="de-DE"/>
        </w:rPr>
        <w:t>1.</w:t>
      </w:r>
      <w:r w:rsidRPr="0024262E">
        <w:rPr>
          <w:lang w:val="de-DE"/>
        </w:rPr>
        <w:tab/>
      </w:r>
      <w:r w:rsidR="002268AD" w:rsidRPr="001B739C">
        <w:rPr>
          <w:lang w:val="de-DE"/>
        </w:rPr>
        <w:t>Die Gemeinsame Expertentagung für die dem Europäischen Übereinkommen über die internationale Beförderung von gefährlichen Gütern auf Binnenwasserstraßen (ADN) beigefügte Verordnung (ADN-Sicherheitsausschuss) hielt vom 27. bis 31. Januar 2020 in Genf ihre sechsunddreißigste Sitzung ab.</w:t>
      </w:r>
    </w:p>
    <w:p w14:paraId="05133656" w14:textId="1677739D" w:rsidR="00A21BC1" w:rsidRPr="0024262E" w:rsidRDefault="00A21BC1" w:rsidP="001B739C">
      <w:pPr>
        <w:pStyle w:val="SingleTxtG"/>
        <w:rPr>
          <w:lang w:val="de-DE"/>
        </w:rPr>
      </w:pPr>
      <w:r w:rsidRPr="0024262E">
        <w:rPr>
          <w:lang w:val="de-DE"/>
        </w:rPr>
        <w:t>2.</w:t>
      </w:r>
      <w:r w:rsidRPr="0024262E">
        <w:rPr>
          <w:lang w:val="de-DE"/>
        </w:rPr>
        <w:tab/>
      </w:r>
      <w:r w:rsidR="002268AD" w:rsidRPr="001B739C">
        <w:rPr>
          <w:lang w:val="de-DE"/>
        </w:rPr>
        <w:t>An den Arbeiten dieser Sitzung beteiligten sich Vertreter der folgenden Länder:</w:t>
      </w:r>
      <w:r w:rsidRPr="0024262E">
        <w:rPr>
          <w:lang w:val="de-DE"/>
        </w:rPr>
        <w:t xml:space="preserve"> </w:t>
      </w:r>
      <w:r w:rsidR="002268AD" w:rsidRPr="001B739C">
        <w:rPr>
          <w:lang w:val="de-DE"/>
        </w:rPr>
        <w:t>Belgien, Deutschland, Frankreich, Niederlande, Österreich, Polen, Rumänien, Russische Föderation, Schweiz, Serbien und Tschechische Republik.</w:t>
      </w:r>
      <w:r w:rsidRPr="0024262E">
        <w:rPr>
          <w:lang w:val="de-DE"/>
        </w:rPr>
        <w:t xml:space="preserve"> </w:t>
      </w:r>
    </w:p>
    <w:p w14:paraId="4D18243C" w14:textId="25E6FF74" w:rsidR="00A21BC1" w:rsidRPr="0024262E" w:rsidRDefault="00A21BC1" w:rsidP="001B739C">
      <w:pPr>
        <w:pStyle w:val="SingleTxtG"/>
        <w:rPr>
          <w:lang w:val="de-DE"/>
        </w:rPr>
      </w:pPr>
      <w:r w:rsidRPr="0024262E">
        <w:rPr>
          <w:lang w:val="de-DE"/>
        </w:rPr>
        <w:t>3.</w:t>
      </w:r>
      <w:r w:rsidRPr="0024262E">
        <w:rPr>
          <w:lang w:val="de-DE"/>
        </w:rPr>
        <w:tab/>
      </w:r>
      <w:r w:rsidR="002268AD" w:rsidRPr="001B739C">
        <w:rPr>
          <w:lang w:val="de-DE"/>
        </w:rPr>
        <w:t>Folgende zwischenstaatliche Organisationen waren vertreten: Zentralkommission für die Rheinschifffahrt (ZKR), Donaukommission und Europäische Union.</w:t>
      </w:r>
      <w:r w:rsidRPr="0024262E">
        <w:rPr>
          <w:lang w:val="de-DE"/>
        </w:rPr>
        <w:t xml:space="preserve"> </w:t>
      </w:r>
    </w:p>
    <w:p w14:paraId="3232E4F8" w14:textId="4687D05A" w:rsidR="00A21BC1" w:rsidRPr="0024262E" w:rsidRDefault="00A21BC1" w:rsidP="001B739C">
      <w:pPr>
        <w:pStyle w:val="SingleTxtG"/>
        <w:rPr>
          <w:lang w:val="de-DE"/>
        </w:rPr>
      </w:pPr>
      <w:r w:rsidRPr="0024262E">
        <w:rPr>
          <w:lang w:val="de-DE"/>
        </w:rPr>
        <w:t>4.</w:t>
      </w:r>
      <w:r w:rsidRPr="0024262E">
        <w:rPr>
          <w:lang w:val="de-DE"/>
        </w:rPr>
        <w:tab/>
      </w:r>
      <w:r w:rsidR="002268AD" w:rsidRPr="001B739C">
        <w:rPr>
          <w:lang w:val="de-DE"/>
        </w:rPr>
        <w:t>Ebenfalls vertreten waren folgende nichtstaatliche Organisationen:</w:t>
      </w:r>
      <w:r w:rsidRPr="0024262E">
        <w:rPr>
          <w:lang w:val="de-DE"/>
        </w:rPr>
        <w:t xml:space="preserve"> </w:t>
      </w:r>
      <w:r w:rsidR="002268AD" w:rsidRPr="001B739C">
        <w:rPr>
          <w:lang w:val="de-DE"/>
        </w:rPr>
        <w:t xml:space="preserve">Europäische Binnenschifffahrts-Union (EBU), Europäischer Rat der Chemischen Industrieverbände (CEFIC), Europäische Schifferorganisation (ESO), Verband europäischer Tanklager (FETSA), </w:t>
      </w:r>
      <w:proofErr w:type="spellStart"/>
      <w:r w:rsidR="002268AD" w:rsidRPr="001B739C">
        <w:rPr>
          <w:lang w:val="de-DE"/>
        </w:rPr>
        <w:t>FuelsEurope</w:t>
      </w:r>
      <w:proofErr w:type="spellEnd"/>
      <w:r w:rsidR="002268AD" w:rsidRPr="001B739C">
        <w:rPr>
          <w:lang w:val="de-DE"/>
        </w:rPr>
        <w:t>, Internationaler Ausschuss für die Verhütung von Arbeitsunfällen in der Binnenschifffahrt (CIPA) und Empfohlene ADN-Klassifikationsgesellschaften.</w:t>
      </w:r>
    </w:p>
    <w:bookmarkEnd w:id="2"/>
    <w:bookmarkEnd w:id="3"/>
    <w:p w14:paraId="6586C965" w14:textId="7F56646B" w:rsidR="00A21BC1" w:rsidRPr="0024262E" w:rsidRDefault="00A21BC1" w:rsidP="001B739C">
      <w:pPr>
        <w:pStyle w:val="HChG"/>
        <w:rPr>
          <w:lang w:val="de-DE"/>
        </w:rPr>
      </w:pPr>
      <w:r w:rsidRPr="0024262E">
        <w:rPr>
          <w:lang w:val="de-DE"/>
        </w:rPr>
        <w:tab/>
      </w:r>
      <w:bookmarkStart w:id="4" w:name="_Toc32481632"/>
      <w:bookmarkStart w:id="5" w:name="_Hlk536607922"/>
      <w:r w:rsidR="002268AD" w:rsidRPr="001B739C">
        <w:rPr>
          <w:lang w:val="de-DE"/>
        </w:rPr>
        <w:t>II.</w:t>
      </w:r>
      <w:r w:rsidRPr="0024262E">
        <w:rPr>
          <w:lang w:val="de-DE"/>
        </w:rPr>
        <w:tab/>
      </w:r>
      <w:bookmarkEnd w:id="4"/>
      <w:r w:rsidR="002268AD" w:rsidRPr="001B739C">
        <w:rPr>
          <w:lang w:val="de-DE"/>
        </w:rPr>
        <w:t>Genehmigung der Tagesordnung (TOP 1)</w:t>
      </w:r>
    </w:p>
    <w:p w14:paraId="7EE91695" w14:textId="37208807" w:rsidR="00A21BC1" w:rsidRPr="0024262E" w:rsidRDefault="00A21BC1" w:rsidP="002268AD">
      <w:pPr>
        <w:tabs>
          <w:tab w:val="left" w:pos="1701"/>
          <w:tab w:val="left" w:pos="3119"/>
        </w:tabs>
        <w:spacing w:after="120"/>
        <w:ind w:left="1134" w:hanging="1134"/>
        <w:rPr>
          <w:lang w:val="de-DE"/>
        </w:rPr>
      </w:pPr>
      <w:r w:rsidRPr="0024262E">
        <w:rPr>
          <w:i/>
          <w:iCs/>
          <w:lang w:val="de-DE"/>
        </w:rPr>
        <w:tab/>
      </w:r>
      <w:r w:rsidR="002268AD" w:rsidRPr="002268AD">
        <w:rPr>
          <w:i/>
          <w:iCs/>
          <w:lang w:val="de-DE"/>
        </w:rPr>
        <w:t>Dokumente:</w:t>
      </w:r>
      <w:r w:rsidRPr="0024262E">
        <w:rPr>
          <w:lang w:val="de-DE"/>
        </w:rPr>
        <w:tab/>
      </w:r>
      <w:r w:rsidR="002268AD" w:rsidRPr="002268AD">
        <w:rPr>
          <w:lang w:val="de-DE"/>
        </w:rPr>
        <w:t>ECE/TRANS/WP.15/AC.2/73 (Sekretariat)</w:t>
      </w:r>
    </w:p>
    <w:p w14:paraId="4F144BBD" w14:textId="6116662A" w:rsidR="00A21BC1" w:rsidRPr="0024262E" w:rsidRDefault="00A21BC1" w:rsidP="002268AD">
      <w:pPr>
        <w:tabs>
          <w:tab w:val="left" w:pos="1134"/>
          <w:tab w:val="left" w:pos="1701"/>
          <w:tab w:val="left" w:pos="3119"/>
        </w:tabs>
        <w:spacing w:after="120"/>
        <w:rPr>
          <w:lang w:val="de-DE"/>
        </w:rPr>
      </w:pPr>
      <w:r w:rsidRPr="0024262E">
        <w:rPr>
          <w:i/>
          <w:iCs/>
          <w:lang w:val="de-DE"/>
        </w:rPr>
        <w:tab/>
      </w:r>
      <w:r w:rsidRPr="0024262E">
        <w:rPr>
          <w:i/>
          <w:iCs/>
          <w:lang w:val="de-DE"/>
        </w:rPr>
        <w:tab/>
      </w:r>
      <w:r w:rsidRPr="0024262E">
        <w:rPr>
          <w:i/>
          <w:iCs/>
          <w:lang w:val="de-DE"/>
        </w:rPr>
        <w:tab/>
      </w:r>
      <w:r w:rsidR="002268AD" w:rsidRPr="002268AD">
        <w:rPr>
          <w:lang w:val="de-DE"/>
        </w:rPr>
        <w:t>ECE/TRANS/WP.15/AC.2/73/Add.1 (Sekretariat)</w:t>
      </w:r>
    </w:p>
    <w:p w14:paraId="58AA6401" w14:textId="5F4695E7" w:rsidR="00A21BC1" w:rsidRPr="0024262E" w:rsidRDefault="002268AD" w:rsidP="002268AD">
      <w:pPr>
        <w:pStyle w:val="SingleTxtG"/>
        <w:tabs>
          <w:tab w:val="left" w:pos="3119"/>
        </w:tabs>
        <w:spacing w:after="240"/>
        <w:rPr>
          <w:lang w:val="de-DE"/>
        </w:rPr>
      </w:pPr>
      <w:r w:rsidRPr="002268AD">
        <w:rPr>
          <w:i/>
          <w:iCs/>
          <w:lang w:val="de-DE"/>
        </w:rPr>
        <w:t>Informelle Dokumente:</w:t>
      </w:r>
      <w:r w:rsidR="00A21BC1" w:rsidRPr="0024262E">
        <w:rPr>
          <w:lang w:val="de-DE"/>
        </w:rPr>
        <w:t xml:space="preserve"> </w:t>
      </w:r>
      <w:r w:rsidR="00A21BC1" w:rsidRPr="0024262E">
        <w:rPr>
          <w:lang w:val="de-DE"/>
        </w:rPr>
        <w:tab/>
      </w:r>
      <w:r w:rsidRPr="002268AD">
        <w:rPr>
          <w:lang w:val="de-DE"/>
        </w:rPr>
        <w:t>INF.1 und INF.17 (Sekretariat)</w:t>
      </w:r>
    </w:p>
    <w:p w14:paraId="1BCB6C1B" w14:textId="2E5609BA" w:rsidR="00A21BC1" w:rsidRPr="0024262E" w:rsidRDefault="00A21BC1" w:rsidP="002268AD">
      <w:pPr>
        <w:pStyle w:val="SingleTxtG"/>
        <w:spacing w:after="240"/>
        <w:rPr>
          <w:lang w:val="de-DE"/>
        </w:rPr>
      </w:pPr>
      <w:r w:rsidRPr="0024262E">
        <w:rPr>
          <w:lang w:val="de-DE"/>
        </w:rPr>
        <w:t>5.</w:t>
      </w:r>
      <w:r w:rsidRPr="0024262E">
        <w:rPr>
          <w:lang w:val="de-DE"/>
        </w:rPr>
        <w:tab/>
      </w:r>
      <w:r w:rsidR="002268AD" w:rsidRPr="002268AD">
        <w:rPr>
          <w:lang w:val="de-DE"/>
        </w:rPr>
        <w:t>Der Sicherheitsausschuss genehmigte die vom Sekretariat vorbereitete Tagesordnung in der durch das informelle Dokument INF.1 zur Berücksichtigung der informellen Dokumente INF.1 bis INF.30 geänderten Fassung.</w:t>
      </w:r>
    </w:p>
    <w:bookmarkEnd w:id="5"/>
    <w:p w14:paraId="65FF174E" w14:textId="4A7700BB" w:rsidR="00A21BC1" w:rsidRPr="0024262E" w:rsidRDefault="00A21BC1" w:rsidP="002268AD">
      <w:pPr>
        <w:pStyle w:val="HChG"/>
        <w:rPr>
          <w:lang w:val="de-DE"/>
        </w:rPr>
      </w:pPr>
      <w:r w:rsidRPr="0024262E">
        <w:rPr>
          <w:lang w:val="de-DE"/>
        </w:rPr>
        <w:tab/>
      </w:r>
      <w:bookmarkStart w:id="6" w:name="_Toc32481633"/>
      <w:r w:rsidR="002268AD" w:rsidRPr="002268AD">
        <w:rPr>
          <w:lang w:val="de-DE"/>
        </w:rPr>
        <w:t>III.</w:t>
      </w:r>
      <w:r w:rsidRPr="0024262E">
        <w:rPr>
          <w:lang w:val="de-DE"/>
        </w:rPr>
        <w:tab/>
      </w:r>
      <w:bookmarkEnd w:id="6"/>
      <w:r w:rsidR="002268AD" w:rsidRPr="002268AD">
        <w:rPr>
          <w:lang w:val="de-DE"/>
        </w:rPr>
        <w:t>Wahl des Büros für 2020 (TOP 2)</w:t>
      </w:r>
    </w:p>
    <w:p w14:paraId="41D7D772" w14:textId="03177FE9" w:rsidR="00A21BC1" w:rsidRPr="0024262E" w:rsidRDefault="00A21BC1" w:rsidP="001B739C">
      <w:pPr>
        <w:pStyle w:val="SingleTxtG"/>
        <w:rPr>
          <w:lang w:val="de-DE"/>
        </w:rPr>
      </w:pPr>
      <w:r w:rsidRPr="0024262E">
        <w:rPr>
          <w:lang w:val="de-DE"/>
        </w:rPr>
        <w:t xml:space="preserve">6. </w:t>
      </w:r>
      <w:r w:rsidRPr="0024262E">
        <w:rPr>
          <w:lang w:val="de-DE"/>
        </w:rPr>
        <w:tab/>
      </w:r>
      <w:r w:rsidR="002268AD" w:rsidRPr="001B739C">
        <w:rPr>
          <w:lang w:val="de-DE"/>
        </w:rPr>
        <w:t>Auf Vorschlag des Vertreters der Schweiz</w:t>
      </w:r>
      <w:r w:rsidR="00353036" w:rsidRPr="001B739C">
        <w:rPr>
          <w:lang w:val="de-DE"/>
        </w:rPr>
        <w:t xml:space="preserve">, unterstützt von den Vertretern Belgiens, </w:t>
      </w:r>
      <w:r w:rsidR="001B739C" w:rsidRPr="001B739C">
        <w:rPr>
          <w:lang w:val="de-DE"/>
        </w:rPr>
        <w:t xml:space="preserve">Deutschlands und </w:t>
      </w:r>
      <w:r w:rsidR="00353036" w:rsidRPr="001B739C">
        <w:rPr>
          <w:lang w:val="de-DE"/>
        </w:rPr>
        <w:t>Frankreichs,</w:t>
      </w:r>
      <w:r w:rsidR="002268AD" w:rsidRPr="001B739C">
        <w:rPr>
          <w:lang w:val="de-DE"/>
        </w:rPr>
        <w:t xml:space="preserve"> wählte der Sicherheitsausschuss Herrn H. Langenberg (Niederlande) und Herrn B. </w:t>
      </w:r>
      <w:proofErr w:type="spellStart"/>
      <w:r w:rsidR="002268AD" w:rsidRPr="001B739C">
        <w:rPr>
          <w:lang w:val="de-DE"/>
        </w:rPr>
        <w:t>Birklhuber</w:t>
      </w:r>
      <w:proofErr w:type="spellEnd"/>
      <w:r w:rsidR="002268AD" w:rsidRPr="001B739C">
        <w:rPr>
          <w:lang w:val="de-DE"/>
        </w:rPr>
        <w:t xml:space="preserve"> (Österreich) zum Vorsitzenden und stellvertretenden Vorsitzenden für die Sitzungsperiode 2020</w:t>
      </w:r>
      <w:r w:rsidR="00353036" w:rsidRPr="001B739C">
        <w:rPr>
          <w:lang w:val="de-DE"/>
        </w:rPr>
        <w:t xml:space="preserve"> wieder</w:t>
      </w:r>
      <w:r w:rsidR="002268AD" w:rsidRPr="001B739C">
        <w:rPr>
          <w:lang w:val="de-DE"/>
        </w:rPr>
        <w:t>.</w:t>
      </w:r>
    </w:p>
    <w:p w14:paraId="78BFF545" w14:textId="21F6759A" w:rsidR="00A21BC1" w:rsidRPr="0024262E" w:rsidRDefault="00A21BC1" w:rsidP="001B739C">
      <w:pPr>
        <w:pStyle w:val="HChG"/>
        <w:rPr>
          <w:lang w:val="de-DE"/>
        </w:rPr>
      </w:pPr>
      <w:r w:rsidRPr="0024262E">
        <w:rPr>
          <w:lang w:val="de-DE"/>
        </w:rPr>
        <w:tab/>
      </w:r>
      <w:bookmarkStart w:id="7" w:name="_Hlk536608040"/>
      <w:bookmarkStart w:id="8" w:name="_Toc32481634"/>
      <w:r w:rsidR="00353036" w:rsidRPr="001B739C">
        <w:rPr>
          <w:lang w:val="de-DE"/>
        </w:rPr>
        <w:t>IV.</w:t>
      </w:r>
      <w:r w:rsidRPr="0024262E">
        <w:rPr>
          <w:lang w:val="de-DE"/>
        </w:rPr>
        <w:tab/>
      </w:r>
      <w:bookmarkEnd w:id="7"/>
      <w:bookmarkEnd w:id="8"/>
      <w:r w:rsidR="00353036" w:rsidRPr="001B739C">
        <w:rPr>
          <w:lang w:val="de-DE"/>
        </w:rPr>
        <w:t xml:space="preserve">Fragen im Zusammenhang mit den Arbeiten der Organe der Vereinten Nationen und anderer Organisationen (TOP 3) </w:t>
      </w:r>
    </w:p>
    <w:p w14:paraId="24F7F299" w14:textId="6D67F4C4" w:rsidR="00A21BC1" w:rsidRPr="0024262E" w:rsidRDefault="008026F8" w:rsidP="005C532F">
      <w:pPr>
        <w:pStyle w:val="SingleTxtG"/>
        <w:rPr>
          <w:lang w:val="de-DE"/>
        </w:rPr>
      </w:pPr>
      <w:r w:rsidRPr="0024262E">
        <w:rPr>
          <w:lang w:val="de-DE"/>
        </w:rPr>
        <w:t>7</w:t>
      </w:r>
      <w:r w:rsidR="00A21BC1" w:rsidRPr="0024262E">
        <w:rPr>
          <w:lang w:val="de-DE"/>
        </w:rPr>
        <w:t>.</w:t>
      </w:r>
      <w:r w:rsidR="00A21BC1" w:rsidRPr="0024262E">
        <w:rPr>
          <w:lang w:val="de-DE"/>
        </w:rPr>
        <w:tab/>
      </w:r>
      <w:r w:rsidR="00353036" w:rsidRPr="005C532F">
        <w:rPr>
          <w:lang w:val="de-DE"/>
        </w:rPr>
        <w:t xml:space="preserve">Unter Hinweis auf die Informationen, die das Sekretariat (ECE/TRANS/WP.15/AC.2/70, Abs. 10) bei der </w:t>
      </w:r>
      <w:r w:rsidR="00886B09" w:rsidRPr="005C532F">
        <w:rPr>
          <w:lang w:val="de-DE"/>
        </w:rPr>
        <w:t>Sitzung</w:t>
      </w:r>
      <w:r w:rsidR="00353036" w:rsidRPr="005C532F">
        <w:rPr>
          <w:lang w:val="de-DE"/>
        </w:rPr>
        <w:t xml:space="preserve"> im Januar 2019 über die Strategie des Binnenverkehrsausschusses (</w:t>
      </w:r>
      <w:r w:rsidR="00CF256F" w:rsidRPr="005C532F">
        <w:rPr>
          <w:lang w:val="de-DE"/>
        </w:rPr>
        <w:t>BVA</w:t>
      </w:r>
      <w:r w:rsidR="00353036" w:rsidRPr="005C532F">
        <w:rPr>
          <w:lang w:val="de-DE"/>
        </w:rPr>
        <w:t xml:space="preserve">) für 2030 </w:t>
      </w:r>
      <w:r w:rsidR="00CF256F" w:rsidRPr="005C532F">
        <w:rPr>
          <w:lang w:val="de-DE"/>
        </w:rPr>
        <w:t>vorgelegt</w:t>
      </w:r>
      <w:r w:rsidR="00353036" w:rsidRPr="005C532F">
        <w:rPr>
          <w:lang w:val="de-DE"/>
        </w:rPr>
        <w:t xml:space="preserve"> hat</w:t>
      </w:r>
      <w:r w:rsidR="00CF256F" w:rsidRPr="005C532F">
        <w:rPr>
          <w:lang w:val="de-DE"/>
        </w:rPr>
        <w:t>te</w:t>
      </w:r>
      <w:r w:rsidR="00353036" w:rsidRPr="005C532F">
        <w:rPr>
          <w:lang w:val="de-DE"/>
        </w:rPr>
        <w:t>, stellte der Sicherheitsausschuss fest, dass es keine Fragen im Zusammenhang mit seiner Arbeit g</w:t>
      </w:r>
      <w:r w:rsidR="00CF256F" w:rsidRPr="005C532F">
        <w:rPr>
          <w:lang w:val="de-DE"/>
        </w:rPr>
        <w:t>a</w:t>
      </w:r>
      <w:r w:rsidR="00353036" w:rsidRPr="005C532F">
        <w:rPr>
          <w:lang w:val="de-DE"/>
        </w:rPr>
        <w:t xml:space="preserve">b, und vereinbarte, die Umsetzung der </w:t>
      </w:r>
      <w:r w:rsidR="00CF256F" w:rsidRPr="005C532F">
        <w:rPr>
          <w:lang w:val="de-DE"/>
        </w:rPr>
        <w:t>BVA</w:t>
      </w:r>
      <w:r w:rsidR="00353036" w:rsidRPr="005C532F">
        <w:rPr>
          <w:lang w:val="de-DE"/>
        </w:rPr>
        <w:t xml:space="preserve">-Strategie und seines Aktionsplans (ECE/TRANS/288/Add.2) bei einer weiteren </w:t>
      </w:r>
      <w:r w:rsidR="00696B6C" w:rsidRPr="005C532F">
        <w:rPr>
          <w:lang w:val="de-DE"/>
        </w:rPr>
        <w:t>Sitzung</w:t>
      </w:r>
      <w:r w:rsidR="00353036" w:rsidRPr="005C532F">
        <w:rPr>
          <w:lang w:val="de-DE"/>
        </w:rPr>
        <w:t xml:space="preserve"> eingehend zu prüfen.</w:t>
      </w:r>
    </w:p>
    <w:p w14:paraId="56F47F3D" w14:textId="5F8677CF" w:rsidR="00883FAB" w:rsidRPr="0024262E" w:rsidRDefault="00883FAB" w:rsidP="005C532F">
      <w:pPr>
        <w:pStyle w:val="H1G"/>
        <w:rPr>
          <w:lang w:val="de-DE"/>
        </w:rPr>
      </w:pPr>
      <w:r w:rsidRPr="0024262E">
        <w:rPr>
          <w:lang w:val="de-DE"/>
        </w:rPr>
        <w:tab/>
      </w:r>
      <w:bookmarkStart w:id="9" w:name="_Toc32481635"/>
      <w:r w:rsidR="00696B6C" w:rsidRPr="005C532F">
        <w:rPr>
          <w:lang w:val="de-DE"/>
        </w:rPr>
        <w:t>A.</w:t>
      </w:r>
      <w:r w:rsidRPr="0024262E">
        <w:rPr>
          <w:lang w:val="de-DE"/>
        </w:rPr>
        <w:tab/>
      </w:r>
      <w:bookmarkEnd w:id="9"/>
      <w:r w:rsidR="00696B6C" w:rsidRPr="005C532F">
        <w:rPr>
          <w:lang w:val="de-DE"/>
        </w:rPr>
        <w:t>Information des Sekretariats der Donaukommission</w:t>
      </w:r>
    </w:p>
    <w:p w14:paraId="7CC23407" w14:textId="35F56440" w:rsidR="00883FAB" w:rsidRPr="0024262E" w:rsidRDefault="00696B6C" w:rsidP="00696B6C">
      <w:pPr>
        <w:spacing w:after="120"/>
        <w:ind w:left="567" w:firstLine="567"/>
        <w:rPr>
          <w:lang w:val="de-DE"/>
        </w:rPr>
      </w:pPr>
      <w:r w:rsidRPr="00696B6C">
        <w:rPr>
          <w:i/>
          <w:iCs/>
          <w:lang w:val="de-DE"/>
        </w:rPr>
        <w:t>Informelles Dokument:</w:t>
      </w:r>
      <w:r w:rsidR="00883FAB" w:rsidRPr="0024262E">
        <w:rPr>
          <w:lang w:val="de-DE"/>
        </w:rPr>
        <w:t xml:space="preserve"> </w:t>
      </w:r>
      <w:r w:rsidR="00883FAB" w:rsidRPr="0024262E">
        <w:rPr>
          <w:lang w:val="de-DE"/>
        </w:rPr>
        <w:tab/>
      </w:r>
      <w:r w:rsidR="00883FAB" w:rsidRPr="0024262E">
        <w:rPr>
          <w:lang w:val="de-DE"/>
        </w:rPr>
        <w:tab/>
      </w:r>
      <w:r w:rsidRPr="00696B6C">
        <w:rPr>
          <w:lang w:val="de-DE"/>
        </w:rPr>
        <w:t>INF.19 (Donaukommission)</w:t>
      </w:r>
    </w:p>
    <w:p w14:paraId="4152EDD3" w14:textId="50EEE668" w:rsidR="00883FAB" w:rsidRPr="0024262E" w:rsidRDefault="008026F8" w:rsidP="005C532F">
      <w:pPr>
        <w:pStyle w:val="SingleTxtG"/>
        <w:rPr>
          <w:lang w:val="de-DE"/>
        </w:rPr>
      </w:pPr>
      <w:r w:rsidRPr="0024262E">
        <w:rPr>
          <w:lang w:val="de-DE"/>
        </w:rPr>
        <w:t>8</w:t>
      </w:r>
      <w:r w:rsidR="00883FAB" w:rsidRPr="0024262E">
        <w:rPr>
          <w:lang w:val="de-DE"/>
        </w:rPr>
        <w:t>.</w:t>
      </w:r>
      <w:r w:rsidR="00883FAB" w:rsidRPr="0024262E">
        <w:rPr>
          <w:lang w:val="de-DE"/>
        </w:rPr>
        <w:tab/>
      </w:r>
      <w:r w:rsidR="0057767C" w:rsidRPr="005C532F">
        <w:rPr>
          <w:lang w:val="de-DE"/>
        </w:rPr>
        <w:t xml:space="preserve">Der Sicherheitsausschuss verfolgte mit Interesse den Bericht der Donaukommission über die verschiedenen </w:t>
      </w:r>
      <w:r w:rsidR="0088254B" w:rsidRPr="005C532F">
        <w:rPr>
          <w:lang w:val="de-DE"/>
        </w:rPr>
        <w:t>Energie</w:t>
      </w:r>
      <w:r w:rsidR="0057767C" w:rsidRPr="005C532F">
        <w:rPr>
          <w:lang w:val="de-DE"/>
        </w:rPr>
        <w:t xml:space="preserve">quellen, hauptsächlich externe Stromversorgung und </w:t>
      </w:r>
      <w:proofErr w:type="spellStart"/>
      <w:r w:rsidR="0057767C" w:rsidRPr="005C532F">
        <w:rPr>
          <w:lang w:val="de-DE"/>
        </w:rPr>
        <w:t>Akkumulatorenbatterien</w:t>
      </w:r>
      <w:proofErr w:type="spellEnd"/>
      <w:r w:rsidR="0057767C" w:rsidRPr="005C532F">
        <w:rPr>
          <w:lang w:val="de-DE"/>
        </w:rPr>
        <w:t>, an Bord nicht</w:t>
      </w:r>
      <w:r w:rsidR="0088254B" w:rsidRPr="005C532F">
        <w:rPr>
          <w:lang w:val="de-DE"/>
        </w:rPr>
        <w:t xml:space="preserve"> </w:t>
      </w:r>
      <w:r w:rsidR="0057767C" w:rsidRPr="005C532F">
        <w:rPr>
          <w:lang w:val="de-DE"/>
        </w:rPr>
        <w:t>motorisierte</w:t>
      </w:r>
      <w:r w:rsidR="0066132A" w:rsidRPr="005C532F">
        <w:rPr>
          <w:lang w:val="de-DE"/>
        </w:rPr>
        <w:t>r</w:t>
      </w:r>
      <w:r w:rsidR="0057767C" w:rsidRPr="005C532F">
        <w:rPr>
          <w:lang w:val="de-DE"/>
        </w:rPr>
        <w:t xml:space="preserve"> Binnenschiffe.</w:t>
      </w:r>
    </w:p>
    <w:p w14:paraId="6F7F8A7F" w14:textId="77777777" w:rsidR="00251B6A" w:rsidRDefault="00251B6A">
      <w:pPr>
        <w:suppressAutoHyphens w:val="0"/>
        <w:spacing w:after="200" w:line="276" w:lineRule="auto"/>
        <w:rPr>
          <w:rFonts w:eastAsia="SimSun"/>
          <w:lang w:val="de-DE" w:eastAsia="zh-CN"/>
        </w:rPr>
      </w:pPr>
      <w:r>
        <w:rPr>
          <w:lang w:val="de-DE"/>
        </w:rPr>
        <w:br w:type="page"/>
      </w:r>
    </w:p>
    <w:p w14:paraId="257A861B" w14:textId="5CEF9DA4" w:rsidR="00883FAB" w:rsidRPr="0024262E" w:rsidRDefault="008026F8" w:rsidP="005C532F">
      <w:pPr>
        <w:pStyle w:val="SingleTxtG"/>
        <w:rPr>
          <w:lang w:val="de-DE"/>
        </w:rPr>
      </w:pPr>
      <w:r w:rsidRPr="0024262E">
        <w:rPr>
          <w:lang w:val="de-DE"/>
        </w:rPr>
        <w:lastRenderedPageBreak/>
        <w:t>9</w:t>
      </w:r>
      <w:r w:rsidR="00883FAB" w:rsidRPr="0024262E">
        <w:rPr>
          <w:lang w:val="de-DE"/>
        </w:rPr>
        <w:t>.</w:t>
      </w:r>
      <w:r w:rsidR="00883FAB" w:rsidRPr="0024262E">
        <w:rPr>
          <w:lang w:val="de-DE"/>
        </w:rPr>
        <w:tab/>
      </w:r>
      <w:r w:rsidR="002B4D2A" w:rsidRPr="005C532F">
        <w:rPr>
          <w:lang w:val="de-DE"/>
        </w:rPr>
        <w:t>N</w:t>
      </w:r>
      <w:r w:rsidR="0066132A" w:rsidRPr="005C532F">
        <w:rPr>
          <w:lang w:val="de-DE"/>
        </w:rPr>
        <w:t xml:space="preserve">ach zusätzlichen Informationen der Donaukommission </w:t>
      </w:r>
      <w:r w:rsidR="002B4D2A" w:rsidRPr="005C532F">
        <w:rPr>
          <w:lang w:val="de-DE"/>
        </w:rPr>
        <w:t xml:space="preserve">wurde zudem </w:t>
      </w:r>
      <w:r w:rsidR="008E1EE1" w:rsidRPr="00075662">
        <w:rPr>
          <w:lang w:val="de-DE"/>
        </w:rPr>
        <w:t>festgestellt</w:t>
      </w:r>
      <w:r w:rsidR="0066132A" w:rsidRPr="005C532F">
        <w:rPr>
          <w:lang w:val="de-DE"/>
        </w:rPr>
        <w:t>, dass angesichts der kürzlich von der Internationalen Seeschifffahrts</w:t>
      </w:r>
      <w:r w:rsidR="002B538E" w:rsidRPr="005C532F">
        <w:rPr>
          <w:lang w:val="de-DE"/>
        </w:rPr>
        <w:t>-O</w:t>
      </w:r>
      <w:r w:rsidR="0066132A" w:rsidRPr="005C532F">
        <w:rPr>
          <w:lang w:val="de-DE"/>
        </w:rPr>
        <w:t xml:space="preserve">rganisation eingeführten </w:t>
      </w:r>
      <w:r w:rsidR="002B538E" w:rsidRPr="005C532F">
        <w:rPr>
          <w:lang w:val="de-DE"/>
        </w:rPr>
        <w:t>Vorschriften</w:t>
      </w:r>
      <w:r w:rsidR="0066132A" w:rsidRPr="005C532F">
        <w:rPr>
          <w:lang w:val="de-DE"/>
        </w:rPr>
        <w:t xml:space="preserve"> für schwefelarme Kraftstoffe und der damit verbundenen zusätzlichen Kosten das Interesse </w:t>
      </w:r>
      <w:r w:rsidR="00075662" w:rsidRPr="005C532F">
        <w:rPr>
          <w:lang w:val="de-DE"/>
        </w:rPr>
        <w:t xml:space="preserve">in der Binnenschifffahrt </w:t>
      </w:r>
      <w:r w:rsidR="0066132A" w:rsidRPr="005C532F">
        <w:rPr>
          <w:lang w:val="de-DE"/>
        </w:rPr>
        <w:t>an alternativen Kraftstoffen, wie z.</w:t>
      </w:r>
      <w:r w:rsidR="00A245E9" w:rsidRPr="005C532F">
        <w:rPr>
          <w:lang w:val="de-DE"/>
        </w:rPr>
        <w:t> </w:t>
      </w:r>
      <w:r w:rsidR="0066132A" w:rsidRPr="005C532F">
        <w:rPr>
          <w:lang w:val="de-DE"/>
        </w:rPr>
        <w:t>B. der Verwendung von Erdgas, Flüssiggas, Wasserstoff oder Hybridsystemen, zunehmen w</w:t>
      </w:r>
      <w:r w:rsidR="00075662">
        <w:rPr>
          <w:lang w:val="de-DE"/>
        </w:rPr>
        <w:t>e</w:t>
      </w:r>
      <w:r w:rsidR="0066132A" w:rsidRPr="005C532F">
        <w:rPr>
          <w:lang w:val="de-DE"/>
        </w:rPr>
        <w:t>rde.</w:t>
      </w:r>
      <w:r w:rsidR="00883FAB" w:rsidRPr="0024262E">
        <w:rPr>
          <w:lang w:val="de-DE"/>
        </w:rPr>
        <w:t xml:space="preserve"> </w:t>
      </w:r>
    </w:p>
    <w:p w14:paraId="6877741A" w14:textId="28228910" w:rsidR="00883FAB" w:rsidRPr="0024262E" w:rsidRDefault="00883FAB" w:rsidP="005C532F">
      <w:pPr>
        <w:pStyle w:val="H1G"/>
        <w:rPr>
          <w:lang w:val="de-DE"/>
        </w:rPr>
      </w:pPr>
      <w:r w:rsidRPr="0024262E">
        <w:rPr>
          <w:lang w:val="de-DE"/>
        </w:rPr>
        <w:tab/>
      </w:r>
      <w:bookmarkStart w:id="10" w:name="_Toc32481636"/>
      <w:r w:rsidR="008E1EE1" w:rsidRPr="005C532F">
        <w:rPr>
          <w:lang w:val="de-DE"/>
        </w:rPr>
        <w:t>B.</w:t>
      </w:r>
      <w:r w:rsidRPr="0024262E">
        <w:rPr>
          <w:lang w:val="de-DE"/>
        </w:rPr>
        <w:tab/>
      </w:r>
      <w:bookmarkEnd w:id="10"/>
      <w:r w:rsidR="008E1EE1" w:rsidRPr="005C532F">
        <w:rPr>
          <w:lang w:val="de-DE"/>
        </w:rPr>
        <w:t>Informationen zu besonderen Anforderungen an elektrische Antriebssysteme im ES-TRIN</w:t>
      </w:r>
    </w:p>
    <w:p w14:paraId="49ADEF6C" w14:textId="66D2116C" w:rsidR="00883FAB" w:rsidRPr="0024262E" w:rsidRDefault="008E1EE1" w:rsidP="008E1EE1">
      <w:pPr>
        <w:spacing w:after="120"/>
        <w:ind w:left="567" w:firstLine="567"/>
        <w:rPr>
          <w:lang w:val="de-DE"/>
        </w:rPr>
      </w:pPr>
      <w:r w:rsidRPr="008E1EE1">
        <w:rPr>
          <w:i/>
          <w:iCs/>
          <w:lang w:val="de-DE"/>
        </w:rPr>
        <w:t>Informelles Dokument:</w:t>
      </w:r>
      <w:r w:rsidR="00883FAB" w:rsidRPr="0024262E">
        <w:rPr>
          <w:lang w:val="de-DE"/>
        </w:rPr>
        <w:t xml:space="preserve"> </w:t>
      </w:r>
      <w:r w:rsidR="00883FAB" w:rsidRPr="0024262E">
        <w:rPr>
          <w:lang w:val="de-DE"/>
        </w:rPr>
        <w:tab/>
      </w:r>
      <w:r w:rsidR="00883FAB" w:rsidRPr="0024262E">
        <w:rPr>
          <w:lang w:val="de-DE"/>
        </w:rPr>
        <w:tab/>
      </w:r>
      <w:r w:rsidRPr="008E1EE1">
        <w:rPr>
          <w:lang w:val="de-DE"/>
        </w:rPr>
        <w:t>INF.23 (ZKR)</w:t>
      </w:r>
    </w:p>
    <w:p w14:paraId="30C6E43E" w14:textId="0EF25D73" w:rsidR="00883FAB" w:rsidRPr="0024262E" w:rsidRDefault="008026F8" w:rsidP="001E5CB1">
      <w:pPr>
        <w:pStyle w:val="SingleTxtG"/>
        <w:rPr>
          <w:lang w:val="de-DE"/>
        </w:rPr>
      </w:pPr>
      <w:r w:rsidRPr="0024262E">
        <w:rPr>
          <w:lang w:val="de-DE"/>
        </w:rPr>
        <w:t>10</w:t>
      </w:r>
      <w:r w:rsidR="00883FAB" w:rsidRPr="0024262E">
        <w:rPr>
          <w:lang w:val="de-DE"/>
        </w:rPr>
        <w:t>.</w:t>
      </w:r>
      <w:r w:rsidR="00883FAB" w:rsidRPr="0024262E">
        <w:rPr>
          <w:lang w:val="de-DE"/>
        </w:rPr>
        <w:tab/>
      </w:r>
      <w:r w:rsidR="004C4576" w:rsidRPr="005C532F">
        <w:rPr>
          <w:lang w:val="de-DE"/>
        </w:rPr>
        <w:t>Auf Ersuchen des Sicherheitsausschusses bei seiner letzten Tagung berichtete der Vertreter der ZKR über die Arbeiten im CESNI</w:t>
      </w:r>
      <w:r w:rsidR="004C4576" w:rsidRPr="005C532F">
        <w:rPr>
          <w:vertAlign w:val="superscript"/>
          <w:lang w:val="de-DE"/>
        </w:rPr>
        <w:footnoteReference w:id="2"/>
      </w:r>
      <w:r w:rsidR="004C4576" w:rsidRPr="005C532F">
        <w:rPr>
          <w:lang w:val="de-DE"/>
        </w:rPr>
        <w:t xml:space="preserve"> zu elektrischen Antrieben für Schiffe, die Aufnahme von Bestimmungen in den ES-TRIN</w:t>
      </w:r>
      <w:r w:rsidR="004C4576" w:rsidRPr="005C532F">
        <w:rPr>
          <w:vertAlign w:val="superscript"/>
          <w:lang w:val="de-DE"/>
        </w:rPr>
        <w:footnoteReference w:id="3"/>
      </w:r>
      <w:r w:rsidR="004C4576" w:rsidRPr="005C532F">
        <w:rPr>
          <w:lang w:val="de-DE"/>
        </w:rPr>
        <w:t xml:space="preserve"> und die Auswirkungen auf Schiffe, die zur Beförderung gefährlicher Güter eingesetzt werden.</w:t>
      </w:r>
      <w:r w:rsidR="00883FAB" w:rsidRPr="0024262E">
        <w:rPr>
          <w:lang w:val="de-DE"/>
        </w:rPr>
        <w:t xml:space="preserve"> </w:t>
      </w:r>
      <w:r w:rsidR="00B2391A" w:rsidRPr="001E5CB1">
        <w:rPr>
          <w:lang w:val="de-DE"/>
        </w:rPr>
        <w:t>Es wurde festgestellt, dass die für Schiffe und Ausrüstungen geltenden ADN-Anforderungen unabhängig von der Art des verwendeten Antriebssystems gelten und das ADN für die Verwendung elektrischer Antriebssysteme nicht geändert werden muss.</w:t>
      </w:r>
    </w:p>
    <w:p w14:paraId="592EE87A" w14:textId="2104ADE2" w:rsidR="00883FAB" w:rsidRPr="0024262E" w:rsidRDefault="008026F8" w:rsidP="001E5CB1">
      <w:pPr>
        <w:pStyle w:val="SingleTxtG"/>
        <w:rPr>
          <w:lang w:val="de-DE"/>
        </w:rPr>
      </w:pPr>
      <w:r w:rsidRPr="0024262E">
        <w:rPr>
          <w:lang w:val="de-DE"/>
        </w:rPr>
        <w:t>11</w:t>
      </w:r>
      <w:r w:rsidR="00883FAB" w:rsidRPr="0024262E">
        <w:rPr>
          <w:lang w:val="de-DE"/>
        </w:rPr>
        <w:t>.</w:t>
      </w:r>
      <w:r w:rsidR="00883FAB" w:rsidRPr="0024262E">
        <w:rPr>
          <w:lang w:val="de-DE"/>
        </w:rPr>
        <w:tab/>
      </w:r>
      <w:r w:rsidR="00B2391A" w:rsidRPr="001E5CB1">
        <w:rPr>
          <w:lang w:val="de-DE"/>
        </w:rPr>
        <w:t>Nach der Diskussion über den Einsatz alternativer Antriebstechnologien auf Schiffen für die Beförderung gefährlicher Güter kam der Sicherheitsausschuss zu dem Schluss, dass die Schiffe unabhängig von der Art der beförderten Güter und des verwendeten Antriebssystems das gleiche Sicherheitsniveau gewährleisten sollten.</w:t>
      </w:r>
      <w:r w:rsidR="00883FAB" w:rsidRPr="0024262E">
        <w:rPr>
          <w:lang w:val="de-DE"/>
        </w:rPr>
        <w:t xml:space="preserve"> </w:t>
      </w:r>
      <w:r w:rsidR="001E5CB1" w:rsidRPr="001E5CB1">
        <w:rPr>
          <w:lang w:val="de-DE"/>
        </w:rPr>
        <w:t>Ferner</w:t>
      </w:r>
      <w:r w:rsidR="00C53AEB" w:rsidRPr="001E5CB1">
        <w:rPr>
          <w:lang w:val="de-DE"/>
        </w:rPr>
        <w:t xml:space="preserve"> wurde festgestellt, dass das erforderliche Sicherheitsniveau durch die Aufnahme von Verweisen auf die entsprechenden </w:t>
      </w:r>
      <w:r w:rsidR="005F1201" w:rsidRPr="001E5CB1">
        <w:rPr>
          <w:lang w:val="de-DE"/>
        </w:rPr>
        <w:t>ES-TRIN-</w:t>
      </w:r>
      <w:r w:rsidR="00C53AEB" w:rsidRPr="001E5CB1">
        <w:rPr>
          <w:lang w:val="de-DE"/>
        </w:rPr>
        <w:t>Bestimmungen in das ADN erreicht werden kann.</w:t>
      </w:r>
      <w:r w:rsidR="00725F19" w:rsidRPr="0024262E">
        <w:rPr>
          <w:lang w:val="de-DE"/>
        </w:rPr>
        <w:t xml:space="preserve"> </w:t>
      </w:r>
      <w:r w:rsidR="00077C94" w:rsidRPr="001E5CB1">
        <w:rPr>
          <w:lang w:val="de-DE"/>
        </w:rPr>
        <w:t>Der Sicherheitsausschuss nahm zur Kenntnis, dass die einschlägigen Bestimmungen des ES-TRIN oder eines anderen geeigneten Standards in russischer Sprache verfügbar sein sollten.</w:t>
      </w:r>
    </w:p>
    <w:p w14:paraId="779974DF" w14:textId="77313311" w:rsidR="00883FAB" w:rsidRPr="0024262E" w:rsidRDefault="008026F8" w:rsidP="001E5CB1">
      <w:pPr>
        <w:pStyle w:val="SingleTxtG"/>
        <w:rPr>
          <w:lang w:val="de-DE"/>
        </w:rPr>
      </w:pPr>
      <w:r w:rsidRPr="0024262E">
        <w:rPr>
          <w:lang w:val="de-DE"/>
        </w:rPr>
        <w:t>12</w:t>
      </w:r>
      <w:r w:rsidR="00883FAB" w:rsidRPr="0024262E">
        <w:rPr>
          <w:lang w:val="de-DE"/>
        </w:rPr>
        <w:t>.</w:t>
      </w:r>
      <w:r w:rsidR="00883FAB" w:rsidRPr="0024262E">
        <w:rPr>
          <w:lang w:val="de-DE"/>
        </w:rPr>
        <w:tab/>
      </w:r>
      <w:r w:rsidR="00077C94" w:rsidRPr="001E5CB1">
        <w:rPr>
          <w:lang w:val="de-DE"/>
        </w:rPr>
        <w:t xml:space="preserve">Der Sicherheitsausschuss betonte, dass die Schutzsysteme gegen Brandgefahren, die </w:t>
      </w:r>
      <w:r w:rsidR="0052286E" w:rsidRPr="001E5CB1">
        <w:rPr>
          <w:lang w:val="de-DE"/>
        </w:rPr>
        <w:t>Lüftungsa</w:t>
      </w:r>
      <w:r w:rsidR="00077C94" w:rsidRPr="001E5CB1">
        <w:rPr>
          <w:lang w:val="de-DE"/>
        </w:rPr>
        <w:t xml:space="preserve">nforderungen, die Gestaltung der Maschinenräume usw. </w:t>
      </w:r>
      <w:r w:rsidR="00567EF7" w:rsidRPr="001E5CB1">
        <w:rPr>
          <w:lang w:val="de-DE"/>
        </w:rPr>
        <w:t>dem</w:t>
      </w:r>
      <w:r w:rsidR="00077C94" w:rsidRPr="001E5CB1">
        <w:rPr>
          <w:lang w:val="de-DE"/>
        </w:rPr>
        <w:t xml:space="preserve"> jeweilige</w:t>
      </w:r>
      <w:r w:rsidR="00567EF7" w:rsidRPr="001E5CB1">
        <w:rPr>
          <w:lang w:val="de-DE"/>
        </w:rPr>
        <w:t>n</w:t>
      </w:r>
      <w:r w:rsidR="00077C94" w:rsidRPr="001E5CB1">
        <w:rPr>
          <w:lang w:val="de-DE"/>
        </w:rPr>
        <w:t xml:space="preserve"> Antriebssystem </w:t>
      </w:r>
      <w:r w:rsidR="00567EF7" w:rsidRPr="001E5CB1">
        <w:rPr>
          <w:lang w:val="de-DE"/>
        </w:rPr>
        <w:t>angepasst</w:t>
      </w:r>
      <w:r w:rsidR="00077C94" w:rsidRPr="001E5CB1">
        <w:rPr>
          <w:lang w:val="de-DE"/>
        </w:rPr>
        <w:t xml:space="preserve"> sein sollten.</w:t>
      </w:r>
      <w:r w:rsidR="00883FAB" w:rsidRPr="0024262E">
        <w:rPr>
          <w:lang w:val="de-DE"/>
        </w:rPr>
        <w:t xml:space="preserve"> </w:t>
      </w:r>
      <w:r w:rsidR="00567EF7" w:rsidRPr="001E5CB1">
        <w:rPr>
          <w:lang w:val="de-DE"/>
        </w:rPr>
        <w:t xml:space="preserve">Es wurde vereinbart, dass das ADN im Hinblick auf zusätzliche Bestimmungen im Zusammenhang mit der Beförderung gefährlicher Güter </w:t>
      </w:r>
      <w:r w:rsidR="00D31F14" w:rsidRPr="001E5CB1">
        <w:rPr>
          <w:lang w:val="de-DE"/>
        </w:rPr>
        <w:t>mit</w:t>
      </w:r>
      <w:r w:rsidR="00567EF7" w:rsidRPr="001E5CB1">
        <w:rPr>
          <w:lang w:val="de-DE"/>
        </w:rPr>
        <w:t xml:space="preserve"> solchen innovativen Schiffen </w:t>
      </w:r>
      <w:r w:rsidR="00D31F14" w:rsidRPr="001E5CB1">
        <w:rPr>
          <w:lang w:val="de-DE"/>
        </w:rPr>
        <w:t xml:space="preserve">überprüft werden sollte </w:t>
      </w:r>
      <w:r w:rsidR="00567EF7" w:rsidRPr="001E5CB1">
        <w:rPr>
          <w:lang w:val="de-DE"/>
        </w:rPr>
        <w:t xml:space="preserve">und gegebenenfalls Verweise auf andere </w:t>
      </w:r>
      <w:r w:rsidR="00567EF7" w:rsidRPr="00475B0D">
        <w:rPr>
          <w:lang w:val="de-DE"/>
        </w:rPr>
        <w:t xml:space="preserve">internationale Standards oder Vorschriften wie </w:t>
      </w:r>
      <w:r w:rsidR="001E5CB1" w:rsidRPr="00475B0D">
        <w:rPr>
          <w:lang w:val="de-DE"/>
        </w:rPr>
        <w:t xml:space="preserve">den </w:t>
      </w:r>
      <w:r w:rsidR="00567EF7" w:rsidRPr="00475B0D">
        <w:rPr>
          <w:lang w:val="de-DE"/>
        </w:rPr>
        <w:t xml:space="preserve">ES-TRIN </w:t>
      </w:r>
      <w:r w:rsidR="00D31F14" w:rsidRPr="00475B0D">
        <w:rPr>
          <w:lang w:val="de-DE"/>
        </w:rPr>
        <w:t xml:space="preserve">aufgenommen </w:t>
      </w:r>
      <w:r w:rsidR="00567EF7" w:rsidRPr="00475B0D">
        <w:rPr>
          <w:lang w:val="de-DE"/>
        </w:rPr>
        <w:t>werden sollte</w:t>
      </w:r>
      <w:r w:rsidR="00D31F14" w:rsidRPr="00475B0D">
        <w:rPr>
          <w:lang w:val="de-DE"/>
        </w:rPr>
        <w:t>n</w:t>
      </w:r>
      <w:r w:rsidR="00567EF7" w:rsidRPr="00475B0D">
        <w:rPr>
          <w:lang w:val="de-DE"/>
        </w:rPr>
        <w:t>.</w:t>
      </w:r>
      <w:r w:rsidR="00883FAB" w:rsidRPr="0024262E">
        <w:rPr>
          <w:lang w:val="de-DE"/>
        </w:rPr>
        <w:t xml:space="preserve"> </w:t>
      </w:r>
      <w:r w:rsidR="003A2B50" w:rsidRPr="00475B0D">
        <w:rPr>
          <w:lang w:val="de-DE"/>
        </w:rPr>
        <w:t>Der</w:t>
      </w:r>
      <w:r w:rsidR="003A2B50" w:rsidRPr="001E5CB1">
        <w:rPr>
          <w:lang w:val="de-DE"/>
        </w:rPr>
        <w:t xml:space="preserve"> Vertreter der ZKR erklärte sich bereit, an einem Vorschlag mitzuarbeiten, der auf einer weiteren Sitzung des Sicherheitsausschusses geprüft werden soll.</w:t>
      </w:r>
    </w:p>
    <w:p w14:paraId="55258612" w14:textId="391771D3" w:rsidR="00883FAB" w:rsidRPr="0024262E" w:rsidRDefault="00883FAB" w:rsidP="001E5CB1">
      <w:pPr>
        <w:pStyle w:val="H1G"/>
        <w:rPr>
          <w:lang w:val="de-DE"/>
        </w:rPr>
      </w:pPr>
      <w:r w:rsidRPr="0024262E">
        <w:rPr>
          <w:lang w:val="de-DE"/>
        </w:rPr>
        <w:tab/>
      </w:r>
      <w:bookmarkStart w:id="11" w:name="_Toc32481637"/>
      <w:r w:rsidR="00904503" w:rsidRPr="001E5CB1">
        <w:rPr>
          <w:lang w:val="de-DE"/>
        </w:rPr>
        <w:t>C.</w:t>
      </w:r>
      <w:r w:rsidRPr="0024262E">
        <w:rPr>
          <w:lang w:val="de-DE"/>
        </w:rPr>
        <w:tab/>
      </w:r>
      <w:bookmarkEnd w:id="11"/>
      <w:r w:rsidR="00904503" w:rsidRPr="001E5CB1">
        <w:rPr>
          <w:lang w:val="de-DE"/>
        </w:rPr>
        <w:t>Informationen über Finanzierungsmöglichkeiten für die Ökologisierung der Beförderung gefährlicher Güter</w:t>
      </w:r>
    </w:p>
    <w:p w14:paraId="1B955282" w14:textId="4883BFD9" w:rsidR="00883FAB" w:rsidRPr="0024262E" w:rsidRDefault="00904503" w:rsidP="00904503">
      <w:pPr>
        <w:spacing w:after="120"/>
        <w:ind w:left="567" w:firstLine="567"/>
        <w:rPr>
          <w:lang w:val="de-DE"/>
        </w:rPr>
      </w:pPr>
      <w:r w:rsidRPr="00904503">
        <w:rPr>
          <w:i/>
          <w:iCs/>
          <w:lang w:val="de-DE"/>
        </w:rPr>
        <w:t>Informelles Dokument:</w:t>
      </w:r>
      <w:r w:rsidR="00883FAB" w:rsidRPr="0024262E">
        <w:rPr>
          <w:lang w:val="de-DE"/>
        </w:rPr>
        <w:t xml:space="preserve"> </w:t>
      </w:r>
      <w:r w:rsidR="00883FAB" w:rsidRPr="0024262E">
        <w:rPr>
          <w:lang w:val="de-DE"/>
        </w:rPr>
        <w:tab/>
      </w:r>
      <w:r w:rsidR="00883FAB" w:rsidRPr="0024262E">
        <w:rPr>
          <w:lang w:val="de-DE"/>
        </w:rPr>
        <w:tab/>
      </w:r>
      <w:r w:rsidRPr="00904503">
        <w:rPr>
          <w:lang w:val="de-DE"/>
        </w:rPr>
        <w:t>INF.24 (Europäische Kommission)</w:t>
      </w:r>
    </w:p>
    <w:p w14:paraId="1E4A65FA" w14:textId="37C53083" w:rsidR="00883FAB" w:rsidRPr="0024262E" w:rsidRDefault="008026F8" w:rsidP="00CB632B">
      <w:pPr>
        <w:pStyle w:val="SingleTxtG"/>
        <w:rPr>
          <w:lang w:val="de-DE"/>
        </w:rPr>
      </w:pPr>
      <w:r w:rsidRPr="0024262E">
        <w:rPr>
          <w:lang w:val="de-DE"/>
        </w:rPr>
        <w:t>13</w:t>
      </w:r>
      <w:r w:rsidR="00883FAB" w:rsidRPr="0024262E">
        <w:rPr>
          <w:lang w:val="de-DE"/>
        </w:rPr>
        <w:t>.</w:t>
      </w:r>
      <w:r w:rsidR="00883FAB" w:rsidRPr="0024262E">
        <w:rPr>
          <w:lang w:val="de-DE"/>
        </w:rPr>
        <w:tab/>
      </w:r>
      <w:r w:rsidR="00904503" w:rsidRPr="00CB632B">
        <w:rPr>
          <w:lang w:val="de-DE"/>
        </w:rPr>
        <w:t>Der Sicherheitsausschuss begrüßte die Informationen der Europäischen Kommission über die mögliche Finanzierung von Projekten zur Ökologisierung der Beförderung gefährlicher Güter auf Binnenwasserstraßen in der Europäischen Union.</w:t>
      </w:r>
      <w:r w:rsidR="00883FAB" w:rsidRPr="0024262E">
        <w:rPr>
          <w:lang w:val="de-DE"/>
        </w:rPr>
        <w:t xml:space="preserve"> </w:t>
      </w:r>
      <w:r w:rsidR="006005D1" w:rsidRPr="00CB632B">
        <w:rPr>
          <w:lang w:val="de-DE"/>
        </w:rPr>
        <w:t>Es wurde darauf hingewiesen, dass im April 2020 eine Projektausschreibung veröffentlicht wird und d</w:t>
      </w:r>
      <w:r w:rsidR="00A97E6A" w:rsidRPr="00CB632B">
        <w:rPr>
          <w:lang w:val="de-DE"/>
        </w:rPr>
        <w:t>i</w:t>
      </w:r>
      <w:r w:rsidR="006005D1" w:rsidRPr="00CB632B">
        <w:rPr>
          <w:lang w:val="de-DE"/>
        </w:rPr>
        <w:t>e Au</w:t>
      </w:r>
      <w:r w:rsidR="00A97E6A" w:rsidRPr="00CB632B">
        <w:rPr>
          <w:lang w:val="de-DE"/>
        </w:rPr>
        <w:t>sschreib</w:t>
      </w:r>
      <w:r w:rsidR="006005D1" w:rsidRPr="00CB632B">
        <w:rPr>
          <w:lang w:val="de-DE"/>
        </w:rPr>
        <w:t>u</w:t>
      </w:r>
      <w:r w:rsidR="00A97E6A" w:rsidRPr="00CB632B">
        <w:rPr>
          <w:lang w:val="de-DE"/>
        </w:rPr>
        <w:t>ng</w:t>
      </w:r>
      <w:r w:rsidR="006005D1" w:rsidRPr="00CB632B">
        <w:rPr>
          <w:lang w:val="de-DE"/>
        </w:rPr>
        <w:t xml:space="preserve"> auch für Nicht-EU-Länder gilt, sofern der Projektleiter innerhalb der EU ansässig ist.</w:t>
      </w:r>
      <w:r w:rsidR="00883FAB" w:rsidRPr="0024262E">
        <w:rPr>
          <w:lang w:val="de-DE"/>
        </w:rPr>
        <w:t xml:space="preserve"> </w:t>
      </w:r>
      <w:r w:rsidR="00496134" w:rsidRPr="00CB632B">
        <w:rPr>
          <w:lang w:val="de-DE"/>
        </w:rPr>
        <w:t>Ausführlichere Informationen über das so genannte LIFE-Programm</w:t>
      </w:r>
      <w:r w:rsidR="00691D4D" w:rsidRPr="00CB632B">
        <w:rPr>
          <w:lang w:val="de-DE"/>
        </w:rPr>
        <w:t>,</w:t>
      </w:r>
      <w:r w:rsidR="00496134" w:rsidRPr="00CB632B">
        <w:rPr>
          <w:lang w:val="de-DE"/>
        </w:rPr>
        <w:t xml:space="preserve"> das EU-Finanzierungsinstrument für Umwelt- und Klimaschutzmaßnahmen</w:t>
      </w:r>
      <w:r w:rsidR="00691D4D" w:rsidRPr="00CB632B">
        <w:rPr>
          <w:lang w:val="de-DE"/>
        </w:rPr>
        <w:t>,</w:t>
      </w:r>
      <w:r w:rsidR="00496134" w:rsidRPr="00CB632B">
        <w:rPr>
          <w:lang w:val="de-DE"/>
        </w:rPr>
        <w:t xml:space="preserve"> sind erhältlich unter: https://ec.europa.eu/easme/en/life.</w:t>
      </w:r>
    </w:p>
    <w:p w14:paraId="0BD79496" w14:textId="7D5C0A25" w:rsidR="00A21BC1" w:rsidRPr="0024262E" w:rsidRDefault="00A21BC1" w:rsidP="00CB632B">
      <w:pPr>
        <w:pStyle w:val="HChG"/>
        <w:rPr>
          <w:lang w:val="de-DE"/>
        </w:rPr>
      </w:pPr>
      <w:r w:rsidRPr="0024262E">
        <w:rPr>
          <w:lang w:val="de-DE"/>
        </w:rPr>
        <w:lastRenderedPageBreak/>
        <w:tab/>
      </w:r>
      <w:bookmarkStart w:id="12" w:name="_Toc505688404"/>
      <w:bookmarkStart w:id="13" w:name="_Toc32481638"/>
      <w:r w:rsidR="00691D4D" w:rsidRPr="00CB632B">
        <w:rPr>
          <w:lang w:val="de-DE"/>
        </w:rPr>
        <w:t>V.</w:t>
      </w:r>
      <w:r w:rsidRPr="0024262E">
        <w:rPr>
          <w:lang w:val="de-DE"/>
        </w:rPr>
        <w:tab/>
      </w:r>
      <w:bookmarkEnd w:id="12"/>
      <w:bookmarkEnd w:id="13"/>
      <w:r w:rsidR="00691D4D" w:rsidRPr="00CB632B">
        <w:rPr>
          <w:lang w:val="de-DE"/>
        </w:rPr>
        <w:t>Durchführung des Europäischen Übereinkommens über die internationale Beförderung von gefährlichen Gütern auf Binnenwasserstraßen (ADN) (TOP 4)</w:t>
      </w:r>
    </w:p>
    <w:p w14:paraId="7FA0409F" w14:textId="380D63B6" w:rsidR="008D79D0" w:rsidRPr="0024262E" w:rsidRDefault="008D79D0" w:rsidP="00CB632B">
      <w:pPr>
        <w:pStyle w:val="H1G"/>
        <w:keepNext w:val="0"/>
        <w:keepLines w:val="0"/>
        <w:rPr>
          <w:lang w:val="de-DE"/>
        </w:rPr>
      </w:pPr>
      <w:r w:rsidRPr="0024262E">
        <w:rPr>
          <w:lang w:val="de-DE"/>
        </w:rPr>
        <w:tab/>
      </w:r>
      <w:bookmarkStart w:id="14" w:name="_Toc32481639"/>
      <w:r w:rsidR="00691D4D" w:rsidRPr="00CB632B">
        <w:rPr>
          <w:lang w:val="de-DE"/>
        </w:rPr>
        <w:t>A.</w:t>
      </w:r>
      <w:r w:rsidRPr="0024262E">
        <w:rPr>
          <w:lang w:val="de-DE"/>
        </w:rPr>
        <w:tab/>
      </w:r>
      <w:bookmarkEnd w:id="14"/>
      <w:r w:rsidR="00691D4D" w:rsidRPr="00CB632B">
        <w:rPr>
          <w:lang w:val="de-DE"/>
        </w:rPr>
        <w:t>Status des ADN</w:t>
      </w:r>
    </w:p>
    <w:p w14:paraId="32CC39E9" w14:textId="7764B65D" w:rsidR="008D79D0" w:rsidRPr="0024262E" w:rsidRDefault="008026F8" w:rsidP="00CB632B">
      <w:pPr>
        <w:pStyle w:val="SingleTxtG"/>
        <w:rPr>
          <w:lang w:val="de-DE"/>
        </w:rPr>
      </w:pPr>
      <w:r w:rsidRPr="0024262E">
        <w:rPr>
          <w:lang w:val="de-DE"/>
        </w:rPr>
        <w:t>14</w:t>
      </w:r>
      <w:r w:rsidR="008D79D0" w:rsidRPr="0024262E">
        <w:rPr>
          <w:lang w:val="de-DE"/>
        </w:rPr>
        <w:t>.</w:t>
      </w:r>
      <w:r w:rsidR="008D79D0" w:rsidRPr="0024262E">
        <w:rPr>
          <w:lang w:val="de-DE"/>
        </w:rPr>
        <w:tab/>
      </w:r>
      <w:r w:rsidR="00691D4D" w:rsidRPr="00CB632B">
        <w:rPr>
          <w:lang w:val="de-DE"/>
        </w:rPr>
        <w:t>D</w:t>
      </w:r>
      <w:r w:rsidR="00CF5AFE" w:rsidRPr="00CB632B">
        <w:rPr>
          <w:lang w:val="de-DE"/>
        </w:rPr>
        <w:t>er Sicherheitsausschuss nahm zur Kenntnis, dass d</w:t>
      </w:r>
      <w:r w:rsidR="00691D4D" w:rsidRPr="00CB632B">
        <w:rPr>
          <w:lang w:val="de-DE"/>
        </w:rPr>
        <w:t xml:space="preserve">ie in ECE/TRANS/WP.15/AC.2/70 Anlage III und Corr.1 und ECE/TRANS/WP.15/AC.2/72 Anlage III enthaltenen Korrekturvorschläge den Vertragsparteien am 15. Oktober 2019 zur Annahme übermittelt </w:t>
      </w:r>
      <w:r w:rsidR="00CD6A28" w:rsidRPr="00CB632B">
        <w:rPr>
          <w:lang w:val="de-DE"/>
        </w:rPr>
        <w:t xml:space="preserve">wurden </w:t>
      </w:r>
      <w:r w:rsidR="00691D4D" w:rsidRPr="00CB632B">
        <w:rPr>
          <w:lang w:val="de-DE"/>
        </w:rPr>
        <w:t>(siehe C.N.492.2019.TREATIES-XI-D-6).</w:t>
      </w:r>
      <w:r w:rsidR="008D79D0" w:rsidRPr="0024262E">
        <w:rPr>
          <w:lang w:val="de-DE"/>
        </w:rPr>
        <w:t xml:space="preserve"> </w:t>
      </w:r>
      <w:r w:rsidR="008446CA" w:rsidRPr="00CB632B">
        <w:rPr>
          <w:lang w:val="de-DE"/>
        </w:rPr>
        <w:t>Die Korrekturen galten am 13. Januar 2020 als angenommen (siehe C.N.34.2020.TREATIES-XI-D-6).</w:t>
      </w:r>
    </w:p>
    <w:p w14:paraId="3C8319C5" w14:textId="6FF2D9D5" w:rsidR="00624F9D" w:rsidRPr="0024262E" w:rsidRDefault="00624F9D" w:rsidP="00CB632B">
      <w:pPr>
        <w:pStyle w:val="H1G"/>
        <w:rPr>
          <w:lang w:val="de-DE"/>
        </w:rPr>
      </w:pPr>
      <w:r w:rsidRPr="0024262E">
        <w:rPr>
          <w:lang w:val="de-DE"/>
        </w:rPr>
        <w:tab/>
      </w:r>
      <w:bookmarkStart w:id="15" w:name="_Toc32481640"/>
      <w:r w:rsidR="008446CA" w:rsidRPr="00CB632B">
        <w:rPr>
          <w:lang w:val="de-DE"/>
        </w:rPr>
        <w:t>B.</w:t>
      </w:r>
      <w:r w:rsidRPr="0024262E">
        <w:rPr>
          <w:lang w:val="de-DE"/>
        </w:rPr>
        <w:tab/>
      </w:r>
      <w:bookmarkEnd w:id="15"/>
      <w:r w:rsidR="008446CA" w:rsidRPr="00CB632B">
        <w:rPr>
          <w:lang w:val="de-DE"/>
        </w:rPr>
        <w:t>Ausnahmegenehmigungen, Abweichungen und Gleichwertigkeiten</w:t>
      </w:r>
    </w:p>
    <w:p w14:paraId="0C808172" w14:textId="6EBD486B" w:rsidR="00624F9D" w:rsidRPr="0024262E" w:rsidRDefault="008446CA" w:rsidP="00CB632B">
      <w:pPr>
        <w:pStyle w:val="SingleTxtG"/>
        <w:rPr>
          <w:lang w:val="de-DE"/>
        </w:rPr>
      </w:pPr>
      <w:r w:rsidRPr="00CB632B">
        <w:rPr>
          <w:i/>
          <w:iCs/>
          <w:lang w:val="de-DE"/>
        </w:rPr>
        <w:t>Dokument:</w:t>
      </w:r>
      <w:r w:rsidR="00624F9D" w:rsidRPr="0024262E">
        <w:rPr>
          <w:lang w:val="de-DE"/>
        </w:rPr>
        <w:t xml:space="preserve"> </w:t>
      </w:r>
      <w:r w:rsidR="00624F9D" w:rsidRPr="0024262E">
        <w:rPr>
          <w:lang w:val="de-DE"/>
        </w:rPr>
        <w:tab/>
      </w:r>
      <w:r w:rsidR="00624F9D" w:rsidRPr="0024262E">
        <w:rPr>
          <w:lang w:val="de-DE"/>
        </w:rPr>
        <w:tab/>
      </w:r>
      <w:r w:rsidR="00624F9D" w:rsidRPr="0024262E">
        <w:rPr>
          <w:lang w:val="de-DE"/>
        </w:rPr>
        <w:tab/>
      </w:r>
      <w:r w:rsidRPr="00CB632B">
        <w:rPr>
          <w:lang w:val="de-DE"/>
        </w:rPr>
        <w:t>ECE/TRANS/WP.15/AC.2/2020/22 (Belgien)</w:t>
      </w:r>
    </w:p>
    <w:p w14:paraId="38F2B4F3" w14:textId="4EFE1A16" w:rsidR="00624F9D" w:rsidRPr="0024262E" w:rsidRDefault="008446CA" w:rsidP="00CB632B">
      <w:pPr>
        <w:pStyle w:val="SingleTxtG"/>
        <w:rPr>
          <w:lang w:val="de-DE"/>
        </w:rPr>
      </w:pPr>
      <w:r w:rsidRPr="00CB632B">
        <w:rPr>
          <w:i/>
          <w:iCs/>
          <w:lang w:val="de-DE"/>
        </w:rPr>
        <w:t>Informelles Dokument:</w:t>
      </w:r>
      <w:r w:rsidR="00624F9D" w:rsidRPr="0024262E">
        <w:rPr>
          <w:lang w:val="de-DE"/>
        </w:rPr>
        <w:t xml:space="preserve"> </w:t>
      </w:r>
      <w:r w:rsidR="00624F9D" w:rsidRPr="0024262E">
        <w:rPr>
          <w:lang w:val="de-DE"/>
        </w:rPr>
        <w:tab/>
      </w:r>
      <w:r w:rsidRPr="00CB632B">
        <w:rPr>
          <w:lang w:val="de-DE"/>
        </w:rPr>
        <w:t>INF.2 (Belgien)</w:t>
      </w:r>
    </w:p>
    <w:p w14:paraId="3285B388" w14:textId="032DDA6C" w:rsidR="00624F9D" w:rsidRPr="0024262E" w:rsidRDefault="008026F8" w:rsidP="00CB632B">
      <w:pPr>
        <w:pStyle w:val="SingleTxtG"/>
        <w:rPr>
          <w:lang w:val="de-DE"/>
        </w:rPr>
      </w:pPr>
      <w:r w:rsidRPr="0024262E">
        <w:rPr>
          <w:lang w:val="de-DE"/>
        </w:rPr>
        <w:t>15</w:t>
      </w:r>
      <w:r w:rsidR="00624F9D" w:rsidRPr="0024262E">
        <w:rPr>
          <w:lang w:val="de-DE"/>
        </w:rPr>
        <w:t>.</w:t>
      </w:r>
      <w:r w:rsidR="00624F9D" w:rsidRPr="0024262E">
        <w:rPr>
          <w:lang w:val="de-DE"/>
        </w:rPr>
        <w:tab/>
      </w:r>
      <w:r w:rsidR="008446CA" w:rsidRPr="00CB632B">
        <w:rPr>
          <w:lang w:val="de-DE"/>
        </w:rPr>
        <w:t>Der Vertreter Belgiens zog seinen Antrag auf eine Abweichung in ECE/TRANS/WP.15/AC.2/2020/22 und im informellen Dokument INF.2 zurück.</w:t>
      </w:r>
    </w:p>
    <w:p w14:paraId="486AB232" w14:textId="3E5446E4" w:rsidR="008D79D0" w:rsidRPr="0024262E" w:rsidRDefault="008D79D0" w:rsidP="00CB632B">
      <w:pPr>
        <w:pStyle w:val="H1G"/>
        <w:keepNext w:val="0"/>
        <w:keepLines w:val="0"/>
        <w:rPr>
          <w:lang w:val="de-DE"/>
        </w:rPr>
      </w:pPr>
      <w:r w:rsidRPr="0024262E">
        <w:rPr>
          <w:lang w:val="de-DE"/>
        </w:rPr>
        <w:tab/>
      </w:r>
      <w:bookmarkStart w:id="16" w:name="_Toc32481641"/>
      <w:r w:rsidR="008446CA" w:rsidRPr="00CB632B">
        <w:rPr>
          <w:lang w:val="de-DE"/>
        </w:rPr>
        <w:t>C.</w:t>
      </w:r>
      <w:r w:rsidRPr="0024262E">
        <w:rPr>
          <w:lang w:val="de-DE"/>
        </w:rPr>
        <w:tab/>
      </w:r>
      <w:bookmarkEnd w:id="16"/>
      <w:r w:rsidR="008446CA" w:rsidRPr="00CB632B">
        <w:rPr>
          <w:lang w:val="de-DE"/>
        </w:rPr>
        <w:t>Auslegung der dem ADN beigefügten Verordnung</w:t>
      </w:r>
    </w:p>
    <w:p w14:paraId="40430620" w14:textId="05CA22CC" w:rsidR="008D79D0" w:rsidRPr="0024262E" w:rsidRDefault="008446CA" w:rsidP="00CB632B">
      <w:pPr>
        <w:pStyle w:val="SingleTxtG"/>
        <w:keepNext/>
        <w:keepLines/>
        <w:ind w:left="3402" w:hanging="2268"/>
        <w:jc w:val="left"/>
        <w:rPr>
          <w:lang w:val="de-DE"/>
        </w:rPr>
      </w:pPr>
      <w:r w:rsidRPr="00CB632B">
        <w:rPr>
          <w:i/>
          <w:iCs/>
          <w:lang w:val="de-DE"/>
        </w:rPr>
        <w:t>Dokumente:</w:t>
      </w:r>
      <w:r w:rsidR="008D79D0" w:rsidRPr="0024262E">
        <w:rPr>
          <w:lang w:val="de-DE"/>
        </w:rPr>
        <w:t xml:space="preserve"> </w:t>
      </w:r>
      <w:r w:rsidR="008D79D0" w:rsidRPr="0024262E">
        <w:rPr>
          <w:lang w:val="de-DE"/>
        </w:rPr>
        <w:tab/>
      </w:r>
      <w:r w:rsidR="008D79D0" w:rsidRPr="0024262E">
        <w:rPr>
          <w:lang w:val="de-DE"/>
        </w:rPr>
        <w:tab/>
      </w:r>
      <w:r w:rsidRPr="008446CA">
        <w:rPr>
          <w:lang w:val="de-DE"/>
        </w:rPr>
        <w:t>ECE/TRANS/WP.15/AC.2/2020/9 (Deutschland)</w:t>
      </w:r>
      <w:r w:rsidR="00075662" w:rsidRPr="0024262E">
        <w:rPr>
          <w:lang w:val="de-DE"/>
        </w:rPr>
        <w:t xml:space="preserve"> </w:t>
      </w:r>
      <w:r w:rsidR="008D79D0" w:rsidRPr="0024262E">
        <w:rPr>
          <w:lang w:val="de-DE"/>
        </w:rPr>
        <w:br/>
      </w:r>
      <w:r w:rsidR="008D79D0" w:rsidRPr="0024262E">
        <w:rPr>
          <w:lang w:val="de-DE"/>
        </w:rPr>
        <w:tab/>
      </w:r>
      <w:r w:rsidRPr="008446CA">
        <w:rPr>
          <w:lang w:val="de-DE"/>
        </w:rPr>
        <w:t>ECE/TRANS/WP.15/AC.2/2020/15 (Deutschland)</w:t>
      </w:r>
    </w:p>
    <w:p w14:paraId="664ECAEC" w14:textId="03B5947F" w:rsidR="008D79D0" w:rsidRPr="0024262E" w:rsidRDefault="008446CA" w:rsidP="008446CA">
      <w:pPr>
        <w:pStyle w:val="SingleTxtG"/>
        <w:keepNext/>
        <w:keepLines/>
        <w:ind w:left="3402" w:hanging="2268"/>
        <w:jc w:val="left"/>
        <w:rPr>
          <w:lang w:val="de-DE"/>
        </w:rPr>
      </w:pPr>
      <w:r w:rsidRPr="008446CA">
        <w:rPr>
          <w:i/>
          <w:iCs/>
          <w:lang w:val="de-DE"/>
        </w:rPr>
        <w:t>Informelles Dokument:</w:t>
      </w:r>
      <w:r w:rsidR="008D79D0" w:rsidRPr="0024262E">
        <w:rPr>
          <w:lang w:val="de-DE"/>
        </w:rPr>
        <w:tab/>
      </w:r>
      <w:r w:rsidRPr="008446CA">
        <w:rPr>
          <w:lang w:val="de-DE"/>
        </w:rPr>
        <w:t>INF.14 (EBU und ESO)</w:t>
      </w:r>
    </w:p>
    <w:p w14:paraId="77CB9CA4" w14:textId="1B62A255" w:rsidR="008D79D0" w:rsidRPr="0024262E" w:rsidRDefault="008026F8" w:rsidP="00390413">
      <w:pPr>
        <w:pStyle w:val="SingleTxtG"/>
        <w:rPr>
          <w:lang w:val="de-DE"/>
        </w:rPr>
      </w:pPr>
      <w:r w:rsidRPr="0024262E">
        <w:rPr>
          <w:lang w:val="de-DE"/>
        </w:rPr>
        <w:t>16</w:t>
      </w:r>
      <w:r w:rsidR="008D79D0" w:rsidRPr="0024262E">
        <w:rPr>
          <w:lang w:val="de-DE"/>
        </w:rPr>
        <w:t>.</w:t>
      </w:r>
      <w:r w:rsidR="008D79D0" w:rsidRPr="0024262E">
        <w:rPr>
          <w:lang w:val="de-DE"/>
        </w:rPr>
        <w:tab/>
      </w:r>
      <w:r w:rsidR="008446CA" w:rsidRPr="008446CA">
        <w:rPr>
          <w:lang w:val="de-DE"/>
        </w:rPr>
        <w:t>Aus Zeitgründen wurde</w:t>
      </w:r>
      <w:r w:rsidR="00A16F0B">
        <w:rPr>
          <w:lang w:val="de-DE"/>
        </w:rPr>
        <w:t>n</w:t>
      </w:r>
      <w:r w:rsidR="008446CA" w:rsidRPr="008446CA">
        <w:rPr>
          <w:lang w:val="de-DE"/>
        </w:rPr>
        <w:t xml:space="preserve"> diese Dokument</w:t>
      </w:r>
      <w:r w:rsidR="00A16F0B">
        <w:rPr>
          <w:lang w:val="de-DE"/>
        </w:rPr>
        <w:t>e</w:t>
      </w:r>
      <w:r w:rsidR="008446CA" w:rsidRPr="008446CA">
        <w:rPr>
          <w:lang w:val="de-DE"/>
        </w:rPr>
        <w:t xml:space="preserve"> vom Sicherheitsausschuss nicht behandelt.</w:t>
      </w:r>
      <w:r w:rsidR="008D79D0" w:rsidRPr="0024262E">
        <w:rPr>
          <w:lang w:val="de-DE"/>
        </w:rPr>
        <w:t xml:space="preserve"> </w:t>
      </w:r>
      <w:r w:rsidR="00390413" w:rsidRPr="00390413">
        <w:rPr>
          <w:lang w:val="de-DE"/>
        </w:rPr>
        <w:t>Es wurde vereinbart, sie auf der nächsten Sitzung zu prüfen.</w:t>
      </w:r>
    </w:p>
    <w:p w14:paraId="594548C5" w14:textId="136385F6" w:rsidR="008D79D0" w:rsidRPr="0024262E" w:rsidRDefault="008D79D0" w:rsidP="00390413">
      <w:pPr>
        <w:pStyle w:val="H1G"/>
        <w:keepNext w:val="0"/>
        <w:keepLines w:val="0"/>
        <w:rPr>
          <w:lang w:val="de-DE"/>
        </w:rPr>
      </w:pPr>
      <w:r w:rsidRPr="0024262E">
        <w:rPr>
          <w:lang w:val="de-DE"/>
        </w:rPr>
        <w:tab/>
      </w:r>
      <w:bookmarkStart w:id="17" w:name="_Toc32481642"/>
      <w:r w:rsidR="00390413" w:rsidRPr="00390413">
        <w:rPr>
          <w:lang w:val="de-DE"/>
        </w:rPr>
        <w:t>D.</w:t>
      </w:r>
      <w:r w:rsidRPr="0024262E">
        <w:rPr>
          <w:lang w:val="de-DE"/>
        </w:rPr>
        <w:tab/>
      </w:r>
      <w:bookmarkEnd w:id="17"/>
      <w:proofErr w:type="spellStart"/>
      <w:r w:rsidR="00390413" w:rsidRPr="00390413">
        <w:rPr>
          <w:lang w:val="de-DE"/>
        </w:rPr>
        <w:t>Sachkundigenausbildung</w:t>
      </w:r>
      <w:proofErr w:type="spellEnd"/>
    </w:p>
    <w:p w14:paraId="561E36F9" w14:textId="15BB32C0" w:rsidR="008D79D0" w:rsidRPr="0024262E" w:rsidRDefault="008D79D0" w:rsidP="005101EE">
      <w:pPr>
        <w:pStyle w:val="SingleTxtG"/>
        <w:rPr>
          <w:lang w:val="de-DE"/>
        </w:rPr>
      </w:pPr>
      <w:r w:rsidRPr="0024262E">
        <w:rPr>
          <w:lang w:val="de-DE"/>
        </w:rPr>
        <w:tab/>
      </w:r>
      <w:r w:rsidR="008026F8" w:rsidRPr="0024262E">
        <w:rPr>
          <w:lang w:val="de-DE"/>
        </w:rPr>
        <w:t>17</w:t>
      </w:r>
      <w:r w:rsidRPr="0024262E">
        <w:rPr>
          <w:lang w:val="de-DE"/>
        </w:rPr>
        <w:t>.</w:t>
      </w:r>
      <w:r w:rsidRPr="0024262E">
        <w:rPr>
          <w:lang w:val="de-DE"/>
        </w:rPr>
        <w:tab/>
      </w:r>
      <w:r w:rsidR="00390413" w:rsidRPr="005101EE">
        <w:rPr>
          <w:lang w:val="de-DE"/>
        </w:rPr>
        <w:t>Der Sicherheitsausschuss nahm zur Kenntnis, dass die informelle Arbeitsgruppe „</w:t>
      </w:r>
      <w:proofErr w:type="spellStart"/>
      <w:r w:rsidR="00390413" w:rsidRPr="005101EE">
        <w:rPr>
          <w:lang w:val="de-DE"/>
        </w:rPr>
        <w:t>Sachkundigenausbildung</w:t>
      </w:r>
      <w:proofErr w:type="spellEnd"/>
      <w:r w:rsidR="00390413" w:rsidRPr="005101EE">
        <w:rPr>
          <w:lang w:val="de-DE"/>
        </w:rPr>
        <w:t xml:space="preserve">“ </w:t>
      </w:r>
      <w:r w:rsidR="00475B0D">
        <w:rPr>
          <w:lang w:val="de-DE"/>
        </w:rPr>
        <w:t xml:space="preserve">beabsichtigt, </w:t>
      </w:r>
      <w:r w:rsidR="00390413" w:rsidRPr="005101EE">
        <w:rPr>
          <w:lang w:val="de-DE"/>
        </w:rPr>
        <w:t xml:space="preserve">am 24. </w:t>
      </w:r>
      <w:r w:rsidR="00B85882">
        <w:rPr>
          <w:lang w:val="de-DE"/>
        </w:rPr>
        <w:t>bis</w:t>
      </w:r>
      <w:r w:rsidR="00390413" w:rsidRPr="005101EE">
        <w:rPr>
          <w:lang w:val="de-DE"/>
        </w:rPr>
        <w:t xml:space="preserve"> 26. März 2020 in Straßburg </w:t>
      </w:r>
      <w:r w:rsidR="005101EE" w:rsidRPr="005101EE">
        <w:rPr>
          <w:lang w:val="de-DE"/>
        </w:rPr>
        <w:t>wieder</w:t>
      </w:r>
      <w:r w:rsidR="00390413" w:rsidRPr="005101EE">
        <w:rPr>
          <w:lang w:val="de-DE"/>
        </w:rPr>
        <w:t xml:space="preserve"> </w:t>
      </w:r>
      <w:r w:rsidR="005101EE" w:rsidRPr="005101EE">
        <w:rPr>
          <w:lang w:val="de-DE"/>
        </w:rPr>
        <w:t>zusammen</w:t>
      </w:r>
      <w:r w:rsidR="00475B0D">
        <w:rPr>
          <w:lang w:val="de-DE"/>
        </w:rPr>
        <w:t>zu</w:t>
      </w:r>
      <w:r w:rsidR="005101EE" w:rsidRPr="005101EE">
        <w:rPr>
          <w:lang w:val="de-DE"/>
        </w:rPr>
        <w:t>kommen</w:t>
      </w:r>
      <w:r w:rsidR="00475B0D">
        <w:rPr>
          <w:lang w:val="de-DE"/>
        </w:rPr>
        <w:t>,</w:t>
      </w:r>
      <w:r w:rsidR="005101EE" w:rsidRPr="005101EE">
        <w:rPr>
          <w:lang w:val="de-DE"/>
        </w:rPr>
        <w:t xml:space="preserve"> </w:t>
      </w:r>
      <w:r w:rsidR="00390413" w:rsidRPr="005101EE">
        <w:rPr>
          <w:lang w:val="de-DE"/>
        </w:rPr>
        <w:t xml:space="preserve">und </w:t>
      </w:r>
      <w:r w:rsidR="005101EE" w:rsidRPr="005101EE">
        <w:rPr>
          <w:lang w:val="de-DE"/>
        </w:rPr>
        <w:t xml:space="preserve">in Kürze </w:t>
      </w:r>
      <w:r w:rsidR="00390413" w:rsidRPr="005101EE">
        <w:rPr>
          <w:lang w:val="de-DE"/>
        </w:rPr>
        <w:t>eine entsprechende Einladung versandt wird.</w:t>
      </w:r>
    </w:p>
    <w:p w14:paraId="185775BB" w14:textId="3FAC34DD" w:rsidR="00A21BC1" w:rsidRPr="0024262E" w:rsidRDefault="00A21BC1" w:rsidP="005101EE">
      <w:pPr>
        <w:pStyle w:val="H1G"/>
        <w:rPr>
          <w:lang w:val="de-DE"/>
        </w:rPr>
      </w:pPr>
      <w:r w:rsidRPr="0024262E">
        <w:rPr>
          <w:lang w:val="de-DE"/>
        </w:rPr>
        <w:tab/>
      </w:r>
      <w:bookmarkStart w:id="18" w:name="_Toc505688421"/>
      <w:bookmarkStart w:id="19" w:name="_Toc32481643"/>
      <w:r w:rsidR="005101EE" w:rsidRPr="005101EE">
        <w:rPr>
          <w:lang w:val="de-DE"/>
        </w:rPr>
        <w:t>E.</w:t>
      </w:r>
      <w:r w:rsidRPr="0024262E">
        <w:rPr>
          <w:lang w:val="de-DE"/>
        </w:rPr>
        <w:tab/>
      </w:r>
      <w:bookmarkEnd w:id="18"/>
      <w:bookmarkEnd w:id="19"/>
      <w:r w:rsidR="005101EE" w:rsidRPr="005101EE">
        <w:rPr>
          <w:lang w:val="de-DE"/>
        </w:rPr>
        <w:t>Fragen im Zusammenhang mit den Klassifikationsgesellschaften</w:t>
      </w:r>
    </w:p>
    <w:p w14:paraId="6E4C3E9A" w14:textId="3DE83B4B" w:rsidR="00A21BC1" w:rsidRPr="0024262E" w:rsidRDefault="00A21BC1" w:rsidP="005101EE">
      <w:pPr>
        <w:pStyle w:val="H23G"/>
        <w:rPr>
          <w:lang w:val="de-DE"/>
        </w:rPr>
      </w:pPr>
      <w:r w:rsidRPr="0024262E">
        <w:rPr>
          <w:lang w:val="de-DE"/>
        </w:rPr>
        <w:tab/>
      </w:r>
      <w:bookmarkStart w:id="20" w:name="_Toc505688423"/>
      <w:bookmarkStart w:id="21" w:name="_Toc32481644"/>
      <w:r w:rsidR="00C74667" w:rsidRPr="0024262E">
        <w:rPr>
          <w:lang w:val="de-DE"/>
        </w:rPr>
        <w:t>1</w:t>
      </w:r>
      <w:r w:rsidRPr="0024262E">
        <w:rPr>
          <w:lang w:val="de-DE"/>
        </w:rPr>
        <w:t>.</w:t>
      </w:r>
      <w:r w:rsidRPr="0024262E">
        <w:rPr>
          <w:lang w:val="de-DE"/>
        </w:rPr>
        <w:tab/>
      </w:r>
      <w:bookmarkEnd w:id="20"/>
      <w:r w:rsidR="005101EE" w:rsidRPr="005101EE">
        <w:rPr>
          <w:lang w:val="de-DE"/>
        </w:rPr>
        <w:t>Neue Generation von Binnen-See-Schiffen für die Beförderung gefährlicher Güter</w:t>
      </w:r>
      <w:r w:rsidRPr="0024262E">
        <w:rPr>
          <w:lang w:val="de-DE"/>
        </w:rPr>
        <w:t xml:space="preserve"> </w:t>
      </w:r>
      <w:bookmarkEnd w:id="21"/>
      <w:r w:rsidR="005101EE" w:rsidRPr="005101EE">
        <w:rPr>
          <w:lang w:val="de-DE"/>
        </w:rPr>
        <w:t>Erfahrungen der Russischen Föderation</w:t>
      </w:r>
    </w:p>
    <w:p w14:paraId="7E0A9892" w14:textId="18DDC881" w:rsidR="00A21BC1" w:rsidRPr="0024262E" w:rsidRDefault="005101EE" w:rsidP="005101EE">
      <w:pPr>
        <w:spacing w:after="120"/>
        <w:ind w:left="567" w:firstLine="567"/>
        <w:rPr>
          <w:lang w:val="de-DE"/>
        </w:rPr>
      </w:pPr>
      <w:r w:rsidRPr="005101EE">
        <w:rPr>
          <w:i/>
          <w:iCs/>
          <w:lang w:val="de-DE"/>
        </w:rPr>
        <w:t>Informelles Dokument:</w:t>
      </w:r>
      <w:r w:rsidR="00A21BC1" w:rsidRPr="0024262E">
        <w:rPr>
          <w:lang w:val="de-DE"/>
        </w:rPr>
        <w:t xml:space="preserve"> </w:t>
      </w:r>
      <w:r w:rsidR="00A21BC1" w:rsidRPr="0024262E">
        <w:rPr>
          <w:lang w:val="de-DE"/>
        </w:rPr>
        <w:tab/>
      </w:r>
      <w:r w:rsidR="00A21BC1" w:rsidRPr="0024262E">
        <w:rPr>
          <w:lang w:val="de-DE"/>
        </w:rPr>
        <w:tab/>
      </w:r>
      <w:r w:rsidRPr="005101EE">
        <w:rPr>
          <w:lang w:val="de-DE"/>
        </w:rPr>
        <w:t>INF.4 (</w:t>
      </w:r>
      <w:proofErr w:type="spellStart"/>
      <w:r w:rsidRPr="005101EE">
        <w:rPr>
          <w:lang w:val="de-DE"/>
        </w:rPr>
        <w:t>Russian</w:t>
      </w:r>
      <w:proofErr w:type="spellEnd"/>
      <w:r w:rsidRPr="005101EE">
        <w:rPr>
          <w:lang w:val="de-DE"/>
        </w:rPr>
        <w:t xml:space="preserve"> River Register)</w:t>
      </w:r>
    </w:p>
    <w:p w14:paraId="778C1857" w14:textId="24150288" w:rsidR="00A21BC1" w:rsidRPr="0024262E" w:rsidRDefault="008026F8" w:rsidP="00B85882">
      <w:pPr>
        <w:pStyle w:val="SingleTxtG"/>
        <w:rPr>
          <w:lang w:val="de-DE"/>
        </w:rPr>
      </w:pPr>
      <w:r w:rsidRPr="0024262E">
        <w:rPr>
          <w:lang w:val="de-DE"/>
        </w:rPr>
        <w:t>18</w:t>
      </w:r>
      <w:r w:rsidR="00A21BC1" w:rsidRPr="0024262E">
        <w:rPr>
          <w:lang w:val="de-DE"/>
        </w:rPr>
        <w:t>.</w:t>
      </w:r>
      <w:r w:rsidR="00A21BC1" w:rsidRPr="0024262E">
        <w:rPr>
          <w:lang w:val="de-DE"/>
        </w:rPr>
        <w:tab/>
      </w:r>
      <w:r w:rsidR="00492514" w:rsidRPr="00B85882">
        <w:rPr>
          <w:lang w:val="de-DE"/>
        </w:rPr>
        <w:t>Der Sicherheitsausschuss begrüßte den Bericht über die Erfahrungen der Russischen Föderation mit der neuen Generation von Binnen-See-Schiffen für die Beförderung gefährlicher Güter.</w:t>
      </w:r>
      <w:r w:rsidR="00A21BC1" w:rsidRPr="0024262E">
        <w:rPr>
          <w:lang w:val="de-DE"/>
        </w:rPr>
        <w:t xml:space="preserve"> </w:t>
      </w:r>
      <w:r w:rsidR="00492514" w:rsidRPr="00B85882">
        <w:rPr>
          <w:lang w:val="de-DE"/>
        </w:rPr>
        <w:t>Zur Frage der Stabilität von Mehrzweckschiffen wurde festgestellt, dass die neue Schiffsgeneration nach den jüngsten Anforderungen des ADN (z.</w:t>
      </w:r>
      <w:r w:rsidR="003A1A23" w:rsidRPr="00B85882">
        <w:rPr>
          <w:lang w:val="de-DE"/>
        </w:rPr>
        <w:t> </w:t>
      </w:r>
      <w:r w:rsidR="00492514" w:rsidRPr="00B85882">
        <w:rPr>
          <w:lang w:val="de-DE"/>
        </w:rPr>
        <w:t>B. Doppelhülle) gebaut und mit innovativen nautischen Systemen ausgestattet wurde, um ihre Stabilität in der Binnen- und Küstenschifffahrt zu gewährleisten.</w:t>
      </w:r>
    </w:p>
    <w:p w14:paraId="548EB2D2" w14:textId="5111D68B" w:rsidR="00A21BC1" w:rsidRPr="0024262E" w:rsidRDefault="008026F8" w:rsidP="00346DC7">
      <w:pPr>
        <w:pStyle w:val="SingleTxtG"/>
        <w:rPr>
          <w:lang w:val="de-DE"/>
        </w:rPr>
      </w:pPr>
      <w:r w:rsidRPr="0024262E">
        <w:rPr>
          <w:lang w:val="de-DE"/>
        </w:rPr>
        <w:t>19</w:t>
      </w:r>
      <w:r w:rsidR="00A21BC1" w:rsidRPr="0024262E">
        <w:rPr>
          <w:lang w:val="de-DE"/>
        </w:rPr>
        <w:t>.</w:t>
      </w:r>
      <w:r w:rsidR="00A21BC1" w:rsidRPr="0024262E">
        <w:rPr>
          <w:lang w:val="de-DE"/>
        </w:rPr>
        <w:tab/>
      </w:r>
      <w:r w:rsidR="00A522EB" w:rsidRPr="00346DC7">
        <w:rPr>
          <w:lang w:val="de-DE"/>
        </w:rPr>
        <w:t xml:space="preserve">Der Sicherheitsausschuss nahm mit Interesse zur Kenntnis, dass Schiffe mit </w:t>
      </w:r>
      <w:r w:rsidR="00B85882" w:rsidRPr="00346DC7">
        <w:rPr>
          <w:lang w:val="de-DE"/>
        </w:rPr>
        <w:t>vorne angeordnetem</w:t>
      </w:r>
      <w:r w:rsidR="00A522EB" w:rsidRPr="00346DC7">
        <w:rPr>
          <w:lang w:val="de-DE"/>
        </w:rPr>
        <w:t xml:space="preserve"> Steuerhaus mit bordeigenen Kamerasystemen ausgestattet sind, wobei </w:t>
      </w:r>
      <w:r w:rsidR="00346DC7" w:rsidRPr="00346DC7">
        <w:rPr>
          <w:lang w:val="de-DE"/>
        </w:rPr>
        <w:t xml:space="preserve">es </w:t>
      </w:r>
      <w:r w:rsidR="00A522EB" w:rsidRPr="00346DC7">
        <w:rPr>
          <w:lang w:val="de-DE"/>
        </w:rPr>
        <w:t>jedoch noch einige Herausforderungen hinsichtlich eines allzeit guten Sichtfeldes, insbesondere unter Brücken und bei der Beförderung größerer La</w:t>
      </w:r>
      <w:r w:rsidR="00F4318E" w:rsidRPr="00346DC7">
        <w:rPr>
          <w:lang w:val="de-DE"/>
        </w:rPr>
        <w:t>dung</w:t>
      </w:r>
      <w:r w:rsidR="00A522EB" w:rsidRPr="00346DC7">
        <w:rPr>
          <w:lang w:val="de-DE"/>
        </w:rPr>
        <w:t>en</w:t>
      </w:r>
      <w:r w:rsidR="00346DC7" w:rsidRPr="00346DC7">
        <w:rPr>
          <w:lang w:val="de-DE"/>
        </w:rPr>
        <w:t xml:space="preserve"> gibt</w:t>
      </w:r>
      <w:r w:rsidR="00A522EB" w:rsidRPr="00346DC7">
        <w:rPr>
          <w:lang w:val="de-DE"/>
        </w:rPr>
        <w:t>.</w:t>
      </w:r>
      <w:r w:rsidR="00A21BC1" w:rsidRPr="0024262E">
        <w:rPr>
          <w:lang w:val="de-DE"/>
        </w:rPr>
        <w:t xml:space="preserve"> </w:t>
      </w:r>
      <w:r w:rsidR="000A3AA6" w:rsidRPr="00346DC7">
        <w:rPr>
          <w:lang w:val="de-DE"/>
        </w:rPr>
        <w:t>Die Wissenschaftler der Russischen Föderation ziehen w</w:t>
      </w:r>
      <w:r w:rsidR="00F4318E" w:rsidRPr="00346DC7">
        <w:rPr>
          <w:lang w:val="de-DE"/>
        </w:rPr>
        <w:t>eitere Studien zu diesem Thema in Erwägung.</w:t>
      </w:r>
    </w:p>
    <w:p w14:paraId="016F0DD1" w14:textId="64F3E168" w:rsidR="00A21BC1" w:rsidRPr="0024262E" w:rsidRDefault="008026F8" w:rsidP="00346DC7">
      <w:pPr>
        <w:pStyle w:val="SingleTxtG"/>
        <w:rPr>
          <w:lang w:val="de-DE"/>
        </w:rPr>
      </w:pPr>
      <w:r w:rsidRPr="0024262E">
        <w:rPr>
          <w:lang w:val="de-DE"/>
        </w:rPr>
        <w:lastRenderedPageBreak/>
        <w:t>20</w:t>
      </w:r>
      <w:r w:rsidR="00A21BC1" w:rsidRPr="0024262E">
        <w:rPr>
          <w:lang w:val="de-DE"/>
        </w:rPr>
        <w:t>.</w:t>
      </w:r>
      <w:r w:rsidR="00A21BC1" w:rsidRPr="0024262E">
        <w:rPr>
          <w:lang w:val="de-DE"/>
        </w:rPr>
        <w:tab/>
      </w:r>
      <w:r w:rsidR="00E25CAB" w:rsidRPr="00346DC7">
        <w:rPr>
          <w:lang w:val="de-DE"/>
        </w:rPr>
        <w:t xml:space="preserve">Der Vertreter der Russischen Föderation lud den Sicherheitsausschuss ein, Informationen oder praktische Erfahrungen </w:t>
      </w:r>
      <w:r w:rsidR="00E02F2A" w:rsidRPr="00346DC7">
        <w:rPr>
          <w:lang w:val="de-DE"/>
        </w:rPr>
        <w:t>anderer</w:t>
      </w:r>
      <w:r w:rsidR="00E25CAB" w:rsidRPr="00346DC7">
        <w:rPr>
          <w:lang w:val="de-DE"/>
        </w:rPr>
        <w:t xml:space="preserve"> Länder </w:t>
      </w:r>
      <w:r w:rsidR="00E02F2A" w:rsidRPr="00346DC7">
        <w:rPr>
          <w:lang w:val="de-DE"/>
        </w:rPr>
        <w:t>zum</w:t>
      </w:r>
      <w:r w:rsidR="00E25CAB" w:rsidRPr="00346DC7">
        <w:rPr>
          <w:lang w:val="de-DE"/>
        </w:rPr>
        <w:t xml:space="preserve"> Einsatz von Schiffen mit </w:t>
      </w:r>
      <w:r w:rsidR="00DF5FB6" w:rsidRPr="00346DC7">
        <w:rPr>
          <w:lang w:val="de-DE"/>
        </w:rPr>
        <w:t>vorn</w:t>
      </w:r>
      <w:r w:rsidR="002C4848" w:rsidRPr="00346DC7">
        <w:rPr>
          <w:lang w:val="de-DE"/>
        </w:rPr>
        <w:t>e</w:t>
      </w:r>
      <w:r w:rsidR="00DF5FB6" w:rsidRPr="00346DC7">
        <w:rPr>
          <w:lang w:val="de-DE"/>
        </w:rPr>
        <w:t xml:space="preserve"> angeordnetem </w:t>
      </w:r>
      <w:r w:rsidR="00E25CAB" w:rsidRPr="00346DC7">
        <w:rPr>
          <w:lang w:val="de-DE"/>
        </w:rPr>
        <w:t xml:space="preserve">Steuerhaus </w:t>
      </w:r>
      <w:r w:rsidR="00E02F2A" w:rsidRPr="00346DC7">
        <w:rPr>
          <w:lang w:val="de-DE"/>
        </w:rPr>
        <w:t>zu teilen</w:t>
      </w:r>
      <w:r w:rsidR="00E25CAB" w:rsidRPr="00346DC7">
        <w:rPr>
          <w:lang w:val="de-DE"/>
        </w:rPr>
        <w:t>.</w:t>
      </w:r>
    </w:p>
    <w:p w14:paraId="1C71B124" w14:textId="57A722AF" w:rsidR="00A21BC1" w:rsidRPr="0024262E" w:rsidRDefault="008026F8" w:rsidP="00346DC7">
      <w:pPr>
        <w:pStyle w:val="SingleTxtG"/>
        <w:rPr>
          <w:lang w:val="de-DE"/>
        </w:rPr>
      </w:pPr>
      <w:r w:rsidRPr="0024262E">
        <w:rPr>
          <w:lang w:val="de-DE"/>
        </w:rPr>
        <w:t>21</w:t>
      </w:r>
      <w:r w:rsidR="00A21BC1" w:rsidRPr="0024262E">
        <w:rPr>
          <w:lang w:val="de-DE"/>
        </w:rPr>
        <w:t>.</w:t>
      </w:r>
      <w:r w:rsidR="00A21BC1" w:rsidRPr="0024262E">
        <w:rPr>
          <w:lang w:val="de-DE"/>
        </w:rPr>
        <w:tab/>
      </w:r>
      <w:r w:rsidR="009F375C" w:rsidRPr="00346DC7">
        <w:rPr>
          <w:lang w:val="de-DE"/>
        </w:rPr>
        <w:t>Der Sicherheitsausschuss forderte die Russische Föderation auf, mehr Informationen über Stabilitätsberechnungen für Mehrzweckschiffe sowie über das Fassungsvermögen der jeweiligen Tanks für die Beförderung von Flüssigkeiten zu liefern.</w:t>
      </w:r>
    </w:p>
    <w:p w14:paraId="47917748" w14:textId="1233CACA" w:rsidR="004734D7" w:rsidRPr="0024262E" w:rsidRDefault="004734D7" w:rsidP="00346DC7">
      <w:pPr>
        <w:pStyle w:val="H23G"/>
        <w:rPr>
          <w:lang w:val="de-DE"/>
        </w:rPr>
      </w:pPr>
      <w:r w:rsidRPr="0024262E">
        <w:rPr>
          <w:lang w:val="de-DE"/>
        </w:rPr>
        <w:tab/>
      </w:r>
      <w:bookmarkStart w:id="22" w:name="_Toc32481645"/>
      <w:r w:rsidR="00C74667" w:rsidRPr="0024262E">
        <w:rPr>
          <w:lang w:val="de-DE"/>
        </w:rPr>
        <w:t>2</w:t>
      </w:r>
      <w:r w:rsidRPr="0024262E">
        <w:rPr>
          <w:lang w:val="de-DE"/>
        </w:rPr>
        <w:t>.</w:t>
      </w:r>
      <w:r w:rsidRPr="0024262E">
        <w:rPr>
          <w:lang w:val="de-DE"/>
        </w:rPr>
        <w:tab/>
      </w:r>
      <w:bookmarkEnd w:id="22"/>
      <w:r w:rsidR="00070072" w:rsidRPr="00346DC7">
        <w:rPr>
          <w:lang w:val="de-DE"/>
        </w:rPr>
        <w:t>Vorschlag zur Aktualisierung von 9.3.4 (alternative Bauweisen) ADN</w:t>
      </w:r>
    </w:p>
    <w:p w14:paraId="3299E7FD" w14:textId="631467EC" w:rsidR="004734D7" w:rsidRPr="0024262E" w:rsidRDefault="00B07263" w:rsidP="00346DC7">
      <w:pPr>
        <w:spacing w:after="120"/>
        <w:ind w:left="3402" w:right="1134" w:hanging="2268"/>
        <w:rPr>
          <w:lang w:val="de-DE"/>
        </w:rPr>
      </w:pPr>
      <w:r w:rsidRPr="00346DC7">
        <w:rPr>
          <w:i/>
          <w:iCs/>
          <w:lang w:val="de-DE"/>
        </w:rPr>
        <w:t>Informelle Dokumente:</w:t>
      </w:r>
      <w:r w:rsidR="004734D7" w:rsidRPr="0024262E">
        <w:rPr>
          <w:lang w:val="de-DE"/>
        </w:rPr>
        <w:t xml:space="preserve"> </w:t>
      </w:r>
      <w:r w:rsidR="004734D7" w:rsidRPr="0024262E">
        <w:rPr>
          <w:lang w:val="de-DE"/>
        </w:rPr>
        <w:tab/>
      </w:r>
      <w:r w:rsidRPr="00B07263">
        <w:rPr>
          <w:lang w:val="de-DE"/>
        </w:rPr>
        <w:t>INF.10 (Empfohlene ADN-Klassifikationsgesellschaften) und INF.25 (Niederlande)</w:t>
      </w:r>
    </w:p>
    <w:p w14:paraId="34EEB00E" w14:textId="350EC214" w:rsidR="004734D7" w:rsidRPr="0024262E" w:rsidRDefault="004734D7" w:rsidP="002D6EC8">
      <w:pPr>
        <w:pStyle w:val="SingleTxtG"/>
        <w:rPr>
          <w:lang w:val="de-DE"/>
        </w:rPr>
      </w:pPr>
      <w:r w:rsidRPr="0024262E">
        <w:rPr>
          <w:lang w:val="de-DE"/>
        </w:rPr>
        <w:t>22.</w:t>
      </w:r>
      <w:r w:rsidRPr="0024262E">
        <w:rPr>
          <w:lang w:val="de-DE"/>
        </w:rPr>
        <w:tab/>
      </w:r>
      <w:r w:rsidR="00D3694F" w:rsidRPr="002D6EC8">
        <w:rPr>
          <w:lang w:val="de-DE"/>
        </w:rPr>
        <w:t xml:space="preserve">Der Sicherheitsausschuss begrüßte die Ausführungen zur Notwendigkeit einer Überarbeitung </w:t>
      </w:r>
      <w:r w:rsidR="001471D9" w:rsidRPr="002D6EC8">
        <w:rPr>
          <w:lang w:val="de-DE"/>
        </w:rPr>
        <w:t>des Abschnitts</w:t>
      </w:r>
      <w:r w:rsidR="00D3694F" w:rsidRPr="002D6EC8">
        <w:rPr>
          <w:lang w:val="de-DE"/>
        </w:rPr>
        <w:t xml:space="preserve"> 9.3.4, um der zunehmenden Schiffsgröße und Aufprallenergie, verbesserten Berechnungsmethoden und Ladetanks mit einem Volumen von über 1000 m</w:t>
      </w:r>
      <w:r w:rsidR="00D3694F" w:rsidRPr="002D6EC8">
        <w:rPr>
          <w:vertAlign w:val="superscript"/>
          <w:lang w:val="de-DE"/>
        </w:rPr>
        <w:t>3</w:t>
      </w:r>
      <w:r w:rsidR="00D3694F" w:rsidRPr="002D6EC8">
        <w:rPr>
          <w:lang w:val="de-DE"/>
        </w:rPr>
        <w:t xml:space="preserve"> Rechnung zu tragen.</w:t>
      </w:r>
      <w:r w:rsidRPr="0024262E">
        <w:rPr>
          <w:lang w:val="de-DE"/>
        </w:rPr>
        <w:t xml:space="preserve"> </w:t>
      </w:r>
      <w:r w:rsidR="007E4BA4" w:rsidRPr="002D6EC8">
        <w:rPr>
          <w:lang w:val="de-DE"/>
        </w:rPr>
        <w:t xml:space="preserve">Da die Meinungen mangels detaillierter technischer oder wirtschaftlicher Argumente für die Durchführung dieser Arbeit geteilt waren, wurde </w:t>
      </w:r>
      <w:r w:rsidR="001710B7" w:rsidRPr="002D6EC8">
        <w:rPr>
          <w:lang w:val="de-DE"/>
        </w:rPr>
        <w:t>die Einsetzung</w:t>
      </w:r>
      <w:r w:rsidR="007E4BA4" w:rsidRPr="002D6EC8">
        <w:rPr>
          <w:lang w:val="de-DE"/>
        </w:rPr>
        <w:t xml:space="preserve"> eine</w:t>
      </w:r>
      <w:r w:rsidR="001710B7" w:rsidRPr="002D6EC8">
        <w:rPr>
          <w:lang w:val="de-DE"/>
        </w:rPr>
        <w:t>r</w:t>
      </w:r>
      <w:r w:rsidR="007E4BA4" w:rsidRPr="002D6EC8">
        <w:rPr>
          <w:lang w:val="de-DE"/>
        </w:rPr>
        <w:t xml:space="preserve"> </w:t>
      </w:r>
      <w:r w:rsidR="00F04314" w:rsidRPr="002D6EC8">
        <w:rPr>
          <w:lang w:val="de-DE"/>
        </w:rPr>
        <w:t>Sachverständig</w:t>
      </w:r>
      <w:r w:rsidR="007E4BA4" w:rsidRPr="002D6EC8">
        <w:rPr>
          <w:lang w:val="de-DE"/>
        </w:rPr>
        <w:t xml:space="preserve">engruppe im Rahmen der </w:t>
      </w:r>
      <w:r w:rsidR="00930E97" w:rsidRPr="002D6EC8">
        <w:rPr>
          <w:lang w:val="de-DE"/>
        </w:rPr>
        <w:t>E</w:t>
      </w:r>
      <w:r w:rsidR="007E4BA4" w:rsidRPr="002D6EC8">
        <w:rPr>
          <w:lang w:val="de-DE"/>
        </w:rPr>
        <w:t xml:space="preserve">mpfohlenen ADN-Klassifikationsgesellschaften </w:t>
      </w:r>
      <w:r w:rsidR="001710B7" w:rsidRPr="002D6EC8">
        <w:rPr>
          <w:lang w:val="de-DE"/>
        </w:rPr>
        <w:t>beschlossen</w:t>
      </w:r>
      <w:r w:rsidR="007E4BA4" w:rsidRPr="002D6EC8">
        <w:rPr>
          <w:lang w:val="de-DE"/>
        </w:rPr>
        <w:t>, um das Problem zu untersuchen und mögliche Lösungen zu finden.</w:t>
      </w:r>
      <w:r w:rsidRPr="0024262E">
        <w:rPr>
          <w:lang w:val="de-DE"/>
        </w:rPr>
        <w:t xml:space="preserve"> </w:t>
      </w:r>
      <w:r w:rsidR="0030735C" w:rsidRPr="00346DC7">
        <w:rPr>
          <w:lang w:val="de-DE"/>
        </w:rPr>
        <w:t xml:space="preserve">Über die Ergebnisse der Diskussionen in der </w:t>
      </w:r>
      <w:r w:rsidR="008713F0" w:rsidRPr="00346DC7">
        <w:rPr>
          <w:lang w:val="de-DE"/>
        </w:rPr>
        <w:t>Sachverständig</w:t>
      </w:r>
      <w:r w:rsidR="0030735C" w:rsidRPr="00346DC7">
        <w:rPr>
          <w:lang w:val="de-DE"/>
        </w:rPr>
        <w:t>engruppe soll dem Sicherheitsausschuss regelmäßig Bericht erstattet werden.</w:t>
      </w:r>
    </w:p>
    <w:p w14:paraId="50A57DFB" w14:textId="3252E4E4" w:rsidR="00A21BC1" w:rsidRPr="0024262E" w:rsidRDefault="00A21BC1" w:rsidP="00346DC7">
      <w:pPr>
        <w:pStyle w:val="H23G"/>
        <w:rPr>
          <w:lang w:val="de-DE"/>
        </w:rPr>
      </w:pPr>
      <w:r w:rsidRPr="0024262E">
        <w:rPr>
          <w:lang w:val="de-DE"/>
        </w:rPr>
        <w:tab/>
      </w:r>
      <w:bookmarkStart w:id="23" w:name="_Toc32481646"/>
      <w:r w:rsidR="00C74667" w:rsidRPr="0024262E">
        <w:rPr>
          <w:lang w:val="de-DE"/>
        </w:rPr>
        <w:t>3</w:t>
      </w:r>
      <w:r w:rsidRPr="0024262E">
        <w:rPr>
          <w:lang w:val="de-DE"/>
        </w:rPr>
        <w:t>.</w:t>
      </w:r>
      <w:r w:rsidRPr="0024262E">
        <w:rPr>
          <w:lang w:val="de-DE"/>
        </w:rPr>
        <w:tab/>
      </w:r>
      <w:bookmarkEnd w:id="23"/>
      <w:r w:rsidR="008713F0" w:rsidRPr="00346DC7">
        <w:rPr>
          <w:lang w:val="de-DE"/>
        </w:rPr>
        <w:t>Nachweis der Einhaltung der Norm EN ISO/IEC 17020:2012</w:t>
      </w:r>
    </w:p>
    <w:p w14:paraId="77DEEB99" w14:textId="75FC1427" w:rsidR="00A21BC1" w:rsidRPr="008713F0" w:rsidRDefault="008713F0" w:rsidP="008713F0">
      <w:pPr>
        <w:pStyle w:val="SingleTxtG"/>
        <w:rPr>
          <w:lang w:val="fr-CH"/>
        </w:rPr>
      </w:pPr>
      <w:r w:rsidRPr="0024262E">
        <w:rPr>
          <w:i/>
          <w:iCs/>
          <w:lang w:val="fr-FR"/>
        </w:rPr>
        <w:t xml:space="preserve">Informelles </w:t>
      </w:r>
      <w:proofErr w:type="spellStart"/>
      <w:r w:rsidRPr="0024262E">
        <w:rPr>
          <w:i/>
          <w:iCs/>
          <w:lang w:val="fr-FR"/>
        </w:rPr>
        <w:t>Dokument</w:t>
      </w:r>
      <w:proofErr w:type="spellEnd"/>
      <w:r w:rsidRPr="0024262E">
        <w:rPr>
          <w:i/>
          <w:iCs/>
          <w:lang w:val="fr-FR"/>
        </w:rPr>
        <w:t>:</w:t>
      </w:r>
      <w:r w:rsidR="00A21BC1" w:rsidRPr="008713F0">
        <w:rPr>
          <w:lang w:val="fr-CH"/>
        </w:rPr>
        <w:t xml:space="preserve"> </w:t>
      </w:r>
      <w:r w:rsidR="00A21BC1" w:rsidRPr="00DC5498">
        <w:rPr>
          <w:lang w:val="fr-CH"/>
        </w:rPr>
        <w:tab/>
      </w:r>
      <w:r w:rsidR="00A21BC1" w:rsidRPr="00DC5498">
        <w:rPr>
          <w:lang w:val="fr-CH"/>
        </w:rPr>
        <w:tab/>
      </w:r>
      <w:r w:rsidRPr="0024262E">
        <w:rPr>
          <w:lang w:val="fr-FR"/>
        </w:rPr>
        <w:t>INF.12 (Bureau Veritas)</w:t>
      </w:r>
    </w:p>
    <w:p w14:paraId="3E0133D5" w14:textId="39F1B357" w:rsidR="00A21BC1" w:rsidRPr="0024262E" w:rsidRDefault="008026F8" w:rsidP="009D70DF">
      <w:pPr>
        <w:pStyle w:val="SingleTxtG"/>
        <w:rPr>
          <w:lang w:val="de-DE"/>
        </w:rPr>
      </w:pPr>
      <w:r w:rsidRPr="0024262E">
        <w:rPr>
          <w:lang w:val="de-DE"/>
        </w:rPr>
        <w:t>23</w:t>
      </w:r>
      <w:r w:rsidR="00A21BC1" w:rsidRPr="0024262E">
        <w:rPr>
          <w:lang w:val="de-DE"/>
        </w:rPr>
        <w:t>.</w:t>
      </w:r>
      <w:r w:rsidR="00A21BC1" w:rsidRPr="0024262E">
        <w:rPr>
          <w:lang w:val="de-DE"/>
        </w:rPr>
        <w:tab/>
      </w:r>
      <w:bookmarkStart w:id="24" w:name="_Hlk31716973"/>
      <w:r w:rsidR="008713F0" w:rsidRPr="002D6EC8">
        <w:rPr>
          <w:lang w:val="de-DE"/>
        </w:rPr>
        <w:t xml:space="preserve">Der Sicherheitsausschuss </w:t>
      </w:r>
      <w:r w:rsidR="002D6EC8" w:rsidRPr="002D6EC8">
        <w:rPr>
          <w:lang w:val="de-DE"/>
        </w:rPr>
        <w:t>befasste sich mit</w:t>
      </w:r>
      <w:r w:rsidR="008713F0" w:rsidRPr="002D6EC8">
        <w:rPr>
          <w:lang w:val="de-DE"/>
        </w:rPr>
        <w:t xml:space="preserve"> de</w:t>
      </w:r>
      <w:r w:rsidR="002D6EC8" w:rsidRPr="002D6EC8">
        <w:rPr>
          <w:lang w:val="de-DE"/>
        </w:rPr>
        <w:t>m</w:t>
      </w:r>
      <w:r w:rsidR="008713F0" w:rsidRPr="002D6EC8">
        <w:rPr>
          <w:lang w:val="de-DE"/>
        </w:rPr>
        <w:t xml:space="preserve"> Nachweis der </w:t>
      </w:r>
      <w:r w:rsidR="007D6A51" w:rsidRPr="002D6EC8">
        <w:rPr>
          <w:lang w:val="de-DE"/>
        </w:rPr>
        <w:t>Einhaltung</w:t>
      </w:r>
      <w:r w:rsidR="008713F0" w:rsidRPr="002D6EC8">
        <w:rPr>
          <w:lang w:val="de-DE"/>
        </w:rPr>
        <w:t xml:space="preserve"> </w:t>
      </w:r>
      <w:r w:rsidR="007D6A51" w:rsidRPr="002D6EC8">
        <w:rPr>
          <w:lang w:val="de-DE"/>
        </w:rPr>
        <w:t>der Norm</w:t>
      </w:r>
      <w:r w:rsidR="008713F0" w:rsidRPr="002D6EC8">
        <w:rPr>
          <w:lang w:val="de-DE"/>
        </w:rPr>
        <w:t xml:space="preserve"> </w:t>
      </w:r>
      <w:r w:rsidR="007D6A51" w:rsidRPr="002D6EC8">
        <w:rPr>
          <w:lang w:val="de-DE"/>
        </w:rPr>
        <w:t xml:space="preserve">ISO 17020 durch </w:t>
      </w:r>
      <w:r w:rsidR="008713F0" w:rsidRPr="002D6EC8">
        <w:rPr>
          <w:lang w:val="de-DE"/>
        </w:rPr>
        <w:t>Bureau Veritas.</w:t>
      </w:r>
      <w:r w:rsidR="00A21BC1" w:rsidRPr="0024262E">
        <w:rPr>
          <w:lang w:val="de-DE"/>
        </w:rPr>
        <w:t xml:space="preserve"> </w:t>
      </w:r>
      <w:r w:rsidR="000E0BAC" w:rsidRPr="009D70DF">
        <w:rPr>
          <w:lang w:val="de-DE"/>
        </w:rPr>
        <w:t xml:space="preserve">Die Vertreter Frankreichs und Deutschlands äußerten Bedenken </w:t>
      </w:r>
      <w:r w:rsidR="009D70DF" w:rsidRPr="009D70DF">
        <w:rPr>
          <w:lang w:val="de-DE"/>
        </w:rPr>
        <w:t>hinsichtlich</w:t>
      </w:r>
      <w:r w:rsidR="000E0BAC" w:rsidRPr="009D70DF">
        <w:rPr>
          <w:lang w:val="de-DE"/>
        </w:rPr>
        <w:t xml:space="preserve"> der </w:t>
      </w:r>
      <w:r w:rsidR="002D6EC8" w:rsidRPr="009D70DF">
        <w:rPr>
          <w:lang w:val="de-DE"/>
        </w:rPr>
        <w:t xml:space="preserve">auf Seeschiffe bezogenen </w:t>
      </w:r>
      <w:r w:rsidR="000E0BAC" w:rsidRPr="009D70DF">
        <w:rPr>
          <w:lang w:val="de-DE"/>
        </w:rPr>
        <w:t xml:space="preserve">Verweise und </w:t>
      </w:r>
      <w:r w:rsidR="00D35288" w:rsidRPr="009D70DF">
        <w:rPr>
          <w:lang w:val="de-DE"/>
        </w:rPr>
        <w:t>Audits</w:t>
      </w:r>
      <w:r w:rsidR="000E0BAC" w:rsidRPr="009D70DF">
        <w:rPr>
          <w:lang w:val="de-DE"/>
        </w:rPr>
        <w:t xml:space="preserve"> in der </w:t>
      </w:r>
      <w:r w:rsidR="000E0BAC" w:rsidRPr="00350A35">
        <w:rPr>
          <w:lang w:val="de-DE"/>
        </w:rPr>
        <w:t>Konformitätsbescheinigung</w:t>
      </w:r>
      <w:r w:rsidR="000E0BAC" w:rsidRPr="009D70DF">
        <w:rPr>
          <w:lang w:val="de-DE"/>
        </w:rPr>
        <w:t xml:space="preserve"> und </w:t>
      </w:r>
      <w:r w:rsidR="0085325E" w:rsidRPr="009D70DF">
        <w:rPr>
          <w:lang w:val="de-DE"/>
        </w:rPr>
        <w:t>sprachen sich</w:t>
      </w:r>
      <w:r w:rsidR="000E0BAC" w:rsidRPr="009D70DF">
        <w:rPr>
          <w:lang w:val="de-DE"/>
        </w:rPr>
        <w:t xml:space="preserve"> stattdessen </w:t>
      </w:r>
      <w:r w:rsidR="0085325E" w:rsidRPr="009D70DF">
        <w:rPr>
          <w:lang w:val="de-DE"/>
        </w:rPr>
        <w:t xml:space="preserve">für </w:t>
      </w:r>
      <w:r w:rsidR="000E0BAC" w:rsidRPr="009D70DF">
        <w:rPr>
          <w:lang w:val="de-DE"/>
        </w:rPr>
        <w:t xml:space="preserve">Verweise auf Binnenschiffe </w:t>
      </w:r>
      <w:r w:rsidR="0085325E" w:rsidRPr="009D70DF">
        <w:rPr>
          <w:lang w:val="de-DE"/>
        </w:rPr>
        <w:t>au</w:t>
      </w:r>
      <w:r w:rsidR="009D70DF">
        <w:rPr>
          <w:lang w:val="de-DE"/>
        </w:rPr>
        <w:t>s</w:t>
      </w:r>
      <w:r w:rsidR="000E0BAC" w:rsidRPr="009D70DF">
        <w:rPr>
          <w:lang w:val="de-DE"/>
        </w:rPr>
        <w:t>.</w:t>
      </w:r>
      <w:r w:rsidR="00424071" w:rsidRPr="0024262E">
        <w:rPr>
          <w:lang w:val="de-DE"/>
        </w:rPr>
        <w:t xml:space="preserve"> </w:t>
      </w:r>
      <w:r w:rsidR="00353DC4" w:rsidRPr="009D70DF">
        <w:rPr>
          <w:lang w:val="de-DE"/>
        </w:rPr>
        <w:t>Ferner</w:t>
      </w:r>
      <w:r w:rsidR="00953060" w:rsidRPr="009D70DF">
        <w:rPr>
          <w:lang w:val="de-DE"/>
        </w:rPr>
        <w:t xml:space="preserve"> enthielten die Zertifikate keinen ausdrücklichen Hinweis auf die Einhaltung der Anforderungen </w:t>
      </w:r>
      <w:r w:rsidR="00353DC4" w:rsidRPr="009D70DF">
        <w:rPr>
          <w:lang w:val="de-DE"/>
        </w:rPr>
        <w:t>der Norm</w:t>
      </w:r>
      <w:r w:rsidR="00953060" w:rsidRPr="009D70DF">
        <w:rPr>
          <w:lang w:val="de-DE"/>
        </w:rPr>
        <w:t xml:space="preserve"> ISO 17020.</w:t>
      </w:r>
      <w:r w:rsidR="00A21BC1" w:rsidRPr="0024262E">
        <w:rPr>
          <w:lang w:val="de-DE"/>
        </w:rPr>
        <w:t xml:space="preserve"> </w:t>
      </w:r>
      <w:bookmarkEnd w:id="24"/>
      <w:r w:rsidR="00353DC4" w:rsidRPr="009D70DF">
        <w:rPr>
          <w:lang w:val="de-DE"/>
        </w:rPr>
        <w:t>Des Weit</w:t>
      </w:r>
      <w:r w:rsidR="00895702" w:rsidRPr="009D70DF">
        <w:rPr>
          <w:lang w:val="de-DE"/>
        </w:rPr>
        <w:t>e</w:t>
      </w:r>
      <w:r w:rsidR="00353DC4" w:rsidRPr="009D70DF">
        <w:rPr>
          <w:lang w:val="de-DE"/>
        </w:rPr>
        <w:t xml:space="preserve">ren wurde festgestellt, dass die Änderung </w:t>
      </w:r>
      <w:r w:rsidR="00DA137F" w:rsidRPr="009D70DF">
        <w:rPr>
          <w:lang w:val="de-DE"/>
        </w:rPr>
        <w:t>der Gesellschaftsform</w:t>
      </w:r>
      <w:r w:rsidR="00353DC4" w:rsidRPr="009D70DF">
        <w:rPr>
          <w:lang w:val="de-DE"/>
        </w:rPr>
        <w:t xml:space="preserve"> </w:t>
      </w:r>
      <w:r w:rsidR="00DA137F" w:rsidRPr="009D70DF">
        <w:rPr>
          <w:lang w:val="de-DE"/>
        </w:rPr>
        <w:t xml:space="preserve">und des Hauptsitzes </w:t>
      </w:r>
      <w:r w:rsidR="00353DC4" w:rsidRPr="009D70DF">
        <w:rPr>
          <w:lang w:val="de-DE"/>
        </w:rPr>
        <w:t>von Bureau Veritas geklärt werden sollte.</w:t>
      </w:r>
      <w:r w:rsidR="00A21BC1" w:rsidRPr="0024262E">
        <w:rPr>
          <w:lang w:val="de-DE"/>
        </w:rPr>
        <w:t xml:space="preserve"> </w:t>
      </w:r>
    </w:p>
    <w:p w14:paraId="4F2E57E8" w14:textId="6848ACEA" w:rsidR="00A21BC1" w:rsidRPr="0024262E" w:rsidRDefault="008026F8" w:rsidP="009D70DF">
      <w:pPr>
        <w:pStyle w:val="SingleTxtG"/>
        <w:rPr>
          <w:lang w:val="de-DE"/>
        </w:rPr>
      </w:pPr>
      <w:r w:rsidRPr="0024262E">
        <w:rPr>
          <w:lang w:val="de-DE"/>
        </w:rPr>
        <w:t>24</w:t>
      </w:r>
      <w:r w:rsidR="00A21BC1" w:rsidRPr="0024262E">
        <w:rPr>
          <w:lang w:val="de-DE"/>
        </w:rPr>
        <w:t>.</w:t>
      </w:r>
      <w:r w:rsidR="00A21BC1" w:rsidRPr="0024262E">
        <w:rPr>
          <w:lang w:val="de-DE"/>
        </w:rPr>
        <w:tab/>
      </w:r>
      <w:r w:rsidR="00DA137F" w:rsidRPr="009D70DF">
        <w:rPr>
          <w:lang w:val="de-DE"/>
        </w:rPr>
        <w:t>Der Sicherheitsausschuss forderte die Empfohlenen Klassifikationsgesellschaften auf, zu untersuchen, wie die Informationen zur Einhaltung der Anforderungen in Zukunft dargestellt werden sollten, und mögliche Probleme mit den Anforderungen in Kapitel 1.15</w:t>
      </w:r>
      <w:r w:rsidR="00D6146A" w:rsidRPr="009D70DF">
        <w:rPr>
          <w:lang w:val="de-DE"/>
        </w:rPr>
        <w:t xml:space="preserve"> und</w:t>
      </w:r>
      <w:r w:rsidR="00DA137F" w:rsidRPr="009D70DF">
        <w:rPr>
          <w:lang w:val="de-DE"/>
        </w:rPr>
        <w:t xml:space="preserve"> insbesondere </w:t>
      </w:r>
      <w:r w:rsidR="008C5E52" w:rsidRPr="009D70DF">
        <w:rPr>
          <w:lang w:val="de-DE"/>
        </w:rPr>
        <w:t xml:space="preserve">Unterabschnitt </w:t>
      </w:r>
      <w:r w:rsidR="00DA137F" w:rsidRPr="009D70DF">
        <w:rPr>
          <w:lang w:val="de-DE"/>
        </w:rPr>
        <w:t>1.15.3.8 ADN zu identifizieren.</w:t>
      </w:r>
      <w:r w:rsidR="00A21BC1" w:rsidRPr="0024262E">
        <w:rPr>
          <w:lang w:val="de-DE"/>
        </w:rPr>
        <w:t xml:space="preserve"> </w:t>
      </w:r>
      <w:r w:rsidR="00CB0F77" w:rsidRPr="009D70DF">
        <w:rPr>
          <w:lang w:val="de-DE"/>
        </w:rPr>
        <w:t xml:space="preserve">Je nach </w:t>
      </w:r>
      <w:r w:rsidR="00427565" w:rsidRPr="009D70DF">
        <w:rPr>
          <w:lang w:val="de-DE"/>
        </w:rPr>
        <w:t>Ausgang</w:t>
      </w:r>
      <w:r w:rsidR="00CB0F77" w:rsidRPr="009D70DF">
        <w:rPr>
          <w:lang w:val="de-DE"/>
        </w:rPr>
        <w:t xml:space="preserve"> der Diskussion </w:t>
      </w:r>
      <w:r w:rsidR="009D70DF" w:rsidRPr="009D70DF">
        <w:rPr>
          <w:lang w:val="de-DE"/>
        </w:rPr>
        <w:t>in</w:t>
      </w:r>
      <w:r w:rsidR="00CB0F77" w:rsidRPr="009D70DF">
        <w:rPr>
          <w:lang w:val="de-DE"/>
        </w:rPr>
        <w:t xml:space="preserve"> seiner nächsten Sitzung könnte der Sicherheitsausschuss </w:t>
      </w:r>
      <w:r w:rsidR="0079196E" w:rsidRPr="009D70DF">
        <w:rPr>
          <w:lang w:val="de-DE"/>
        </w:rPr>
        <w:t xml:space="preserve">prüfen, ob </w:t>
      </w:r>
      <w:r w:rsidR="00CB0F77" w:rsidRPr="009D70DF">
        <w:rPr>
          <w:lang w:val="de-DE"/>
        </w:rPr>
        <w:t xml:space="preserve">eine informelle Arbeitsgruppe </w:t>
      </w:r>
      <w:r w:rsidR="0079196E" w:rsidRPr="009D70DF">
        <w:rPr>
          <w:lang w:val="de-DE"/>
        </w:rPr>
        <w:t>ein</w:t>
      </w:r>
      <w:r w:rsidR="003C0884" w:rsidRPr="009D70DF">
        <w:rPr>
          <w:lang w:val="de-DE"/>
        </w:rPr>
        <w:t>ge</w:t>
      </w:r>
      <w:r w:rsidR="0079196E" w:rsidRPr="009D70DF">
        <w:rPr>
          <w:lang w:val="de-DE"/>
        </w:rPr>
        <w:t>setz</w:t>
      </w:r>
      <w:r w:rsidR="003C0884" w:rsidRPr="009D70DF">
        <w:rPr>
          <w:lang w:val="de-DE"/>
        </w:rPr>
        <w:t>t werd</w:t>
      </w:r>
      <w:r w:rsidR="0079196E" w:rsidRPr="009D70DF">
        <w:rPr>
          <w:lang w:val="de-DE"/>
        </w:rPr>
        <w:t>en</w:t>
      </w:r>
      <w:r w:rsidR="003C0884" w:rsidRPr="009D70DF">
        <w:rPr>
          <w:lang w:val="de-DE"/>
        </w:rPr>
        <w:t xml:space="preserve"> sollte</w:t>
      </w:r>
      <w:r w:rsidR="00CB0F77" w:rsidRPr="009D70DF">
        <w:rPr>
          <w:lang w:val="de-DE"/>
        </w:rPr>
        <w:t xml:space="preserve">, um die </w:t>
      </w:r>
      <w:r w:rsidR="00AF18D9" w:rsidRPr="009D70DF">
        <w:rPr>
          <w:lang w:val="de-DE"/>
        </w:rPr>
        <w:t>Beratungen</w:t>
      </w:r>
      <w:r w:rsidR="00CB0F77" w:rsidRPr="009D70DF">
        <w:rPr>
          <w:lang w:val="de-DE"/>
        </w:rPr>
        <w:t xml:space="preserve"> </w:t>
      </w:r>
      <w:r w:rsidR="00AF18D9" w:rsidRPr="009D70DF">
        <w:rPr>
          <w:lang w:val="de-DE"/>
        </w:rPr>
        <w:t>zu</w:t>
      </w:r>
      <w:r w:rsidR="00CB0F77" w:rsidRPr="009D70DF">
        <w:rPr>
          <w:lang w:val="de-DE"/>
        </w:rPr>
        <w:t xml:space="preserve"> d</w:t>
      </w:r>
      <w:r w:rsidR="00AF18D9" w:rsidRPr="009D70DF">
        <w:rPr>
          <w:lang w:val="de-DE"/>
        </w:rPr>
        <w:t>iesem</w:t>
      </w:r>
      <w:r w:rsidR="00CB0F77" w:rsidRPr="009D70DF">
        <w:rPr>
          <w:lang w:val="de-DE"/>
        </w:rPr>
        <w:t xml:space="preserve"> Thema fortzusetzen und mögliche </w:t>
      </w:r>
      <w:r w:rsidR="009D70DF" w:rsidRPr="009D70DF">
        <w:rPr>
          <w:lang w:val="de-DE"/>
        </w:rPr>
        <w:t>Vorgehensweisen</w:t>
      </w:r>
      <w:r w:rsidR="00CB0F77" w:rsidRPr="009D70DF">
        <w:rPr>
          <w:lang w:val="de-DE"/>
        </w:rPr>
        <w:t xml:space="preserve"> vorzuschlagen.</w:t>
      </w:r>
      <w:r w:rsidR="00A21BC1" w:rsidRPr="0024262E">
        <w:rPr>
          <w:lang w:val="de-DE"/>
        </w:rPr>
        <w:t xml:space="preserve"> </w:t>
      </w:r>
    </w:p>
    <w:p w14:paraId="3FEF3DD7" w14:textId="0EB5CEEE" w:rsidR="00A21BC1" w:rsidRPr="0024262E" w:rsidRDefault="008026F8" w:rsidP="00AB0F8A">
      <w:pPr>
        <w:pStyle w:val="SingleTxtG"/>
        <w:rPr>
          <w:lang w:val="de-DE"/>
        </w:rPr>
      </w:pPr>
      <w:r w:rsidRPr="0024262E">
        <w:rPr>
          <w:lang w:val="de-DE"/>
        </w:rPr>
        <w:t>25</w:t>
      </w:r>
      <w:r w:rsidR="00A21BC1" w:rsidRPr="0024262E">
        <w:rPr>
          <w:lang w:val="de-DE"/>
        </w:rPr>
        <w:t>.</w:t>
      </w:r>
      <w:r w:rsidR="00A21BC1" w:rsidRPr="0024262E">
        <w:rPr>
          <w:lang w:val="de-DE"/>
        </w:rPr>
        <w:tab/>
      </w:r>
      <w:r w:rsidR="00642281" w:rsidRPr="00AB0F8A">
        <w:rPr>
          <w:lang w:val="de-DE"/>
        </w:rPr>
        <w:t xml:space="preserve">Deutschland lud alle Empfohlenen ADN-Klassifikationsgesellschaften ein, an der bevorstehenden Sitzung im März 2020 teilzunehmen, um </w:t>
      </w:r>
      <w:r w:rsidR="00FC238A" w:rsidRPr="00AB0F8A">
        <w:rPr>
          <w:lang w:val="de-DE"/>
        </w:rPr>
        <w:t>Fragen</w:t>
      </w:r>
      <w:r w:rsidR="00642281" w:rsidRPr="00AB0F8A">
        <w:rPr>
          <w:lang w:val="de-DE"/>
        </w:rPr>
        <w:t xml:space="preserve"> der Ausstellung von Konformitätsbescheinigungen zu </w:t>
      </w:r>
      <w:r w:rsidR="0041148A" w:rsidRPr="00AB0F8A">
        <w:rPr>
          <w:lang w:val="de-DE"/>
        </w:rPr>
        <w:t>erörtern</w:t>
      </w:r>
      <w:r w:rsidR="00642281" w:rsidRPr="00AB0F8A">
        <w:rPr>
          <w:lang w:val="de-DE"/>
        </w:rPr>
        <w:t xml:space="preserve"> und die Probleme </w:t>
      </w:r>
      <w:r w:rsidR="0041148A" w:rsidRPr="00AB0F8A">
        <w:rPr>
          <w:lang w:val="de-DE"/>
        </w:rPr>
        <w:t xml:space="preserve">bei </w:t>
      </w:r>
      <w:r w:rsidR="00642281" w:rsidRPr="00AB0F8A">
        <w:rPr>
          <w:lang w:val="de-DE"/>
        </w:rPr>
        <w:t>der Einhaltung der ADN-</w:t>
      </w:r>
      <w:r w:rsidR="0041148A" w:rsidRPr="00AB0F8A">
        <w:rPr>
          <w:lang w:val="de-DE"/>
        </w:rPr>
        <w:t>Vorschriften</w:t>
      </w:r>
      <w:r w:rsidR="00642281" w:rsidRPr="00AB0F8A">
        <w:rPr>
          <w:lang w:val="de-DE"/>
        </w:rPr>
        <w:t xml:space="preserve"> besser zu verstehen.</w:t>
      </w:r>
    </w:p>
    <w:p w14:paraId="57D01888" w14:textId="10ED309A" w:rsidR="00A21BC1" w:rsidRPr="0024262E" w:rsidRDefault="008026F8" w:rsidP="00AB0F8A">
      <w:pPr>
        <w:pStyle w:val="SingleTxtG"/>
        <w:rPr>
          <w:lang w:val="de-DE"/>
        </w:rPr>
      </w:pPr>
      <w:r w:rsidRPr="0024262E">
        <w:rPr>
          <w:lang w:val="de-DE"/>
        </w:rPr>
        <w:t>26</w:t>
      </w:r>
      <w:r w:rsidR="00A21BC1" w:rsidRPr="0024262E">
        <w:rPr>
          <w:lang w:val="de-DE"/>
        </w:rPr>
        <w:t>.</w:t>
      </w:r>
      <w:r w:rsidR="00A21BC1" w:rsidRPr="0024262E">
        <w:rPr>
          <w:lang w:val="de-DE"/>
        </w:rPr>
        <w:tab/>
      </w:r>
      <w:r w:rsidR="0041148A" w:rsidRPr="00AB0F8A">
        <w:rPr>
          <w:lang w:val="de-DE"/>
        </w:rPr>
        <w:t xml:space="preserve">Die Arbeit der Empfohlenen ADN-Klassifikationsgesellschaften sei sehr wichtig für die Aktivitäten des Sicherheitsausschusses und die Entwicklung von Sicherheitsbestimmungen </w:t>
      </w:r>
      <w:r w:rsidR="00AB0F8A">
        <w:rPr>
          <w:lang w:val="de-DE"/>
        </w:rPr>
        <w:t>für das</w:t>
      </w:r>
      <w:r w:rsidR="0041148A" w:rsidRPr="00AB0F8A">
        <w:rPr>
          <w:lang w:val="de-DE"/>
        </w:rPr>
        <w:t xml:space="preserve"> ADN.</w:t>
      </w:r>
    </w:p>
    <w:p w14:paraId="3C0CD393" w14:textId="4DFEA3FC" w:rsidR="00624F9D" w:rsidRPr="0024262E" w:rsidRDefault="00624F9D" w:rsidP="00CF5448">
      <w:pPr>
        <w:pStyle w:val="H23G"/>
        <w:rPr>
          <w:lang w:val="de-DE"/>
        </w:rPr>
      </w:pPr>
      <w:r w:rsidRPr="0024262E">
        <w:rPr>
          <w:lang w:val="de-DE"/>
        </w:rPr>
        <w:tab/>
      </w:r>
      <w:bookmarkStart w:id="25" w:name="_Toc32481647"/>
      <w:r w:rsidR="00C74667" w:rsidRPr="0024262E">
        <w:rPr>
          <w:lang w:val="de-DE"/>
        </w:rPr>
        <w:t>4</w:t>
      </w:r>
      <w:r w:rsidRPr="0024262E">
        <w:rPr>
          <w:lang w:val="de-DE"/>
        </w:rPr>
        <w:t>.</w:t>
      </w:r>
      <w:r w:rsidRPr="0024262E">
        <w:rPr>
          <w:lang w:val="de-DE"/>
        </w:rPr>
        <w:tab/>
      </w:r>
      <w:bookmarkEnd w:id="25"/>
      <w:r w:rsidR="00CF5448" w:rsidRPr="00CF5448">
        <w:rPr>
          <w:lang w:val="de-DE"/>
        </w:rPr>
        <w:t>Aktueller Stand der Zulassung von Ladungsrechnern</w:t>
      </w:r>
    </w:p>
    <w:p w14:paraId="531D7C41" w14:textId="5D22F11D" w:rsidR="00624F9D" w:rsidRPr="0024262E" w:rsidRDefault="00CF5448" w:rsidP="00CF5448">
      <w:pPr>
        <w:spacing w:after="120"/>
        <w:ind w:left="3402" w:right="1134" w:hanging="2268"/>
        <w:rPr>
          <w:lang w:val="de-DE"/>
        </w:rPr>
      </w:pPr>
      <w:r w:rsidRPr="00CF5448">
        <w:rPr>
          <w:i/>
          <w:iCs/>
          <w:lang w:val="de-DE"/>
        </w:rPr>
        <w:t>Informelles Dokument:</w:t>
      </w:r>
      <w:r w:rsidR="00624F9D" w:rsidRPr="0024262E">
        <w:rPr>
          <w:lang w:val="de-DE"/>
        </w:rPr>
        <w:t xml:space="preserve"> </w:t>
      </w:r>
      <w:r w:rsidR="00624F9D" w:rsidRPr="0024262E">
        <w:rPr>
          <w:lang w:val="de-DE"/>
        </w:rPr>
        <w:tab/>
      </w:r>
      <w:r w:rsidRPr="00CF5448">
        <w:rPr>
          <w:lang w:val="de-DE"/>
        </w:rPr>
        <w:t>INF.20 (Empfohlene ADN-Klassifikationsgesellschaften)</w:t>
      </w:r>
    </w:p>
    <w:p w14:paraId="701F4DE0" w14:textId="1D4D9506" w:rsidR="00624F9D" w:rsidRPr="0024262E" w:rsidRDefault="008026F8" w:rsidP="00AB0F8A">
      <w:pPr>
        <w:pStyle w:val="SingleTxtG"/>
        <w:rPr>
          <w:lang w:val="de-DE"/>
        </w:rPr>
      </w:pPr>
      <w:r w:rsidRPr="0024262E">
        <w:rPr>
          <w:lang w:val="de-DE"/>
        </w:rPr>
        <w:t>27</w:t>
      </w:r>
      <w:r w:rsidR="00624F9D" w:rsidRPr="0024262E">
        <w:rPr>
          <w:lang w:val="de-DE"/>
        </w:rPr>
        <w:t>.</w:t>
      </w:r>
      <w:r w:rsidR="00624F9D" w:rsidRPr="0024262E">
        <w:rPr>
          <w:lang w:val="de-DE"/>
        </w:rPr>
        <w:tab/>
      </w:r>
      <w:r w:rsidR="00CF5448" w:rsidRPr="00AB0F8A">
        <w:rPr>
          <w:lang w:val="de-DE"/>
        </w:rPr>
        <w:t>Der Sicherheitsausschuss begrüßte die Informationen über den aktuellen Stand der Zulassung von Ladungsrechnern an Bord von Tankschiffen.</w:t>
      </w:r>
      <w:r w:rsidR="00624F9D" w:rsidRPr="0024262E">
        <w:rPr>
          <w:lang w:val="de-DE"/>
        </w:rPr>
        <w:t xml:space="preserve"> </w:t>
      </w:r>
      <w:r w:rsidR="003C6220" w:rsidRPr="00AB0F8A">
        <w:rPr>
          <w:lang w:val="de-DE"/>
        </w:rPr>
        <w:t>Es wurde erneut bestätigt, dass bei klar definierten Lastfällen ein genehmigtes Stabilitäts</w:t>
      </w:r>
      <w:r w:rsidR="00A316B9" w:rsidRPr="00AB0F8A">
        <w:rPr>
          <w:lang w:val="de-DE"/>
        </w:rPr>
        <w:t>hand</w:t>
      </w:r>
      <w:r w:rsidR="003C6220" w:rsidRPr="00AB0F8A">
        <w:rPr>
          <w:lang w:val="de-DE"/>
        </w:rPr>
        <w:t>buch ausreicht, der Sicherheitsausschuss unterstrich</w:t>
      </w:r>
      <w:r w:rsidR="00CE07EF" w:rsidRPr="00AB0F8A">
        <w:rPr>
          <w:lang w:val="de-DE"/>
        </w:rPr>
        <w:t xml:space="preserve"> jedoch</w:t>
      </w:r>
      <w:r w:rsidR="003C6220" w:rsidRPr="00AB0F8A">
        <w:rPr>
          <w:lang w:val="de-DE"/>
        </w:rPr>
        <w:t>, dass die Ausrüstung von Schiffen mit einem Lad</w:t>
      </w:r>
      <w:r w:rsidR="00A316B9" w:rsidRPr="00AB0F8A">
        <w:rPr>
          <w:lang w:val="de-DE"/>
        </w:rPr>
        <w:t>ungsrechner</w:t>
      </w:r>
      <w:r w:rsidR="003C6220" w:rsidRPr="00AB0F8A">
        <w:rPr>
          <w:lang w:val="de-DE"/>
        </w:rPr>
        <w:t xml:space="preserve"> sehr nützlich ist und daher dringend empfohlen wird.</w:t>
      </w:r>
    </w:p>
    <w:p w14:paraId="1F515B57" w14:textId="48EC5A99" w:rsidR="008D79D0" w:rsidRPr="0024262E" w:rsidRDefault="008D79D0" w:rsidP="00CE07EF">
      <w:pPr>
        <w:pStyle w:val="H23G"/>
        <w:rPr>
          <w:lang w:val="de-DE"/>
        </w:rPr>
      </w:pPr>
      <w:r w:rsidRPr="0024262E">
        <w:rPr>
          <w:lang w:val="de-DE"/>
        </w:rPr>
        <w:lastRenderedPageBreak/>
        <w:tab/>
      </w:r>
      <w:bookmarkStart w:id="26" w:name="_Toc32481648"/>
      <w:r w:rsidRPr="0024262E">
        <w:rPr>
          <w:lang w:val="de-DE"/>
        </w:rPr>
        <w:t>5.</w:t>
      </w:r>
      <w:r w:rsidRPr="0024262E">
        <w:rPr>
          <w:lang w:val="de-DE"/>
        </w:rPr>
        <w:tab/>
      </w:r>
      <w:bookmarkEnd w:id="26"/>
      <w:r w:rsidR="00CE07EF" w:rsidRPr="00CE07EF">
        <w:rPr>
          <w:lang w:val="de-DE"/>
        </w:rPr>
        <w:t>Über die Zoneneinteilung – Zone 1</w:t>
      </w:r>
    </w:p>
    <w:p w14:paraId="0F29CC4F" w14:textId="4AB4C229" w:rsidR="008D79D0" w:rsidRPr="0024262E" w:rsidRDefault="00CE07EF" w:rsidP="00CE07EF">
      <w:pPr>
        <w:pStyle w:val="SingleTxtG"/>
        <w:keepNext/>
        <w:keepLines/>
        <w:ind w:left="3402" w:hanging="2268"/>
        <w:jc w:val="left"/>
        <w:rPr>
          <w:lang w:val="de-DE"/>
        </w:rPr>
      </w:pPr>
      <w:r w:rsidRPr="00CE07EF">
        <w:rPr>
          <w:i/>
          <w:iCs/>
          <w:lang w:val="de-DE"/>
        </w:rPr>
        <w:t>Dokument:</w:t>
      </w:r>
      <w:r w:rsidR="008D79D0" w:rsidRPr="0024262E">
        <w:rPr>
          <w:lang w:val="de-DE"/>
        </w:rPr>
        <w:t xml:space="preserve"> </w:t>
      </w:r>
      <w:r w:rsidR="008D79D0" w:rsidRPr="0024262E">
        <w:rPr>
          <w:lang w:val="de-DE"/>
        </w:rPr>
        <w:tab/>
      </w:r>
      <w:r w:rsidR="008D79D0" w:rsidRPr="0024262E">
        <w:rPr>
          <w:lang w:val="de-DE"/>
        </w:rPr>
        <w:tab/>
      </w:r>
      <w:r w:rsidRPr="00CE07EF">
        <w:rPr>
          <w:lang w:val="de-DE"/>
        </w:rPr>
        <w:t>ECE/TRANS/WP.15/AC.2/2020/18 (Empfohlene ADN-Klassifikationsgesellschaften)</w:t>
      </w:r>
    </w:p>
    <w:p w14:paraId="65A06E60" w14:textId="59AFC896" w:rsidR="008D79D0" w:rsidRPr="0024262E" w:rsidRDefault="008026F8" w:rsidP="004001FF">
      <w:pPr>
        <w:pStyle w:val="SingleTxtG"/>
        <w:rPr>
          <w:lang w:val="de-DE"/>
        </w:rPr>
      </w:pPr>
      <w:r w:rsidRPr="0024262E">
        <w:rPr>
          <w:lang w:val="de-DE"/>
        </w:rPr>
        <w:t>28</w:t>
      </w:r>
      <w:r w:rsidR="008D79D0" w:rsidRPr="0024262E">
        <w:rPr>
          <w:lang w:val="de-DE"/>
        </w:rPr>
        <w:t>.</w:t>
      </w:r>
      <w:r w:rsidR="008D79D0" w:rsidRPr="0024262E">
        <w:rPr>
          <w:lang w:val="de-DE"/>
        </w:rPr>
        <w:tab/>
      </w:r>
      <w:r w:rsidR="00CE07EF" w:rsidRPr="004001FF">
        <w:rPr>
          <w:lang w:val="de-DE"/>
        </w:rPr>
        <w:t>Der Sicherheitsausschuss nahm de</w:t>
      </w:r>
      <w:r w:rsidR="0089620A" w:rsidRPr="004001FF">
        <w:rPr>
          <w:lang w:val="de-DE"/>
        </w:rPr>
        <w:t>n</w:t>
      </w:r>
      <w:r w:rsidR="00CE07EF" w:rsidRPr="004001FF">
        <w:rPr>
          <w:lang w:val="de-DE"/>
        </w:rPr>
        <w:t xml:space="preserve"> Änderungsvorschl</w:t>
      </w:r>
      <w:r w:rsidR="0089620A" w:rsidRPr="004001FF">
        <w:rPr>
          <w:lang w:val="de-DE"/>
        </w:rPr>
        <w:t>a</w:t>
      </w:r>
      <w:r w:rsidR="00CE07EF" w:rsidRPr="004001FF">
        <w:rPr>
          <w:lang w:val="de-DE"/>
        </w:rPr>
        <w:t>g zur Begriffsbestimmung</w:t>
      </w:r>
      <w:r w:rsidR="007B6337" w:rsidRPr="004001FF">
        <w:rPr>
          <w:lang w:val="de-DE"/>
        </w:rPr>
        <w:t xml:space="preserve"> für „Zoneneinteilung“ </w:t>
      </w:r>
      <w:r w:rsidR="00CE07EF" w:rsidRPr="004001FF">
        <w:rPr>
          <w:lang w:val="de-DE"/>
        </w:rPr>
        <w:t>in Abschnitt 1.2.1 mit einigen Änderungen an (siehe Anlage I).</w:t>
      </w:r>
    </w:p>
    <w:p w14:paraId="4B5B2B72" w14:textId="791BECAB" w:rsidR="006C4782" w:rsidRPr="0024262E" w:rsidRDefault="006C4782" w:rsidP="004001FF">
      <w:pPr>
        <w:pStyle w:val="HChG"/>
        <w:rPr>
          <w:lang w:val="de-DE"/>
        </w:rPr>
      </w:pPr>
      <w:r w:rsidRPr="0024262E">
        <w:rPr>
          <w:lang w:val="de-DE"/>
        </w:rPr>
        <w:tab/>
      </w:r>
      <w:bookmarkStart w:id="27" w:name="_Toc505688425"/>
      <w:bookmarkStart w:id="28" w:name="_Toc32481649"/>
      <w:r w:rsidR="004001FF" w:rsidRPr="004001FF">
        <w:rPr>
          <w:lang w:val="de-DE"/>
        </w:rPr>
        <w:t>VI.</w:t>
      </w:r>
      <w:r w:rsidRPr="0024262E">
        <w:rPr>
          <w:lang w:val="de-DE"/>
        </w:rPr>
        <w:tab/>
      </w:r>
      <w:bookmarkEnd w:id="27"/>
      <w:bookmarkEnd w:id="28"/>
      <w:r w:rsidR="004001FF" w:rsidRPr="004001FF">
        <w:rPr>
          <w:lang w:val="de-DE"/>
        </w:rPr>
        <w:t>Vorschläge für Änderungen der dem ADN beigefügten Verordnung (TOP 5)</w:t>
      </w:r>
    </w:p>
    <w:p w14:paraId="2E99DEBC" w14:textId="6DA9F625" w:rsidR="00624F9D" w:rsidRPr="0024262E" w:rsidRDefault="00624F9D" w:rsidP="004001FF">
      <w:pPr>
        <w:pStyle w:val="H1G"/>
        <w:rPr>
          <w:lang w:val="de-DE"/>
        </w:rPr>
      </w:pPr>
      <w:r w:rsidRPr="0024262E">
        <w:rPr>
          <w:lang w:val="de-DE"/>
        </w:rPr>
        <w:tab/>
      </w:r>
      <w:bookmarkStart w:id="29" w:name="_Toc505688426"/>
      <w:bookmarkStart w:id="30" w:name="_Toc32481650"/>
      <w:r w:rsidR="004001FF" w:rsidRPr="004001FF">
        <w:rPr>
          <w:lang w:val="de-DE"/>
        </w:rPr>
        <w:t>A.</w:t>
      </w:r>
      <w:r w:rsidRPr="0024262E">
        <w:rPr>
          <w:lang w:val="de-DE"/>
        </w:rPr>
        <w:tab/>
      </w:r>
      <w:bookmarkEnd w:id="29"/>
      <w:bookmarkEnd w:id="30"/>
      <w:r w:rsidR="004001FF" w:rsidRPr="004001FF">
        <w:rPr>
          <w:lang w:val="de-DE"/>
        </w:rPr>
        <w:t>Arbeiten der Gemeinsamen RID/ADR/ADN-Tagung</w:t>
      </w:r>
    </w:p>
    <w:p w14:paraId="6002A65D" w14:textId="4BD70300" w:rsidR="00624F9D" w:rsidRPr="0024262E" w:rsidRDefault="004001FF" w:rsidP="004001FF">
      <w:pPr>
        <w:pStyle w:val="SingleTxtG"/>
        <w:keepNext/>
        <w:rPr>
          <w:lang w:val="de-DE"/>
        </w:rPr>
      </w:pPr>
      <w:r w:rsidRPr="004001FF">
        <w:rPr>
          <w:i/>
          <w:iCs/>
          <w:lang w:val="de-DE"/>
        </w:rPr>
        <w:t>Dokument:</w:t>
      </w:r>
      <w:r w:rsidR="00624F9D" w:rsidRPr="0024262E">
        <w:rPr>
          <w:lang w:val="de-DE"/>
        </w:rPr>
        <w:t xml:space="preserve"> </w:t>
      </w:r>
      <w:r w:rsidR="00624F9D" w:rsidRPr="0024262E">
        <w:rPr>
          <w:lang w:val="de-DE"/>
        </w:rPr>
        <w:tab/>
      </w:r>
      <w:r w:rsidR="00624F9D" w:rsidRPr="0024262E">
        <w:rPr>
          <w:lang w:val="de-DE"/>
        </w:rPr>
        <w:tab/>
      </w:r>
      <w:r w:rsidR="00624F9D" w:rsidRPr="0024262E">
        <w:rPr>
          <w:lang w:val="de-DE"/>
        </w:rPr>
        <w:tab/>
      </w:r>
      <w:r w:rsidRPr="004001FF">
        <w:rPr>
          <w:lang w:val="de-DE"/>
        </w:rPr>
        <w:t>ECE/TRANS/WP.15/AC.2/2020/23 (Sekretariat)</w:t>
      </w:r>
    </w:p>
    <w:p w14:paraId="60B53658" w14:textId="053BA685" w:rsidR="00624F9D" w:rsidRPr="0024262E" w:rsidRDefault="004001FF" w:rsidP="00624F9D">
      <w:pPr>
        <w:keepNext/>
        <w:ind w:left="567" w:firstLine="567"/>
        <w:rPr>
          <w:lang w:val="de-DE"/>
        </w:rPr>
      </w:pPr>
      <w:r w:rsidRPr="004001FF">
        <w:rPr>
          <w:i/>
          <w:iCs/>
          <w:lang w:val="de-DE"/>
        </w:rPr>
        <w:t>Informelle Dokumente:</w:t>
      </w:r>
      <w:r w:rsidR="00624F9D" w:rsidRPr="0024262E">
        <w:rPr>
          <w:lang w:val="de-DE"/>
        </w:rPr>
        <w:tab/>
      </w:r>
      <w:r w:rsidRPr="004001FF">
        <w:rPr>
          <w:lang w:val="de-DE"/>
        </w:rPr>
        <w:t>INF.7 und INF.8 (Sekretariat)</w:t>
      </w:r>
    </w:p>
    <w:p w14:paraId="22F2B1C6" w14:textId="5C660285" w:rsidR="00624F9D" w:rsidRPr="0024262E" w:rsidRDefault="00624F9D" w:rsidP="004001FF">
      <w:pPr>
        <w:keepNext/>
        <w:spacing w:after="120"/>
        <w:ind w:left="567" w:firstLine="567"/>
        <w:rPr>
          <w:lang w:val="de-DE"/>
        </w:rPr>
      </w:pPr>
      <w:r w:rsidRPr="0024262E">
        <w:rPr>
          <w:lang w:val="de-DE"/>
        </w:rPr>
        <w:tab/>
      </w:r>
      <w:r w:rsidRPr="0024262E">
        <w:rPr>
          <w:lang w:val="de-DE"/>
        </w:rPr>
        <w:tab/>
      </w:r>
      <w:r w:rsidRPr="0024262E">
        <w:rPr>
          <w:lang w:val="de-DE"/>
        </w:rPr>
        <w:tab/>
      </w:r>
      <w:r w:rsidRPr="0024262E">
        <w:rPr>
          <w:lang w:val="de-DE"/>
        </w:rPr>
        <w:tab/>
      </w:r>
      <w:r w:rsidR="004001FF" w:rsidRPr="004001FF">
        <w:rPr>
          <w:lang w:val="de-DE"/>
        </w:rPr>
        <w:t>INF.13 (Deutschland)</w:t>
      </w:r>
    </w:p>
    <w:p w14:paraId="539AD0AB" w14:textId="13CA5FE1" w:rsidR="00624F9D" w:rsidRPr="0024262E" w:rsidRDefault="008026F8" w:rsidP="00AB0F8A">
      <w:pPr>
        <w:pStyle w:val="SingleTxtG"/>
        <w:keepNext/>
        <w:rPr>
          <w:lang w:val="de-DE"/>
        </w:rPr>
      </w:pPr>
      <w:r w:rsidRPr="0024262E">
        <w:rPr>
          <w:lang w:val="de-DE"/>
        </w:rPr>
        <w:t>29</w:t>
      </w:r>
      <w:r w:rsidR="00624F9D" w:rsidRPr="0024262E">
        <w:rPr>
          <w:lang w:val="de-DE"/>
        </w:rPr>
        <w:t>.</w:t>
      </w:r>
      <w:r w:rsidR="00624F9D" w:rsidRPr="0024262E">
        <w:rPr>
          <w:lang w:val="de-DE"/>
        </w:rPr>
        <w:tab/>
      </w:r>
      <w:r w:rsidR="006C5308" w:rsidRPr="00AB0F8A">
        <w:rPr>
          <w:lang w:val="de-DE"/>
        </w:rPr>
        <w:t xml:space="preserve">Der Sicherheitsausschuss nahm die konsolidierte Liste der das ADN </w:t>
      </w:r>
      <w:r w:rsidR="000E7A00" w:rsidRPr="00AB0F8A">
        <w:rPr>
          <w:lang w:val="de-DE"/>
        </w:rPr>
        <w:t>betreffenden</w:t>
      </w:r>
      <w:r w:rsidR="006C5308" w:rsidRPr="00AB0F8A">
        <w:rPr>
          <w:lang w:val="de-DE"/>
        </w:rPr>
        <w:t xml:space="preserve"> Änderungen, die von der Gemeinsamen RID/ADR/ADN-Tagung 2018-2019 und von der Arbeitsgruppe </w:t>
      </w:r>
      <w:r w:rsidR="000E7A00" w:rsidRPr="00AB0F8A">
        <w:rPr>
          <w:lang w:val="de-DE"/>
        </w:rPr>
        <w:t>„</w:t>
      </w:r>
      <w:r w:rsidR="006C5308" w:rsidRPr="00AB0F8A">
        <w:rPr>
          <w:lang w:val="de-DE"/>
        </w:rPr>
        <w:t>Beförderung gefährlicher Güter</w:t>
      </w:r>
      <w:r w:rsidR="000E7A00" w:rsidRPr="00AB0F8A">
        <w:rPr>
          <w:lang w:val="de-DE"/>
        </w:rPr>
        <w:t>“</w:t>
      </w:r>
      <w:r w:rsidR="006C5308" w:rsidRPr="00AB0F8A">
        <w:rPr>
          <w:lang w:val="de-DE"/>
        </w:rPr>
        <w:t xml:space="preserve"> (WP.15) zur Inkraftsetzung </w:t>
      </w:r>
      <w:r w:rsidR="000E7A00" w:rsidRPr="00AB0F8A">
        <w:rPr>
          <w:lang w:val="de-DE"/>
        </w:rPr>
        <w:t xml:space="preserve">am 1. Januar 2021 angenommen wurden, mit einigen Korrekturen an </w:t>
      </w:r>
      <w:r w:rsidR="006C5308" w:rsidRPr="00AB0F8A">
        <w:rPr>
          <w:lang w:val="de-DE"/>
        </w:rPr>
        <w:t>(siehe Anlage I).</w:t>
      </w:r>
    </w:p>
    <w:p w14:paraId="754424DB" w14:textId="6B4293FA" w:rsidR="00624F9D" w:rsidRPr="0024262E" w:rsidRDefault="008026F8" w:rsidP="00362C3C">
      <w:pPr>
        <w:pStyle w:val="SingleTxtG"/>
        <w:rPr>
          <w:lang w:val="de-DE"/>
        </w:rPr>
      </w:pPr>
      <w:r w:rsidRPr="0024262E">
        <w:rPr>
          <w:lang w:val="de-DE"/>
        </w:rPr>
        <w:t>30</w:t>
      </w:r>
      <w:r w:rsidR="00624F9D" w:rsidRPr="0024262E">
        <w:rPr>
          <w:lang w:val="de-DE"/>
        </w:rPr>
        <w:t>.</w:t>
      </w:r>
      <w:r w:rsidR="00624F9D" w:rsidRPr="0024262E">
        <w:rPr>
          <w:lang w:val="de-DE"/>
        </w:rPr>
        <w:tab/>
      </w:r>
      <w:r w:rsidR="00747D52" w:rsidRPr="00362C3C">
        <w:rPr>
          <w:lang w:val="de-DE"/>
        </w:rPr>
        <w:t xml:space="preserve">Der Sicherheitsausschuss genehmigte auch die </w:t>
      </w:r>
      <w:r w:rsidR="00335309" w:rsidRPr="00362C3C">
        <w:rPr>
          <w:lang w:val="de-DE"/>
        </w:rPr>
        <w:t xml:space="preserve">vom UN-Unterausschuss der Sachverständigen für die Beförderung gefährlicher Güter und von der WP.15 auf ihrer Sitzung im November 2019 vorgeschlagenen Korrekturen mit Bedeutung für </w:t>
      </w:r>
      <w:r w:rsidR="00747D52" w:rsidRPr="00362C3C">
        <w:rPr>
          <w:lang w:val="de-DE"/>
        </w:rPr>
        <w:t>das ADN</w:t>
      </w:r>
      <w:r w:rsidR="00335309" w:rsidRPr="00362C3C">
        <w:rPr>
          <w:lang w:val="de-DE"/>
        </w:rPr>
        <w:t xml:space="preserve"> gemäß</w:t>
      </w:r>
      <w:r w:rsidR="00747D52" w:rsidRPr="00362C3C">
        <w:rPr>
          <w:lang w:val="de-DE"/>
        </w:rPr>
        <w:t xml:space="preserve"> </w:t>
      </w:r>
      <w:r w:rsidR="00335309" w:rsidRPr="00362C3C">
        <w:rPr>
          <w:lang w:val="de-DE"/>
        </w:rPr>
        <w:t>den informellen Dokumenten INF.7 und INF.8 (siehe Anlage I).</w:t>
      </w:r>
    </w:p>
    <w:p w14:paraId="5246E59C" w14:textId="716FFF13" w:rsidR="00624F9D" w:rsidRPr="0024262E" w:rsidRDefault="008026F8" w:rsidP="00EF337D">
      <w:pPr>
        <w:pStyle w:val="SingleTxtG"/>
        <w:rPr>
          <w:lang w:val="de-DE"/>
        </w:rPr>
      </w:pPr>
      <w:r w:rsidRPr="0024262E">
        <w:rPr>
          <w:lang w:val="de-DE"/>
        </w:rPr>
        <w:t>31</w:t>
      </w:r>
      <w:r w:rsidR="00624F9D" w:rsidRPr="0024262E">
        <w:rPr>
          <w:lang w:val="de-DE"/>
        </w:rPr>
        <w:t>.</w:t>
      </w:r>
      <w:r w:rsidR="00624F9D" w:rsidRPr="0024262E">
        <w:rPr>
          <w:lang w:val="de-DE"/>
        </w:rPr>
        <w:tab/>
      </w:r>
      <w:r w:rsidR="00F10D6B" w:rsidRPr="00EF337D">
        <w:rPr>
          <w:lang w:val="de-DE"/>
        </w:rPr>
        <w:t xml:space="preserve">Im Hinblick auf die Änderungen im Zusammenhang mit Fragen, die von der Gemeinsamen RID/ADR/ADN-Tagung im März 2020 </w:t>
      </w:r>
      <w:r w:rsidR="00EF337D" w:rsidRPr="00EF337D">
        <w:rPr>
          <w:lang w:val="de-DE"/>
        </w:rPr>
        <w:t>behandelt</w:t>
      </w:r>
      <w:r w:rsidR="00F10D6B" w:rsidRPr="00EF337D">
        <w:rPr>
          <w:lang w:val="de-DE"/>
        </w:rPr>
        <w:t xml:space="preserve"> werden, vereinbarte der Sicherheitsausschuss, diese bei seiner siebenunddreißigsten Tagung zu prüfen.</w:t>
      </w:r>
    </w:p>
    <w:p w14:paraId="5BDCADC2" w14:textId="0A5D6BD9" w:rsidR="00624F9D" w:rsidRPr="0024262E" w:rsidRDefault="008026F8" w:rsidP="00EF337D">
      <w:pPr>
        <w:pStyle w:val="SingleTxtG"/>
        <w:rPr>
          <w:lang w:val="de-DE"/>
        </w:rPr>
      </w:pPr>
      <w:r w:rsidRPr="0024262E">
        <w:rPr>
          <w:lang w:val="de-DE"/>
        </w:rPr>
        <w:t>32</w:t>
      </w:r>
      <w:r w:rsidR="00624F9D" w:rsidRPr="0024262E">
        <w:rPr>
          <w:lang w:val="de-DE"/>
        </w:rPr>
        <w:t>.</w:t>
      </w:r>
      <w:r w:rsidR="00624F9D" w:rsidRPr="0024262E">
        <w:rPr>
          <w:lang w:val="de-DE"/>
        </w:rPr>
        <w:tab/>
      </w:r>
      <w:r w:rsidR="00F10D6B" w:rsidRPr="00EF337D">
        <w:rPr>
          <w:lang w:val="de-DE"/>
        </w:rPr>
        <w:t xml:space="preserve">Was die Änderungen im informellen Dokument INF.13 betrifft, so beschloss der Sicherheitsausschuss, ihre Annahme auf die siebenunddreißigste </w:t>
      </w:r>
      <w:r w:rsidR="00E852A3" w:rsidRPr="00EF337D">
        <w:rPr>
          <w:lang w:val="de-DE"/>
        </w:rPr>
        <w:t>Sitz</w:t>
      </w:r>
      <w:r w:rsidR="00F10D6B" w:rsidRPr="00EF337D">
        <w:rPr>
          <w:lang w:val="de-DE"/>
        </w:rPr>
        <w:t>ung im August 2020 zu ver</w:t>
      </w:r>
      <w:r w:rsidR="00E852A3" w:rsidRPr="00EF337D">
        <w:rPr>
          <w:lang w:val="de-DE"/>
        </w:rPr>
        <w:t>schieb</w:t>
      </w:r>
      <w:r w:rsidR="00F10D6B" w:rsidRPr="00EF337D">
        <w:rPr>
          <w:lang w:val="de-DE"/>
        </w:rPr>
        <w:t xml:space="preserve">en, bis </w:t>
      </w:r>
      <w:r w:rsidR="00E852A3" w:rsidRPr="00EF337D">
        <w:rPr>
          <w:lang w:val="de-DE"/>
        </w:rPr>
        <w:t>zur</w:t>
      </w:r>
      <w:r w:rsidR="00F10D6B" w:rsidRPr="00EF337D">
        <w:rPr>
          <w:lang w:val="de-DE"/>
        </w:rPr>
        <w:t xml:space="preserve"> endgültige</w:t>
      </w:r>
      <w:r w:rsidR="00E852A3" w:rsidRPr="00EF337D">
        <w:rPr>
          <w:lang w:val="de-DE"/>
        </w:rPr>
        <w:t>n</w:t>
      </w:r>
      <w:r w:rsidR="00F10D6B" w:rsidRPr="00EF337D">
        <w:rPr>
          <w:lang w:val="de-DE"/>
        </w:rPr>
        <w:t xml:space="preserve"> Verabschiedung der entsprechenden Änderung des IMDG-Codes.</w:t>
      </w:r>
    </w:p>
    <w:p w14:paraId="7F8EBECA" w14:textId="1551F14E" w:rsidR="006C4782" w:rsidRPr="0024262E" w:rsidRDefault="006C4782" w:rsidP="00EF337D">
      <w:pPr>
        <w:pStyle w:val="H1G"/>
        <w:keepNext w:val="0"/>
        <w:keepLines w:val="0"/>
        <w:rPr>
          <w:lang w:val="de-DE"/>
        </w:rPr>
      </w:pPr>
      <w:r w:rsidRPr="00196ECD">
        <w:rPr>
          <w:lang w:val="de-DE"/>
        </w:rPr>
        <w:tab/>
      </w:r>
      <w:bookmarkStart w:id="31" w:name="_Toc505688429"/>
      <w:bookmarkStart w:id="32" w:name="_Toc32481651"/>
      <w:r w:rsidR="00E852A3" w:rsidRPr="00196ECD">
        <w:rPr>
          <w:lang w:val="de-DE"/>
        </w:rPr>
        <w:t>B</w:t>
      </w:r>
      <w:r w:rsidR="00E852A3" w:rsidRPr="00EF337D">
        <w:rPr>
          <w:lang w:val="de-DE"/>
        </w:rPr>
        <w:t>.</w:t>
      </w:r>
      <w:r w:rsidRPr="0024262E">
        <w:rPr>
          <w:lang w:val="de-DE"/>
        </w:rPr>
        <w:tab/>
      </w:r>
      <w:bookmarkEnd w:id="31"/>
      <w:bookmarkEnd w:id="32"/>
      <w:r w:rsidR="00E852A3" w:rsidRPr="00EF337D">
        <w:rPr>
          <w:lang w:val="de-DE"/>
        </w:rPr>
        <w:t>Weitere Vorschläge</w:t>
      </w:r>
    </w:p>
    <w:p w14:paraId="223A3569" w14:textId="15F2ADD2" w:rsidR="006C4782" w:rsidRPr="0024262E" w:rsidRDefault="006C4782" w:rsidP="00EF337D">
      <w:pPr>
        <w:pStyle w:val="H23G"/>
        <w:keepNext w:val="0"/>
        <w:keepLines w:val="0"/>
        <w:rPr>
          <w:lang w:val="de-DE"/>
        </w:rPr>
      </w:pPr>
      <w:r w:rsidRPr="0024262E">
        <w:rPr>
          <w:lang w:val="de-DE"/>
        </w:rPr>
        <w:tab/>
      </w:r>
      <w:bookmarkStart w:id="33" w:name="_Toc505688430"/>
      <w:bookmarkStart w:id="34" w:name="_Toc32481652"/>
      <w:r w:rsidRPr="0024262E">
        <w:rPr>
          <w:lang w:val="de-DE"/>
        </w:rPr>
        <w:t>1.</w:t>
      </w:r>
      <w:r w:rsidRPr="0024262E">
        <w:rPr>
          <w:lang w:val="de-DE"/>
        </w:rPr>
        <w:tab/>
      </w:r>
      <w:bookmarkEnd w:id="33"/>
      <w:bookmarkEnd w:id="34"/>
      <w:r w:rsidR="00E852A3" w:rsidRPr="00EF337D">
        <w:rPr>
          <w:lang w:val="de-DE"/>
        </w:rPr>
        <w:t>Übergangsbestimmungen</w:t>
      </w:r>
    </w:p>
    <w:p w14:paraId="2E1FB185" w14:textId="1B6CFD92" w:rsidR="006C4782" w:rsidRPr="0024262E" w:rsidRDefault="00E852A3" w:rsidP="00E852A3">
      <w:pPr>
        <w:pStyle w:val="SingleTxtG"/>
        <w:rPr>
          <w:lang w:val="de-DE"/>
        </w:rPr>
      </w:pPr>
      <w:r w:rsidRPr="00E852A3">
        <w:rPr>
          <w:i/>
          <w:iCs/>
          <w:lang w:val="de-DE"/>
        </w:rPr>
        <w:t>Dokument:</w:t>
      </w:r>
      <w:r w:rsidR="006C4782" w:rsidRPr="0024262E">
        <w:rPr>
          <w:lang w:val="de-DE"/>
        </w:rPr>
        <w:t xml:space="preserve"> </w:t>
      </w:r>
      <w:r w:rsidR="006C4782" w:rsidRPr="0024262E">
        <w:rPr>
          <w:lang w:val="de-DE"/>
        </w:rPr>
        <w:tab/>
      </w:r>
      <w:r w:rsidR="006C4782" w:rsidRPr="0024262E">
        <w:rPr>
          <w:lang w:val="de-DE"/>
        </w:rPr>
        <w:tab/>
      </w:r>
      <w:r w:rsidR="006C4782" w:rsidRPr="0024262E">
        <w:rPr>
          <w:lang w:val="de-DE"/>
        </w:rPr>
        <w:tab/>
      </w:r>
      <w:r w:rsidRPr="00E852A3">
        <w:rPr>
          <w:lang w:val="de-DE"/>
        </w:rPr>
        <w:t>ECE/TRANS/WP.15/AC.2/2020/1 (Deutschland)</w:t>
      </w:r>
    </w:p>
    <w:p w14:paraId="10EA13E3" w14:textId="23C3B4FF" w:rsidR="006C4782" w:rsidRPr="0024262E" w:rsidRDefault="008026F8" w:rsidP="00E852A3">
      <w:pPr>
        <w:pStyle w:val="SingleTxtG"/>
        <w:rPr>
          <w:lang w:val="de-DE"/>
        </w:rPr>
      </w:pPr>
      <w:r w:rsidRPr="0024262E">
        <w:rPr>
          <w:lang w:val="de-DE"/>
        </w:rPr>
        <w:t>33</w:t>
      </w:r>
      <w:r w:rsidR="006C4782" w:rsidRPr="0024262E">
        <w:rPr>
          <w:lang w:val="de-DE"/>
        </w:rPr>
        <w:t>.</w:t>
      </w:r>
      <w:r w:rsidR="006C4782" w:rsidRPr="0024262E">
        <w:rPr>
          <w:lang w:val="de-DE"/>
        </w:rPr>
        <w:tab/>
      </w:r>
      <w:r w:rsidR="00E852A3" w:rsidRPr="00E852A3">
        <w:rPr>
          <w:lang w:val="de-DE"/>
        </w:rPr>
        <w:t>Der Sicherheitsausschuss nahm den Vorschlag zur Änderung der Übergangsbestimmungen im ADN an (siehe Anlage I).</w:t>
      </w:r>
    </w:p>
    <w:p w14:paraId="7F099366" w14:textId="78C862F5" w:rsidR="006C4782" w:rsidRPr="0024262E" w:rsidRDefault="006C4782" w:rsidP="00E852A3">
      <w:pPr>
        <w:pStyle w:val="H23G"/>
        <w:keepNext w:val="0"/>
        <w:keepLines w:val="0"/>
        <w:rPr>
          <w:lang w:val="de-DE"/>
        </w:rPr>
      </w:pPr>
      <w:r w:rsidRPr="0024262E">
        <w:rPr>
          <w:lang w:val="de-DE"/>
        </w:rPr>
        <w:tab/>
      </w:r>
      <w:bookmarkStart w:id="35" w:name="_Toc32481653"/>
      <w:r w:rsidRPr="0024262E">
        <w:rPr>
          <w:lang w:val="de-DE"/>
        </w:rPr>
        <w:t>2.</w:t>
      </w:r>
      <w:r w:rsidRPr="0024262E">
        <w:rPr>
          <w:lang w:val="de-DE"/>
        </w:rPr>
        <w:tab/>
      </w:r>
      <w:bookmarkEnd w:id="35"/>
      <w:r w:rsidR="00E852A3" w:rsidRPr="00E852A3">
        <w:rPr>
          <w:lang w:val="de-DE"/>
        </w:rPr>
        <w:t>Vorschlag zur Harmonisierung von 8.2.1.4 ADN in den verschiedenen Sprachfassungen</w:t>
      </w:r>
    </w:p>
    <w:p w14:paraId="2D68A924" w14:textId="0BE9F2C5" w:rsidR="006C4782" w:rsidRPr="0024262E" w:rsidRDefault="00E852A3" w:rsidP="00E852A3">
      <w:pPr>
        <w:pStyle w:val="SingleTxtG"/>
        <w:rPr>
          <w:lang w:val="de-DE"/>
        </w:rPr>
      </w:pPr>
      <w:r w:rsidRPr="00E852A3">
        <w:rPr>
          <w:i/>
          <w:iCs/>
          <w:lang w:val="de-DE"/>
        </w:rPr>
        <w:t>Dokument:</w:t>
      </w:r>
      <w:r w:rsidR="006C4782" w:rsidRPr="0024262E">
        <w:rPr>
          <w:lang w:val="de-DE"/>
        </w:rPr>
        <w:t xml:space="preserve"> </w:t>
      </w:r>
      <w:r w:rsidR="006C4782" w:rsidRPr="0024262E">
        <w:rPr>
          <w:lang w:val="de-DE"/>
        </w:rPr>
        <w:tab/>
      </w:r>
      <w:r w:rsidR="006C4782" w:rsidRPr="0024262E">
        <w:rPr>
          <w:lang w:val="de-DE"/>
        </w:rPr>
        <w:tab/>
      </w:r>
      <w:r w:rsidR="006C4782" w:rsidRPr="0024262E">
        <w:rPr>
          <w:lang w:val="de-DE"/>
        </w:rPr>
        <w:tab/>
      </w:r>
      <w:r w:rsidRPr="00E852A3">
        <w:rPr>
          <w:lang w:val="de-DE"/>
        </w:rPr>
        <w:t>ECE/TRANS/WP.15/AC.2/2020/8 (ZKR)</w:t>
      </w:r>
    </w:p>
    <w:p w14:paraId="232D91F0" w14:textId="4E0ED83E" w:rsidR="006C4782" w:rsidRPr="0024262E" w:rsidRDefault="008026F8" w:rsidP="00362C3C">
      <w:pPr>
        <w:pStyle w:val="SingleTxtG"/>
        <w:rPr>
          <w:lang w:val="de-DE"/>
        </w:rPr>
      </w:pPr>
      <w:r w:rsidRPr="0024262E">
        <w:rPr>
          <w:lang w:val="de-DE"/>
        </w:rPr>
        <w:t>34</w:t>
      </w:r>
      <w:r w:rsidR="006C4782" w:rsidRPr="0024262E">
        <w:rPr>
          <w:lang w:val="de-DE"/>
        </w:rPr>
        <w:t>.</w:t>
      </w:r>
      <w:r w:rsidR="006C4782" w:rsidRPr="0024262E">
        <w:rPr>
          <w:lang w:val="de-DE"/>
        </w:rPr>
        <w:tab/>
      </w:r>
      <w:r w:rsidR="00E852A3" w:rsidRPr="00362C3C">
        <w:rPr>
          <w:lang w:val="de-DE"/>
        </w:rPr>
        <w:t xml:space="preserve">Der Sicherheitsausschuss nahm den Vorschlag zur Angleichung der englischen, französischen und russischen Fassung des </w:t>
      </w:r>
      <w:r w:rsidR="00EB1F51" w:rsidRPr="00362C3C">
        <w:rPr>
          <w:lang w:val="de-DE"/>
        </w:rPr>
        <w:t>Untera</w:t>
      </w:r>
      <w:r w:rsidR="00E852A3" w:rsidRPr="00362C3C">
        <w:rPr>
          <w:lang w:val="de-DE"/>
        </w:rPr>
        <w:t xml:space="preserve">bschnitts 8.2.1.4 ADN an die deutsche Fassung an, wobei </w:t>
      </w:r>
      <w:r w:rsidR="00311291" w:rsidRPr="00362C3C">
        <w:rPr>
          <w:lang w:val="de-DE"/>
        </w:rPr>
        <w:t xml:space="preserve">„after </w:t>
      </w:r>
      <w:proofErr w:type="spellStart"/>
      <w:r w:rsidR="00311291" w:rsidRPr="00362C3C">
        <w:rPr>
          <w:lang w:val="de-DE"/>
        </w:rPr>
        <w:t>two</w:t>
      </w:r>
      <w:proofErr w:type="spellEnd"/>
      <w:r w:rsidR="00311291" w:rsidRPr="00362C3C">
        <w:rPr>
          <w:lang w:val="de-DE"/>
        </w:rPr>
        <w:t xml:space="preserve"> </w:t>
      </w:r>
      <w:proofErr w:type="spellStart"/>
      <w:r w:rsidR="00311291" w:rsidRPr="00362C3C">
        <w:rPr>
          <w:lang w:val="de-DE"/>
        </w:rPr>
        <w:t>times</w:t>
      </w:r>
      <w:proofErr w:type="spellEnd"/>
      <w:r w:rsidR="00311291" w:rsidRPr="00362C3C">
        <w:rPr>
          <w:lang w:val="de-DE"/>
        </w:rPr>
        <w:t>“</w:t>
      </w:r>
      <w:r w:rsidR="00E852A3" w:rsidRPr="00362C3C">
        <w:rPr>
          <w:lang w:val="de-DE"/>
        </w:rPr>
        <w:t xml:space="preserve"> durch </w:t>
      </w:r>
      <w:r w:rsidR="00311291" w:rsidRPr="00362C3C">
        <w:rPr>
          <w:lang w:val="de-DE"/>
        </w:rPr>
        <w:t xml:space="preserve">„after </w:t>
      </w:r>
      <w:proofErr w:type="spellStart"/>
      <w:r w:rsidR="00311291" w:rsidRPr="00362C3C">
        <w:rPr>
          <w:lang w:val="de-DE"/>
        </w:rPr>
        <w:t>it</w:t>
      </w:r>
      <w:proofErr w:type="spellEnd"/>
      <w:r w:rsidR="00311291" w:rsidRPr="00362C3C">
        <w:rPr>
          <w:lang w:val="de-DE"/>
        </w:rPr>
        <w:t xml:space="preserve"> </w:t>
      </w:r>
      <w:proofErr w:type="spellStart"/>
      <w:r w:rsidR="00311291" w:rsidRPr="00362C3C">
        <w:rPr>
          <w:lang w:val="de-DE"/>
        </w:rPr>
        <w:t>is</w:t>
      </w:r>
      <w:proofErr w:type="spellEnd"/>
      <w:r w:rsidR="00311291" w:rsidRPr="00362C3C">
        <w:rPr>
          <w:lang w:val="de-DE"/>
        </w:rPr>
        <w:t xml:space="preserve"> </w:t>
      </w:r>
      <w:proofErr w:type="spellStart"/>
      <w:r w:rsidR="00311291" w:rsidRPr="00362C3C">
        <w:rPr>
          <w:lang w:val="de-DE"/>
        </w:rPr>
        <w:t>retaken</w:t>
      </w:r>
      <w:proofErr w:type="spellEnd"/>
      <w:r w:rsidR="00311291" w:rsidRPr="00362C3C">
        <w:rPr>
          <w:lang w:val="de-DE"/>
        </w:rPr>
        <w:t xml:space="preserve"> </w:t>
      </w:r>
      <w:proofErr w:type="spellStart"/>
      <w:r w:rsidR="00311291" w:rsidRPr="00362C3C">
        <w:rPr>
          <w:lang w:val="de-DE"/>
        </w:rPr>
        <w:t>two</w:t>
      </w:r>
      <w:proofErr w:type="spellEnd"/>
      <w:r w:rsidR="00311291" w:rsidRPr="00362C3C">
        <w:rPr>
          <w:lang w:val="de-DE"/>
        </w:rPr>
        <w:t xml:space="preserve"> </w:t>
      </w:r>
      <w:proofErr w:type="spellStart"/>
      <w:r w:rsidR="00311291" w:rsidRPr="00362C3C">
        <w:rPr>
          <w:lang w:val="de-DE"/>
        </w:rPr>
        <w:t>times</w:t>
      </w:r>
      <w:proofErr w:type="spellEnd"/>
      <w:r w:rsidR="00311291" w:rsidRPr="00362C3C">
        <w:rPr>
          <w:lang w:val="de-DE"/>
        </w:rPr>
        <w:t>“</w:t>
      </w:r>
      <w:r w:rsidR="00510CDD" w:rsidRPr="00362C3C">
        <w:rPr>
          <w:lang w:val="de-DE"/>
        </w:rPr>
        <w:t xml:space="preserve"> [DE: </w:t>
      </w:r>
      <w:r w:rsidR="00C7737E" w:rsidRPr="00362C3C">
        <w:rPr>
          <w:lang w:val="de-DE"/>
        </w:rPr>
        <w:t>„nach zweimaliger Wiederholung“</w:t>
      </w:r>
      <w:r w:rsidR="00510CDD" w:rsidRPr="00362C3C">
        <w:rPr>
          <w:lang w:val="de-DE"/>
        </w:rPr>
        <w:t>]</w:t>
      </w:r>
      <w:r w:rsidR="00E852A3" w:rsidRPr="00362C3C">
        <w:rPr>
          <w:lang w:val="de-DE"/>
        </w:rPr>
        <w:t xml:space="preserve"> ersetzt wird (siehe Anlage I).</w:t>
      </w:r>
    </w:p>
    <w:p w14:paraId="4F8B16AE" w14:textId="77777777" w:rsidR="00196ECD" w:rsidRDefault="00196ECD">
      <w:pPr>
        <w:suppressAutoHyphens w:val="0"/>
        <w:spacing w:after="200" w:line="276" w:lineRule="auto"/>
        <w:rPr>
          <w:b/>
          <w:lang w:val="de-DE"/>
        </w:rPr>
      </w:pPr>
      <w:r>
        <w:rPr>
          <w:lang w:val="de-DE"/>
        </w:rPr>
        <w:br w:type="page"/>
      </w:r>
    </w:p>
    <w:p w14:paraId="26445F15" w14:textId="5C6FFEB4" w:rsidR="006C4782" w:rsidRPr="0024262E" w:rsidRDefault="006C4782" w:rsidP="00362C3C">
      <w:pPr>
        <w:pStyle w:val="H23G"/>
        <w:rPr>
          <w:lang w:val="de-DE"/>
        </w:rPr>
      </w:pPr>
      <w:r w:rsidRPr="0024262E">
        <w:rPr>
          <w:lang w:val="de-DE"/>
        </w:rPr>
        <w:lastRenderedPageBreak/>
        <w:tab/>
      </w:r>
      <w:bookmarkStart w:id="36" w:name="_Toc32481654"/>
      <w:r w:rsidRPr="0024262E">
        <w:rPr>
          <w:lang w:val="de-DE"/>
        </w:rPr>
        <w:t>3.</w:t>
      </w:r>
      <w:r w:rsidRPr="0024262E">
        <w:rPr>
          <w:lang w:val="de-DE"/>
        </w:rPr>
        <w:tab/>
      </w:r>
      <w:bookmarkEnd w:id="36"/>
      <w:r w:rsidR="00E41CDE" w:rsidRPr="00362C3C">
        <w:rPr>
          <w:lang w:val="de-DE"/>
        </w:rPr>
        <w:t>Änderung von 8.1.2.2 der dem ADN beigefügten Verordnung</w:t>
      </w:r>
    </w:p>
    <w:p w14:paraId="280079A1" w14:textId="56AAD402" w:rsidR="006C4782" w:rsidRPr="0024262E" w:rsidRDefault="00E41CDE" w:rsidP="00E41CDE">
      <w:pPr>
        <w:pStyle w:val="SingleTxtG"/>
        <w:keepNext/>
        <w:keepLines/>
        <w:rPr>
          <w:lang w:val="de-DE"/>
        </w:rPr>
      </w:pPr>
      <w:r w:rsidRPr="00E41CDE">
        <w:rPr>
          <w:i/>
          <w:iCs/>
          <w:lang w:val="de-DE"/>
        </w:rPr>
        <w:t>Dokument:</w:t>
      </w:r>
      <w:r w:rsidR="006C4782" w:rsidRPr="0024262E">
        <w:rPr>
          <w:lang w:val="de-DE"/>
        </w:rPr>
        <w:t xml:space="preserve"> </w:t>
      </w:r>
      <w:r w:rsidR="006C4782" w:rsidRPr="0024262E">
        <w:rPr>
          <w:lang w:val="de-DE"/>
        </w:rPr>
        <w:tab/>
      </w:r>
      <w:r w:rsidR="006C4782" w:rsidRPr="0024262E">
        <w:rPr>
          <w:lang w:val="de-DE"/>
        </w:rPr>
        <w:tab/>
      </w:r>
      <w:r w:rsidR="006C4782" w:rsidRPr="0024262E">
        <w:rPr>
          <w:lang w:val="de-DE"/>
        </w:rPr>
        <w:tab/>
      </w:r>
      <w:r w:rsidRPr="00E41CDE">
        <w:rPr>
          <w:lang w:val="de-DE"/>
        </w:rPr>
        <w:t>ECE/TRANS/WP.15/AC.2/2020/10 (Frankreich)</w:t>
      </w:r>
    </w:p>
    <w:p w14:paraId="3546D687" w14:textId="5373D658" w:rsidR="006C4782" w:rsidRPr="0024262E" w:rsidRDefault="008026F8" w:rsidP="007347D8">
      <w:pPr>
        <w:pStyle w:val="SingleTxtG"/>
        <w:widowControl w:val="0"/>
        <w:rPr>
          <w:lang w:val="de-DE"/>
        </w:rPr>
      </w:pPr>
      <w:r w:rsidRPr="0024262E">
        <w:rPr>
          <w:lang w:val="de-DE"/>
        </w:rPr>
        <w:t>35</w:t>
      </w:r>
      <w:r w:rsidR="006C4782" w:rsidRPr="0024262E">
        <w:rPr>
          <w:lang w:val="de-DE"/>
        </w:rPr>
        <w:t>.</w:t>
      </w:r>
      <w:r w:rsidR="006C4782" w:rsidRPr="0024262E">
        <w:rPr>
          <w:lang w:val="de-DE"/>
        </w:rPr>
        <w:tab/>
      </w:r>
      <w:r w:rsidR="008D75ED" w:rsidRPr="007347D8">
        <w:rPr>
          <w:lang w:val="de-DE"/>
        </w:rPr>
        <w:t>Der Sicherheitsausschuss nahm die vorgeschlagene Klarstellung zu Unterabschnitt 8.1.2.2 ADN im Sinne der deutschen Fassung an (siehe An</w:t>
      </w:r>
      <w:r w:rsidR="001E20CF" w:rsidRPr="007347D8">
        <w:rPr>
          <w:lang w:val="de-DE"/>
        </w:rPr>
        <w:t>l</w:t>
      </w:r>
      <w:r w:rsidR="008D75ED" w:rsidRPr="007347D8">
        <w:rPr>
          <w:lang w:val="de-DE"/>
        </w:rPr>
        <w:t>ag</w:t>
      </w:r>
      <w:r w:rsidR="001E20CF" w:rsidRPr="007347D8">
        <w:rPr>
          <w:lang w:val="de-DE"/>
        </w:rPr>
        <w:t>e</w:t>
      </w:r>
      <w:r w:rsidR="00362C3C" w:rsidRPr="007347D8">
        <w:rPr>
          <w:lang w:val="de-DE"/>
        </w:rPr>
        <w:t xml:space="preserve"> </w:t>
      </w:r>
      <w:r w:rsidR="008D75ED" w:rsidRPr="007347D8">
        <w:rPr>
          <w:lang w:val="de-DE"/>
        </w:rPr>
        <w:t>...).</w:t>
      </w:r>
      <w:r w:rsidR="006C4782" w:rsidRPr="0024262E">
        <w:rPr>
          <w:lang w:val="de-DE"/>
        </w:rPr>
        <w:t xml:space="preserve"> </w:t>
      </w:r>
      <w:r w:rsidR="00B162EC" w:rsidRPr="007347D8">
        <w:rPr>
          <w:lang w:val="de-DE"/>
        </w:rPr>
        <w:t xml:space="preserve">Der Vertreter Belgiens bezweifelte, dass die zuständigen Behörden für das Abstempeln der in ECE/TRANS/WP.15/AC.2/2020/10 genannten Dokumente verantwortlich gemacht werden </w:t>
      </w:r>
      <w:r w:rsidR="007347D8" w:rsidRPr="007347D8">
        <w:rPr>
          <w:lang w:val="de-DE"/>
        </w:rPr>
        <w:t>sollten</w:t>
      </w:r>
      <w:r w:rsidR="00B162EC" w:rsidRPr="007347D8">
        <w:rPr>
          <w:lang w:val="de-DE"/>
        </w:rPr>
        <w:t>.</w:t>
      </w:r>
      <w:r w:rsidR="006C4782" w:rsidRPr="0024262E">
        <w:rPr>
          <w:lang w:val="de-DE"/>
        </w:rPr>
        <w:t xml:space="preserve"> </w:t>
      </w:r>
      <w:r w:rsidR="00D70AA1" w:rsidRPr="007347D8">
        <w:rPr>
          <w:lang w:val="de-DE"/>
        </w:rPr>
        <w:t xml:space="preserve">Es wurde klargestellt, dass die zuständigen Behörden andere zuständige Stellen zur Übernahme bestimmter Aufgaben </w:t>
      </w:r>
      <w:r w:rsidR="00346A83" w:rsidRPr="007347D8">
        <w:rPr>
          <w:lang w:val="de-DE"/>
        </w:rPr>
        <w:t>bestimmen</w:t>
      </w:r>
      <w:r w:rsidR="00D70AA1" w:rsidRPr="007347D8">
        <w:rPr>
          <w:lang w:val="de-DE"/>
        </w:rPr>
        <w:t xml:space="preserve"> können, einschließlich der </w:t>
      </w:r>
      <w:r w:rsidR="00346A83" w:rsidRPr="007347D8">
        <w:rPr>
          <w:lang w:val="de-DE"/>
        </w:rPr>
        <w:t>E</w:t>
      </w:r>
      <w:r w:rsidR="00D70AA1" w:rsidRPr="007347D8">
        <w:rPr>
          <w:lang w:val="de-DE"/>
        </w:rPr>
        <w:t>mpfohlenen ADN-Klassifikationsgesellschaften.</w:t>
      </w:r>
      <w:r w:rsidR="006C4782" w:rsidRPr="0024262E">
        <w:rPr>
          <w:lang w:val="de-DE"/>
        </w:rPr>
        <w:t xml:space="preserve"> </w:t>
      </w:r>
      <w:r w:rsidR="00346A83" w:rsidRPr="007347D8">
        <w:rPr>
          <w:lang w:val="de-DE"/>
        </w:rPr>
        <w:t>Der Sicherheitsausschuss empfahl, die Diskussion über dieses Thema auf einer weiteren Sitzung, gegebenenfalls auf der Grundlage eines Vorschlags, wieder aufzunehmen.</w:t>
      </w:r>
    </w:p>
    <w:p w14:paraId="79A0C5FE" w14:textId="5C6AFB88" w:rsidR="006C4782" w:rsidRPr="0024262E" w:rsidRDefault="006C4782" w:rsidP="00346A83">
      <w:pPr>
        <w:pStyle w:val="H23G"/>
        <w:rPr>
          <w:lang w:val="de-DE"/>
        </w:rPr>
      </w:pPr>
      <w:r w:rsidRPr="0024262E">
        <w:rPr>
          <w:lang w:val="de-DE"/>
        </w:rPr>
        <w:tab/>
      </w:r>
      <w:bookmarkStart w:id="37" w:name="_Toc32481655"/>
      <w:r w:rsidRPr="0024262E">
        <w:rPr>
          <w:lang w:val="de-DE"/>
        </w:rPr>
        <w:t>4.</w:t>
      </w:r>
      <w:r w:rsidRPr="0024262E">
        <w:rPr>
          <w:lang w:val="de-DE"/>
        </w:rPr>
        <w:tab/>
      </w:r>
      <w:bookmarkEnd w:id="37"/>
      <w:r w:rsidR="00346A83" w:rsidRPr="00346A83">
        <w:rPr>
          <w:lang w:val="de-DE"/>
        </w:rPr>
        <w:t>Übergangsvorschriften für autonome Schutzsysteme</w:t>
      </w:r>
    </w:p>
    <w:p w14:paraId="27D89005" w14:textId="2CDB9D2D" w:rsidR="006C4782" w:rsidRPr="0024262E" w:rsidRDefault="00346A83" w:rsidP="00346A83">
      <w:pPr>
        <w:pStyle w:val="SingleTxtG"/>
        <w:keepNext/>
        <w:keepLines/>
        <w:rPr>
          <w:lang w:val="de-DE"/>
        </w:rPr>
      </w:pPr>
      <w:r w:rsidRPr="00346A83">
        <w:rPr>
          <w:i/>
          <w:iCs/>
          <w:lang w:val="de-DE"/>
        </w:rPr>
        <w:t>Dokument:</w:t>
      </w:r>
      <w:r w:rsidR="006C4782" w:rsidRPr="0024262E">
        <w:rPr>
          <w:lang w:val="de-DE"/>
        </w:rPr>
        <w:t xml:space="preserve"> </w:t>
      </w:r>
      <w:r w:rsidR="006C4782" w:rsidRPr="0024262E">
        <w:rPr>
          <w:lang w:val="de-DE"/>
        </w:rPr>
        <w:tab/>
      </w:r>
      <w:r w:rsidR="006C4782" w:rsidRPr="0024262E">
        <w:rPr>
          <w:lang w:val="de-DE"/>
        </w:rPr>
        <w:tab/>
      </w:r>
      <w:r w:rsidR="006C4782" w:rsidRPr="0024262E">
        <w:rPr>
          <w:lang w:val="de-DE"/>
        </w:rPr>
        <w:tab/>
      </w:r>
      <w:r w:rsidRPr="00346A83">
        <w:rPr>
          <w:lang w:val="de-DE"/>
        </w:rPr>
        <w:t>ECE/TRANS/WP.15/AC.2/2020/12 (Niederlande)</w:t>
      </w:r>
    </w:p>
    <w:p w14:paraId="3A19D547" w14:textId="0F37129E" w:rsidR="006C4782" w:rsidRPr="0024262E" w:rsidRDefault="008026F8" w:rsidP="007347D8">
      <w:pPr>
        <w:pStyle w:val="SingleTxtG"/>
        <w:rPr>
          <w:lang w:val="de-DE"/>
        </w:rPr>
      </w:pPr>
      <w:r w:rsidRPr="0024262E">
        <w:rPr>
          <w:lang w:val="de-DE"/>
        </w:rPr>
        <w:t>36</w:t>
      </w:r>
      <w:r w:rsidR="006C4782" w:rsidRPr="0024262E">
        <w:rPr>
          <w:lang w:val="de-DE"/>
        </w:rPr>
        <w:t>.</w:t>
      </w:r>
      <w:r w:rsidR="006C4782" w:rsidRPr="0024262E">
        <w:rPr>
          <w:lang w:val="de-DE"/>
        </w:rPr>
        <w:tab/>
      </w:r>
      <w:r w:rsidR="009A6900" w:rsidRPr="007347D8">
        <w:rPr>
          <w:lang w:val="de-DE"/>
        </w:rPr>
        <w:t xml:space="preserve">Der Vertreter der Niederlande erklärte, dass die Vorschläge darauf abzielten, die Widersprüche zwischen dem Multilateralen Abkommen M 018 und den derzeitigen Übergangsvorschriften für autonome Schutzsysteme in der dem ADN beigefügten Verordnung zu </w:t>
      </w:r>
      <w:r w:rsidR="007347D8" w:rsidRPr="007347D8">
        <w:rPr>
          <w:lang w:val="de-DE"/>
        </w:rPr>
        <w:t>beheben</w:t>
      </w:r>
      <w:r w:rsidR="009A6900" w:rsidRPr="007347D8">
        <w:rPr>
          <w:lang w:val="de-DE"/>
        </w:rPr>
        <w:t>.</w:t>
      </w:r>
    </w:p>
    <w:p w14:paraId="0C17C6E2" w14:textId="0620697D" w:rsidR="006C4782" w:rsidRPr="0024262E" w:rsidRDefault="008026F8" w:rsidP="007347D8">
      <w:pPr>
        <w:pStyle w:val="SingleTxtG"/>
        <w:rPr>
          <w:lang w:val="de-DE"/>
        </w:rPr>
      </w:pPr>
      <w:r w:rsidRPr="0024262E">
        <w:rPr>
          <w:lang w:val="de-DE"/>
        </w:rPr>
        <w:t>37</w:t>
      </w:r>
      <w:r w:rsidR="006C4782" w:rsidRPr="0024262E">
        <w:rPr>
          <w:lang w:val="de-DE"/>
        </w:rPr>
        <w:t>.</w:t>
      </w:r>
      <w:r w:rsidR="006C4782" w:rsidRPr="0024262E">
        <w:rPr>
          <w:lang w:val="de-DE"/>
        </w:rPr>
        <w:tab/>
      </w:r>
      <w:r w:rsidR="009A6900" w:rsidRPr="007347D8">
        <w:rPr>
          <w:lang w:val="de-DE"/>
        </w:rPr>
        <w:t>Zu den Vorschlägen wurden einige Bedenken geäußert, da die Auswirkungen einer rückwirkenden Verkürzung der Übergangs</w:t>
      </w:r>
      <w:r w:rsidR="00D0413C" w:rsidRPr="007347D8">
        <w:rPr>
          <w:lang w:val="de-DE"/>
        </w:rPr>
        <w:t>vorschrif</w:t>
      </w:r>
      <w:r w:rsidR="00BA265A" w:rsidRPr="007347D8">
        <w:rPr>
          <w:lang w:val="de-DE"/>
        </w:rPr>
        <w:t>t</w:t>
      </w:r>
      <w:r w:rsidR="009A6900" w:rsidRPr="007347D8">
        <w:rPr>
          <w:lang w:val="de-DE"/>
        </w:rPr>
        <w:t>en auf die bestehenden Flotten nicht bewertet werden können.</w:t>
      </w:r>
      <w:r w:rsidR="006C4782" w:rsidRPr="0024262E">
        <w:rPr>
          <w:lang w:val="de-DE"/>
        </w:rPr>
        <w:t xml:space="preserve"> </w:t>
      </w:r>
      <w:r w:rsidR="00FA52DA" w:rsidRPr="007347D8">
        <w:rPr>
          <w:lang w:val="de-DE"/>
        </w:rPr>
        <w:t xml:space="preserve">Da nicht </w:t>
      </w:r>
      <w:r w:rsidR="009716F8" w:rsidRPr="007347D8">
        <w:rPr>
          <w:lang w:val="de-DE"/>
        </w:rPr>
        <w:t xml:space="preserve">gewährleistet </w:t>
      </w:r>
      <w:r w:rsidR="00CB27ED">
        <w:rPr>
          <w:lang w:val="de-DE"/>
        </w:rPr>
        <w:t>ist</w:t>
      </w:r>
      <w:r w:rsidR="00FA52DA" w:rsidRPr="007347D8">
        <w:rPr>
          <w:lang w:val="de-DE"/>
        </w:rPr>
        <w:t>, dass alle Schiffe die Anforderungen von M 018 erfüllen, wurde beschlossen, die Änderung</w:t>
      </w:r>
      <w:r w:rsidR="009716F8" w:rsidRPr="007347D8">
        <w:rPr>
          <w:lang w:val="de-DE"/>
        </w:rPr>
        <w:t>svorschläg</w:t>
      </w:r>
      <w:r w:rsidR="00FA52DA" w:rsidRPr="007347D8">
        <w:rPr>
          <w:lang w:val="de-DE"/>
        </w:rPr>
        <w:t xml:space="preserve">e </w:t>
      </w:r>
      <w:r w:rsidR="009716F8" w:rsidRPr="007347D8">
        <w:rPr>
          <w:lang w:val="de-DE"/>
        </w:rPr>
        <w:t xml:space="preserve">zu </w:t>
      </w:r>
      <w:r w:rsidR="00FA52DA" w:rsidRPr="007347D8">
        <w:rPr>
          <w:lang w:val="de-DE"/>
        </w:rPr>
        <w:t>der Tabelle in Absatz 1.6.7.2</w:t>
      </w:r>
      <w:r w:rsidR="009716F8" w:rsidRPr="007347D8">
        <w:rPr>
          <w:lang w:val="de-DE"/>
        </w:rPr>
        <w:t>.2</w:t>
      </w:r>
      <w:r w:rsidR="00FA52DA" w:rsidRPr="007347D8">
        <w:rPr>
          <w:lang w:val="de-DE"/>
        </w:rPr>
        <w:t xml:space="preserve">.2 zu übernehmen, sodass sie für nach dem 31. Dezember 2020 </w:t>
      </w:r>
      <w:r w:rsidR="00441E45" w:rsidRPr="007347D8">
        <w:rPr>
          <w:lang w:val="de-DE"/>
        </w:rPr>
        <w:t>erteilte</w:t>
      </w:r>
      <w:r w:rsidR="00FA52DA" w:rsidRPr="007347D8">
        <w:rPr>
          <w:lang w:val="de-DE"/>
        </w:rPr>
        <w:t xml:space="preserve"> Zulassungs</w:t>
      </w:r>
      <w:r w:rsidR="00513679" w:rsidRPr="007347D8">
        <w:rPr>
          <w:lang w:val="de-DE"/>
        </w:rPr>
        <w:t>zeug</w:t>
      </w:r>
      <w:r w:rsidR="00FA52DA" w:rsidRPr="007347D8">
        <w:rPr>
          <w:lang w:val="de-DE"/>
        </w:rPr>
        <w:t>ni</w:t>
      </w:r>
      <w:r w:rsidR="00513679" w:rsidRPr="007347D8">
        <w:rPr>
          <w:lang w:val="de-DE"/>
        </w:rPr>
        <w:t>ss</w:t>
      </w:r>
      <w:r w:rsidR="00FA52DA" w:rsidRPr="007347D8">
        <w:rPr>
          <w:lang w:val="de-DE"/>
        </w:rPr>
        <w:t>e gelten (siehe Anlage I).</w:t>
      </w:r>
      <w:r w:rsidR="00975B9A" w:rsidRPr="0024262E">
        <w:rPr>
          <w:lang w:val="de-DE"/>
        </w:rPr>
        <w:t xml:space="preserve"> </w:t>
      </w:r>
      <w:r w:rsidR="000720D6" w:rsidRPr="007347D8">
        <w:rPr>
          <w:lang w:val="de-DE"/>
        </w:rPr>
        <w:t>Die acht unterzeichnenden Vertragsparteien wurden gebeten, M</w:t>
      </w:r>
      <w:r w:rsidR="007347D8" w:rsidRPr="007347D8">
        <w:rPr>
          <w:lang w:val="de-DE"/>
        </w:rPr>
        <w:t xml:space="preserve"> </w:t>
      </w:r>
      <w:r w:rsidR="000720D6" w:rsidRPr="007347D8">
        <w:rPr>
          <w:lang w:val="de-DE"/>
        </w:rPr>
        <w:t>018 zum 1. Januar 2021 aufzuheben.</w:t>
      </w:r>
    </w:p>
    <w:p w14:paraId="07358786" w14:textId="2834FB72" w:rsidR="006C4782" w:rsidRPr="0024262E" w:rsidRDefault="006C4782" w:rsidP="000720D6">
      <w:pPr>
        <w:pStyle w:val="H23G"/>
        <w:rPr>
          <w:lang w:val="de-DE"/>
        </w:rPr>
      </w:pPr>
      <w:r w:rsidRPr="0024262E">
        <w:rPr>
          <w:lang w:val="de-DE"/>
        </w:rPr>
        <w:tab/>
      </w:r>
      <w:bookmarkStart w:id="38" w:name="_Toc32481656"/>
      <w:r w:rsidRPr="0024262E">
        <w:rPr>
          <w:lang w:val="de-DE"/>
        </w:rPr>
        <w:t>5.</w:t>
      </w:r>
      <w:r w:rsidRPr="0024262E">
        <w:rPr>
          <w:lang w:val="de-DE"/>
        </w:rPr>
        <w:tab/>
      </w:r>
      <w:bookmarkEnd w:id="38"/>
      <w:r w:rsidR="000720D6" w:rsidRPr="000720D6">
        <w:rPr>
          <w:lang w:val="de-DE"/>
        </w:rPr>
        <w:t>Bauwerkstoffe</w:t>
      </w:r>
    </w:p>
    <w:p w14:paraId="2B9CD4BB" w14:textId="29A6CB5E" w:rsidR="006C4782" w:rsidRPr="0024262E" w:rsidRDefault="000720D6" w:rsidP="000720D6">
      <w:pPr>
        <w:pStyle w:val="SingleTxtG"/>
        <w:keepNext/>
        <w:keepLines/>
        <w:rPr>
          <w:lang w:val="de-DE"/>
        </w:rPr>
      </w:pPr>
      <w:r w:rsidRPr="000720D6">
        <w:rPr>
          <w:i/>
          <w:iCs/>
          <w:lang w:val="de-DE"/>
        </w:rPr>
        <w:t>Dokument:</w:t>
      </w:r>
      <w:r w:rsidR="006C4782" w:rsidRPr="0024262E">
        <w:rPr>
          <w:lang w:val="de-DE"/>
        </w:rPr>
        <w:t xml:space="preserve"> </w:t>
      </w:r>
      <w:r w:rsidR="006C4782" w:rsidRPr="0024262E">
        <w:rPr>
          <w:lang w:val="de-DE"/>
        </w:rPr>
        <w:tab/>
      </w:r>
      <w:r w:rsidR="006C4782" w:rsidRPr="0024262E">
        <w:rPr>
          <w:lang w:val="de-DE"/>
        </w:rPr>
        <w:tab/>
      </w:r>
      <w:r w:rsidR="006C4782" w:rsidRPr="0024262E">
        <w:rPr>
          <w:lang w:val="de-DE"/>
        </w:rPr>
        <w:tab/>
      </w:r>
      <w:r w:rsidRPr="000720D6">
        <w:rPr>
          <w:lang w:val="de-DE"/>
        </w:rPr>
        <w:t>ECE/TRANS/WP.15/AC.2/2020/14 (EBU, ESO und ERSTU)</w:t>
      </w:r>
    </w:p>
    <w:p w14:paraId="3A99D47D" w14:textId="2D67D8DA" w:rsidR="006C4782" w:rsidRPr="0024262E" w:rsidRDefault="008026F8" w:rsidP="0016382C">
      <w:pPr>
        <w:pStyle w:val="SingleTxtG"/>
        <w:rPr>
          <w:lang w:val="de-DE"/>
        </w:rPr>
      </w:pPr>
      <w:r w:rsidRPr="0024262E">
        <w:rPr>
          <w:lang w:val="de-DE"/>
        </w:rPr>
        <w:t>38</w:t>
      </w:r>
      <w:r w:rsidR="006C4782" w:rsidRPr="0024262E">
        <w:rPr>
          <w:lang w:val="de-DE"/>
        </w:rPr>
        <w:t>.</w:t>
      </w:r>
      <w:r w:rsidR="006C4782" w:rsidRPr="0024262E">
        <w:rPr>
          <w:lang w:val="de-DE"/>
        </w:rPr>
        <w:tab/>
      </w:r>
      <w:r w:rsidR="000720D6" w:rsidRPr="0016382C">
        <w:rPr>
          <w:lang w:val="de-DE"/>
        </w:rPr>
        <w:t>Der Sicherheitsausschuss nahm d</w:t>
      </w:r>
      <w:r w:rsidR="0092108D" w:rsidRPr="0016382C">
        <w:rPr>
          <w:lang w:val="de-DE"/>
        </w:rPr>
        <w:t>i</w:t>
      </w:r>
      <w:r w:rsidR="000720D6" w:rsidRPr="0016382C">
        <w:rPr>
          <w:lang w:val="de-DE"/>
        </w:rPr>
        <w:t>e Änderungsvorschl</w:t>
      </w:r>
      <w:r w:rsidR="0092108D" w:rsidRPr="0016382C">
        <w:rPr>
          <w:lang w:val="de-DE"/>
        </w:rPr>
        <w:t>ä</w:t>
      </w:r>
      <w:r w:rsidR="000720D6" w:rsidRPr="0016382C">
        <w:rPr>
          <w:lang w:val="de-DE"/>
        </w:rPr>
        <w:t>g</w:t>
      </w:r>
      <w:r w:rsidR="0092108D" w:rsidRPr="0016382C">
        <w:rPr>
          <w:lang w:val="de-DE"/>
        </w:rPr>
        <w:t>e</w:t>
      </w:r>
      <w:r w:rsidR="000720D6" w:rsidRPr="0016382C">
        <w:rPr>
          <w:lang w:val="de-DE"/>
        </w:rPr>
        <w:t xml:space="preserve"> zur Anpassung von Absatz 9.3.x.0.5 ADN an (siehe Anlage I).</w:t>
      </w:r>
    </w:p>
    <w:p w14:paraId="3A798EFC" w14:textId="584BB09B" w:rsidR="006C4782" w:rsidRPr="0024262E" w:rsidRDefault="006C4782" w:rsidP="0016382C">
      <w:pPr>
        <w:pStyle w:val="H23G"/>
        <w:rPr>
          <w:lang w:val="de-DE"/>
        </w:rPr>
      </w:pPr>
      <w:r w:rsidRPr="0024262E">
        <w:rPr>
          <w:lang w:val="de-DE"/>
        </w:rPr>
        <w:tab/>
      </w:r>
      <w:bookmarkStart w:id="39" w:name="_Toc32481657"/>
      <w:r w:rsidRPr="0024262E">
        <w:rPr>
          <w:lang w:val="de-DE"/>
        </w:rPr>
        <w:t>6.</w:t>
      </w:r>
      <w:r w:rsidRPr="0024262E">
        <w:rPr>
          <w:lang w:val="de-DE"/>
        </w:rPr>
        <w:tab/>
      </w:r>
      <w:bookmarkEnd w:id="39"/>
      <w:r w:rsidR="0016382C" w:rsidRPr="0016382C">
        <w:rPr>
          <w:lang w:val="de-DE"/>
        </w:rPr>
        <w:t>9.3.3.13.4 ADN</w:t>
      </w:r>
    </w:p>
    <w:p w14:paraId="646F2FA3" w14:textId="646AD75E" w:rsidR="006C4782" w:rsidRPr="0024262E" w:rsidRDefault="0016382C" w:rsidP="0016382C">
      <w:pPr>
        <w:pStyle w:val="SingleTxtG"/>
        <w:keepNext/>
        <w:keepLines/>
        <w:ind w:left="3402" w:hanging="2268"/>
        <w:jc w:val="left"/>
        <w:rPr>
          <w:lang w:val="de-DE"/>
        </w:rPr>
      </w:pPr>
      <w:r w:rsidRPr="0016382C">
        <w:rPr>
          <w:i/>
          <w:iCs/>
          <w:lang w:val="de-DE"/>
        </w:rPr>
        <w:t>Dokument:</w:t>
      </w:r>
      <w:r w:rsidR="006C4782" w:rsidRPr="0024262E">
        <w:rPr>
          <w:lang w:val="de-DE"/>
        </w:rPr>
        <w:t xml:space="preserve"> </w:t>
      </w:r>
      <w:r w:rsidR="006C4782" w:rsidRPr="0024262E">
        <w:rPr>
          <w:lang w:val="de-DE"/>
        </w:rPr>
        <w:tab/>
      </w:r>
      <w:r w:rsidR="006C4782" w:rsidRPr="0024262E">
        <w:rPr>
          <w:lang w:val="de-DE"/>
        </w:rPr>
        <w:tab/>
      </w:r>
      <w:r w:rsidRPr="0016382C">
        <w:rPr>
          <w:lang w:val="de-DE"/>
        </w:rPr>
        <w:t>ECE/TRANS/WP.15/AC.2/2020/16 (Empfohlene ADN-Klassifikationsgesellschaften)</w:t>
      </w:r>
    </w:p>
    <w:p w14:paraId="057D5C18" w14:textId="756F5E32" w:rsidR="006C4782" w:rsidRPr="0024262E" w:rsidRDefault="008026F8" w:rsidP="007347D8">
      <w:pPr>
        <w:pStyle w:val="SingleTxtG"/>
        <w:rPr>
          <w:lang w:val="de-DE"/>
        </w:rPr>
      </w:pPr>
      <w:r w:rsidRPr="0024262E">
        <w:rPr>
          <w:lang w:val="de-DE"/>
        </w:rPr>
        <w:t>39</w:t>
      </w:r>
      <w:r w:rsidR="006C4782" w:rsidRPr="0024262E">
        <w:rPr>
          <w:lang w:val="de-DE"/>
        </w:rPr>
        <w:t>.</w:t>
      </w:r>
      <w:r w:rsidR="006C4782" w:rsidRPr="0024262E">
        <w:rPr>
          <w:lang w:val="de-DE"/>
        </w:rPr>
        <w:tab/>
      </w:r>
      <w:r w:rsidR="00186542" w:rsidRPr="007347D8">
        <w:rPr>
          <w:lang w:val="de-DE"/>
        </w:rPr>
        <w:t xml:space="preserve">Der Sicherheitsausschuss stimmte der vorgeschlagenen Änderung zur Wiedereinführung von Übergangsvorschriften für die Anforderungen an die </w:t>
      </w:r>
      <w:proofErr w:type="spellStart"/>
      <w:r w:rsidR="00186542" w:rsidRPr="007347D8">
        <w:rPr>
          <w:lang w:val="de-DE"/>
        </w:rPr>
        <w:t>Leckstabilität</w:t>
      </w:r>
      <w:proofErr w:type="spellEnd"/>
      <w:r w:rsidR="00186542" w:rsidRPr="007347D8">
        <w:rPr>
          <w:lang w:val="de-DE"/>
        </w:rPr>
        <w:t xml:space="preserve"> nicht zu.</w:t>
      </w:r>
      <w:r w:rsidR="006C4782" w:rsidRPr="0024262E">
        <w:rPr>
          <w:lang w:val="de-DE"/>
        </w:rPr>
        <w:t xml:space="preserve"> </w:t>
      </w:r>
      <w:r w:rsidR="00186542" w:rsidRPr="007347D8">
        <w:rPr>
          <w:lang w:val="de-DE"/>
        </w:rPr>
        <w:t xml:space="preserve">Es wurde vereinbart, </w:t>
      </w:r>
      <w:r w:rsidR="00CF12D9" w:rsidRPr="007347D8">
        <w:rPr>
          <w:lang w:val="de-DE"/>
        </w:rPr>
        <w:t xml:space="preserve">diese Frage in einer weiteren Sitzung auf der Grundlage eines </w:t>
      </w:r>
      <w:r w:rsidR="002E35FE" w:rsidRPr="007347D8">
        <w:rPr>
          <w:lang w:val="de-DE"/>
        </w:rPr>
        <w:t>überarbeiteten</w:t>
      </w:r>
      <w:r w:rsidR="00CF12D9" w:rsidRPr="007347D8">
        <w:rPr>
          <w:lang w:val="de-DE"/>
        </w:rPr>
        <w:t xml:space="preserve"> Vorschlags erneut zu behandeln</w:t>
      </w:r>
      <w:r w:rsidR="00186542" w:rsidRPr="007347D8">
        <w:rPr>
          <w:lang w:val="de-DE"/>
        </w:rPr>
        <w:t>.</w:t>
      </w:r>
    </w:p>
    <w:p w14:paraId="0EDF75BF" w14:textId="2B5B21CA" w:rsidR="00A437E5" w:rsidRPr="0024262E" w:rsidRDefault="00A437E5" w:rsidP="002E35FE">
      <w:pPr>
        <w:pStyle w:val="H23G"/>
        <w:rPr>
          <w:lang w:val="de-DE"/>
        </w:rPr>
      </w:pPr>
      <w:r w:rsidRPr="0024262E">
        <w:rPr>
          <w:lang w:val="de-DE"/>
        </w:rPr>
        <w:tab/>
      </w:r>
      <w:bookmarkStart w:id="40" w:name="_Toc32481658"/>
      <w:r w:rsidRPr="0024262E">
        <w:rPr>
          <w:lang w:val="de-DE"/>
        </w:rPr>
        <w:t>7.</w:t>
      </w:r>
      <w:r w:rsidRPr="0024262E">
        <w:rPr>
          <w:lang w:val="de-DE"/>
        </w:rPr>
        <w:tab/>
      </w:r>
      <w:bookmarkEnd w:id="40"/>
      <w:r w:rsidR="002E35FE" w:rsidRPr="002E35FE">
        <w:rPr>
          <w:lang w:val="de-DE"/>
        </w:rPr>
        <w:t>Änderungen der Muster der Zulassungszeugnisse</w:t>
      </w:r>
    </w:p>
    <w:p w14:paraId="2DB4D669" w14:textId="6F2B3DEC" w:rsidR="00A437E5" w:rsidRPr="0024262E" w:rsidRDefault="002E35FE" w:rsidP="002E35FE">
      <w:pPr>
        <w:pStyle w:val="SingleTxtG"/>
        <w:keepNext/>
        <w:keepLines/>
        <w:ind w:left="3402" w:hanging="2268"/>
        <w:jc w:val="left"/>
        <w:rPr>
          <w:lang w:val="de-DE"/>
        </w:rPr>
      </w:pPr>
      <w:r w:rsidRPr="002E35FE">
        <w:rPr>
          <w:i/>
          <w:iCs/>
          <w:lang w:val="de-DE"/>
        </w:rPr>
        <w:t>Dokument:</w:t>
      </w:r>
      <w:r w:rsidR="00A437E5" w:rsidRPr="0024262E">
        <w:rPr>
          <w:lang w:val="de-DE"/>
        </w:rPr>
        <w:t xml:space="preserve"> </w:t>
      </w:r>
      <w:r w:rsidR="00A437E5" w:rsidRPr="0024262E">
        <w:rPr>
          <w:lang w:val="de-DE"/>
        </w:rPr>
        <w:tab/>
      </w:r>
      <w:r w:rsidR="00A437E5" w:rsidRPr="0024262E">
        <w:rPr>
          <w:lang w:val="de-DE"/>
        </w:rPr>
        <w:tab/>
      </w:r>
      <w:r w:rsidRPr="002E35FE">
        <w:rPr>
          <w:lang w:val="de-DE"/>
        </w:rPr>
        <w:t>ECE/TRANS/WP.15/AC.2/2020/19 (Frankreich)</w:t>
      </w:r>
    </w:p>
    <w:p w14:paraId="0D925290" w14:textId="308A4A69" w:rsidR="00A437E5" w:rsidRPr="0024262E" w:rsidRDefault="002E35FE" w:rsidP="002E35FE">
      <w:pPr>
        <w:pStyle w:val="SingleTxtG"/>
        <w:keepNext/>
        <w:keepLines/>
        <w:ind w:left="3402" w:hanging="2268"/>
        <w:jc w:val="left"/>
        <w:rPr>
          <w:lang w:val="de-DE"/>
        </w:rPr>
      </w:pPr>
      <w:r w:rsidRPr="002E35FE">
        <w:rPr>
          <w:i/>
          <w:iCs/>
          <w:lang w:val="de-DE"/>
        </w:rPr>
        <w:t>Informelles Dokument:</w:t>
      </w:r>
      <w:r w:rsidR="00A437E5" w:rsidRPr="0024262E">
        <w:rPr>
          <w:lang w:val="de-DE"/>
        </w:rPr>
        <w:tab/>
      </w:r>
      <w:r w:rsidRPr="002E35FE">
        <w:rPr>
          <w:lang w:val="de-DE"/>
        </w:rPr>
        <w:t>INF.28 (EBU/ESO)</w:t>
      </w:r>
    </w:p>
    <w:p w14:paraId="41761EAD" w14:textId="7BDD3FF3" w:rsidR="00A437E5" w:rsidRPr="0024262E" w:rsidRDefault="008026F8" w:rsidP="007347D8">
      <w:pPr>
        <w:pStyle w:val="SingleTxtG"/>
        <w:rPr>
          <w:lang w:val="de-DE"/>
        </w:rPr>
      </w:pPr>
      <w:r w:rsidRPr="0024262E">
        <w:rPr>
          <w:lang w:val="de-DE"/>
        </w:rPr>
        <w:t>40</w:t>
      </w:r>
      <w:r w:rsidR="00A437E5" w:rsidRPr="0024262E">
        <w:rPr>
          <w:lang w:val="de-DE"/>
        </w:rPr>
        <w:t>.</w:t>
      </w:r>
      <w:r w:rsidR="00A437E5" w:rsidRPr="0024262E">
        <w:rPr>
          <w:lang w:val="de-DE"/>
        </w:rPr>
        <w:tab/>
      </w:r>
      <w:r w:rsidR="005767CA" w:rsidRPr="007347D8">
        <w:rPr>
          <w:lang w:val="de-DE"/>
        </w:rPr>
        <w:t>Der Sicherheitsausschuss nahm den Vorschlag zur Änderung der Muster der Zulassungs</w:t>
      </w:r>
      <w:r w:rsidR="0053603A" w:rsidRPr="007347D8">
        <w:rPr>
          <w:lang w:val="de-DE"/>
        </w:rPr>
        <w:t>zeugniss</w:t>
      </w:r>
      <w:r w:rsidR="005767CA" w:rsidRPr="007347D8">
        <w:rPr>
          <w:lang w:val="de-DE"/>
        </w:rPr>
        <w:t xml:space="preserve">e an, mit Ausnahme der in Punkt 8 enthaltenen Muster für </w:t>
      </w:r>
      <w:r w:rsidR="00AF1EDD" w:rsidRPr="007347D8">
        <w:rPr>
          <w:lang w:val="de-DE"/>
        </w:rPr>
        <w:t>Bel</w:t>
      </w:r>
      <w:r w:rsidR="005767CA" w:rsidRPr="007347D8">
        <w:rPr>
          <w:lang w:val="de-DE"/>
        </w:rPr>
        <w:t xml:space="preserve">üftungssysteme, die bei einer weiteren Sitzung </w:t>
      </w:r>
      <w:r w:rsidR="00AF1EDD" w:rsidRPr="007347D8">
        <w:rPr>
          <w:lang w:val="de-DE"/>
        </w:rPr>
        <w:t>ge</w:t>
      </w:r>
      <w:r w:rsidR="005767CA" w:rsidRPr="007347D8">
        <w:rPr>
          <w:lang w:val="de-DE"/>
        </w:rPr>
        <w:t>prüft werden sollen (siehe Anlage ...).</w:t>
      </w:r>
      <w:r w:rsidR="00A437E5" w:rsidRPr="0024262E">
        <w:rPr>
          <w:lang w:val="de-DE"/>
        </w:rPr>
        <w:t xml:space="preserve"> </w:t>
      </w:r>
      <w:r w:rsidR="00AF1EDD" w:rsidRPr="007347D8">
        <w:rPr>
          <w:lang w:val="de-DE"/>
        </w:rPr>
        <w:t xml:space="preserve">Ferner wurde beschlossen, die Prüfung des Vorschlags im informellen Dokument INF.28 auf eine </w:t>
      </w:r>
      <w:r w:rsidR="007347D8" w:rsidRPr="007347D8">
        <w:rPr>
          <w:lang w:val="de-DE"/>
        </w:rPr>
        <w:t>spätere</w:t>
      </w:r>
      <w:r w:rsidR="00AF1EDD" w:rsidRPr="007347D8">
        <w:rPr>
          <w:lang w:val="de-DE"/>
        </w:rPr>
        <w:t xml:space="preserve"> Sitzung zu verschieben.</w:t>
      </w:r>
      <w:r w:rsidR="00627D4A" w:rsidRPr="0024262E">
        <w:rPr>
          <w:lang w:val="de-DE"/>
        </w:rPr>
        <w:t xml:space="preserve"> </w:t>
      </w:r>
      <w:r w:rsidR="00AF1EDD" w:rsidRPr="007347D8">
        <w:rPr>
          <w:lang w:val="de-DE"/>
        </w:rPr>
        <w:t xml:space="preserve">Der Vertreter Deutschlands bot an, den Vorschlag </w:t>
      </w:r>
      <w:r w:rsidR="007347D8" w:rsidRPr="007347D8">
        <w:rPr>
          <w:lang w:val="de-DE"/>
        </w:rPr>
        <w:t>mit Blick auf die</w:t>
      </w:r>
      <w:r w:rsidR="00AF1EDD" w:rsidRPr="007347D8">
        <w:rPr>
          <w:lang w:val="de-DE"/>
        </w:rPr>
        <w:t xml:space="preserve"> nächste Sitzung zu </w:t>
      </w:r>
      <w:r w:rsidR="007347D8" w:rsidRPr="007347D8">
        <w:rPr>
          <w:lang w:val="de-DE"/>
        </w:rPr>
        <w:t>über</w:t>
      </w:r>
      <w:r w:rsidR="00AF1EDD" w:rsidRPr="007347D8">
        <w:rPr>
          <w:lang w:val="de-DE"/>
        </w:rPr>
        <w:t>prüfen.</w:t>
      </w:r>
    </w:p>
    <w:p w14:paraId="6B83ADCF" w14:textId="786A677D" w:rsidR="00A437E5" w:rsidRPr="0024262E" w:rsidRDefault="00A437E5" w:rsidP="007347D8">
      <w:pPr>
        <w:pStyle w:val="H23G"/>
        <w:rPr>
          <w:lang w:val="de-DE"/>
        </w:rPr>
      </w:pPr>
      <w:r w:rsidRPr="0024262E">
        <w:rPr>
          <w:lang w:val="de-DE"/>
        </w:rPr>
        <w:lastRenderedPageBreak/>
        <w:tab/>
      </w:r>
      <w:bookmarkStart w:id="41" w:name="_Toc32481659"/>
      <w:r w:rsidRPr="0024262E">
        <w:rPr>
          <w:lang w:val="de-DE"/>
        </w:rPr>
        <w:t>8.</w:t>
      </w:r>
      <w:r w:rsidRPr="0024262E">
        <w:rPr>
          <w:lang w:val="de-DE"/>
        </w:rPr>
        <w:tab/>
      </w:r>
      <w:bookmarkEnd w:id="41"/>
      <w:r w:rsidR="00AF1EDD" w:rsidRPr="007347D8">
        <w:rPr>
          <w:lang w:val="de-DE"/>
        </w:rPr>
        <w:t xml:space="preserve">1.8.1.2.1 ADN </w:t>
      </w:r>
      <w:r w:rsidR="007347D8">
        <w:rPr>
          <w:lang w:val="de-DE"/>
        </w:rPr>
        <w:t>–</w:t>
      </w:r>
      <w:r w:rsidR="00AF1EDD" w:rsidRPr="007347D8">
        <w:rPr>
          <w:lang w:val="de-DE"/>
        </w:rPr>
        <w:t xml:space="preserve"> Standardisierte Schiffskontrolllisten</w:t>
      </w:r>
    </w:p>
    <w:p w14:paraId="35AFCBAC" w14:textId="29ED475E" w:rsidR="00A437E5" w:rsidRPr="0024262E" w:rsidRDefault="00AF1EDD" w:rsidP="00AF1EDD">
      <w:pPr>
        <w:pStyle w:val="SingleTxtG"/>
        <w:keepNext/>
        <w:keepLines/>
        <w:ind w:left="3402" w:hanging="2268"/>
        <w:jc w:val="left"/>
        <w:rPr>
          <w:lang w:val="de-DE"/>
        </w:rPr>
      </w:pPr>
      <w:r w:rsidRPr="00AF1EDD">
        <w:rPr>
          <w:i/>
          <w:iCs/>
          <w:lang w:val="de-DE"/>
        </w:rPr>
        <w:t>Dokument:</w:t>
      </w:r>
      <w:r w:rsidR="00A437E5" w:rsidRPr="0024262E">
        <w:rPr>
          <w:lang w:val="de-DE"/>
        </w:rPr>
        <w:t xml:space="preserve"> </w:t>
      </w:r>
      <w:r w:rsidR="00A437E5" w:rsidRPr="0024262E">
        <w:rPr>
          <w:lang w:val="de-DE"/>
        </w:rPr>
        <w:tab/>
      </w:r>
      <w:r w:rsidR="00A437E5" w:rsidRPr="0024262E">
        <w:rPr>
          <w:lang w:val="de-DE"/>
        </w:rPr>
        <w:tab/>
      </w:r>
      <w:r w:rsidRPr="00AF1EDD">
        <w:rPr>
          <w:lang w:val="de-DE"/>
        </w:rPr>
        <w:t>ECE/TRANS/WP.15/AC.2/2020/20 (Deutschland, Frankreich, Österreich)</w:t>
      </w:r>
    </w:p>
    <w:p w14:paraId="3425477F" w14:textId="65BC76DE" w:rsidR="00A437E5" w:rsidRPr="0024262E" w:rsidRDefault="008026F8" w:rsidP="008728A1">
      <w:pPr>
        <w:pStyle w:val="SingleTxtG"/>
        <w:rPr>
          <w:lang w:val="de-DE"/>
        </w:rPr>
      </w:pPr>
      <w:r w:rsidRPr="0024262E">
        <w:rPr>
          <w:lang w:val="de-DE"/>
        </w:rPr>
        <w:t>41</w:t>
      </w:r>
      <w:r w:rsidR="00A437E5" w:rsidRPr="0024262E">
        <w:rPr>
          <w:lang w:val="de-DE"/>
        </w:rPr>
        <w:t>.</w:t>
      </w:r>
      <w:r w:rsidR="00A437E5" w:rsidRPr="0024262E">
        <w:rPr>
          <w:lang w:val="de-DE"/>
        </w:rPr>
        <w:tab/>
      </w:r>
      <w:r w:rsidR="00AF1EDD" w:rsidRPr="008728A1">
        <w:rPr>
          <w:lang w:val="de-DE"/>
        </w:rPr>
        <w:t>Der Sicherheitsausschuss nahm den Vorschlag zur Aktualisierung der standardisierten Schiffskontrolllisten gemäß Absatz 1.8.1.2.1 in der geänderten Fassung an, um sie mit den am 1. Januar 2019 geltenden ADN-Anforderungen in Einklang zu bringen (siehe An</w:t>
      </w:r>
      <w:r w:rsidR="001E24B8" w:rsidRPr="008728A1">
        <w:rPr>
          <w:lang w:val="de-DE"/>
        </w:rPr>
        <w:t>l</w:t>
      </w:r>
      <w:r w:rsidR="00AF1EDD" w:rsidRPr="008728A1">
        <w:rPr>
          <w:lang w:val="de-DE"/>
        </w:rPr>
        <w:t>ag</w:t>
      </w:r>
      <w:r w:rsidR="001E24B8" w:rsidRPr="008728A1">
        <w:rPr>
          <w:lang w:val="de-DE"/>
        </w:rPr>
        <w:t>e</w:t>
      </w:r>
      <w:r w:rsidR="00AF1EDD" w:rsidRPr="008728A1">
        <w:rPr>
          <w:lang w:val="de-DE"/>
        </w:rPr>
        <w:t xml:space="preserve"> II).</w:t>
      </w:r>
    </w:p>
    <w:p w14:paraId="1534ADF4" w14:textId="38895913" w:rsidR="00A437E5" w:rsidRPr="0024262E" w:rsidRDefault="00A437E5" w:rsidP="00AF1EDD">
      <w:pPr>
        <w:pStyle w:val="H23G"/>
        <w:rPr>
          <w:lang w:val="de-DE"/>
        </w:rPr>
      </w:pPr>
      <w:r w:rsidRPr="0024262E">
        <w:rPr>
          <w:lang w:val="de-DE"/>
        </w:rPr>
        <w:tab/>
      </w:r>
      <w:bookmarkStart w:id="42" w:name="_Toc32481660"/>
      <w:r w:rsidRPr="0024262E">
        <w:rPr>
          <w:lang w:val="de-DE"/>
        </w:rPr>
        <w:t>9.</w:t>
      </w:r>
      <w:r w:rsidRPr="0024262E">
        <w:rPr>
          <w:lang w:val="de-DE"/>
        </w:rPr>
        <w:tab/>
      </w:r>
      <w:bookmarkEnd w:id="42"/>
      <w:r w:rsidR="00AF1EDD" w:rsidRPr="00AF1EDD">
        <w:rPr>
          <w:lang w:val="de-DE"/>
        </w:rPr>
        <w:t>Schlauchleitungen für LNG</w:t>
      </w:r>
    </w:p>
    <w:p w14:paraId="210222D0" w14:textId="0343AC9D" w:rsidR="00A437E5" w:rsidRPr="0024262E" w:rsidRDefault="00AF1EDD" w:rsidP="00AF1EDD">
      <w:pPr>
        <w:pStyle w:val="SingleTxtG"/>
        <w:keepNext/>
        <w:keepLines/>
        <w:ind w:left="3402" w:hanging="2268"/>
        <w:jc w:val="left"/>
        <w:rPr>
          <w:lang w:val="de-DE"/>
        </w:rPr>
      </w:pPr>
      <w:r w:rsidRPr="00AF1EDD">
        <w:rPr>
          <w:i/>
          <w:iCs/>
          <w:lang w:val="de-DE"/>
        </w:rPr>
        <w:t>Dokument:</w:t>
      </w:r>
      <w:r w:rsidR="00A437E5" w:rsidRPr="0024262E">
        <w:rPr>
          <w:lang w:val="de-DE"/>
        </w:rPr>
        <w:t xml:space="preserve"> </w:t>
      </w:r>
      <w:r w:rsidR="00A437E5" w:rsidRPr="0024262E">
        <w:rPr>
          <w:lang w:val="de-DE"/>
        </w:rPr>
        <w:tab/>
      </w:r>
      <w:r w:rsidR="00A437E5" w:rsidRPr="0024262E">
        <w:rPr>
          <w:lang w:val="de-DE"/>
        </w:rPr>
        <w:tab/>
      </w:r>
      <w:r w:rsidRPr="00AF1EDD">
        <w:rPr>
          <w:lang w:val="de-DE"/>
        </w:rPr>
        <w:t>ECE/TRANS/WP.15/AC.2/2020/21 (Niederlande)</w:t>
      </w:r>
    </w:p>
    <w:p w14:paraId="69FE4FBD" w14:textId="79359E6B" w:rsidR="00A437E5" w:rsidRPr="0024262E" w:rsidRDefault="008026F8" w:rsidP="00807FEA">
      <w:pPr>
        <w:pStyle w:val="SingleTxtG"/>
        <w:rPr>
          <w:lang w:val="de-DE"/>
        </w:rPr>
      </w:pPr>
      <w:r w:rsidRPr="0024262E">
        <w:rPr>
          <w:lang w:val="de-DE"/>
        </w:rPr>
        <w:t>42</w:t>
      </w:r>
      <w:r w:rsidR="00A437E5" w:rsidRPr="0024262E">
        <w:rPr>
          <w:lang w:val="de-DE"/>
        </w:rPr>
        <w:t>.</w:t>
      </w:r>
      <w:r w:rsidR="00A437E5" w:rsidRPr="0024262E">
        <w:rPr>
          <w:lang w:val="de-DE"/>
        </w:rPr>
        <w:tab/>
      </w:r>
      <w:r w:rsidR="001E24B8" w:rsidRPr="00807FEA">
        <w:rPr>
          <w:lang w:val="de-DE"/>
        </w:rPr>
        <w:t xml:space="preserve">Der Sicherheitsausschuss nahm die Änderungsvorschläge zur Klarstellung der Anforderungen </w:t>
      </w:r>
      <w:r w:rsidR="0020109F" w:rsidRPr="00807FEA">
        <w:rPr>
          <w:lang w:val="de-DE"/>
        </w:rPr>
        <w:t xml:space="preserve">in Kapitel 8.1 </w:t>
      </w:r>
      <w:r w:rsidR="001E24B8" w:rsidRPr="00807FEA">
        <w:rPr>
          <w:lang w:val="de-DE"/>
        </w:rPr>
        <w:t xml:space="preserve">an </w:t>
      </w:r>
      <w:r w:rsidR="0020109F" w:rsidRPr="00807FEA">
        <w:rPr>
          <w:lang w:val="de-DE"/>
        </w:rPr>
        <w:t>Schlauchleitungen</w:t>
      </w:r>
      <w:r w:rsidR="0020109F">
        <w:rPr>
          <w:lang w:val="de-DE"/>
        </w:rPr>
        <w:t>,</w:t>
      </w:r>
      <w:r w:rsidR="0020109F" w:rsidRPr="00807FEA">
        <w:rPr>
          <w:lang w:val="de-DE"/>
        </w:rPr>
        <w:t xml:space="preserve"> </w:t>
      </w:r>
      <w:r w:rsidR="001E24B8" w:rsidRPr="00807FEA">
        <w:rPr>
          <w:lang w:val="de-DE"/>
        </w:rPr>
        <w:t>die beim Laden, Löschen und Bunkern von LNG verwendete</w:t>
      </w:r>
      <w:r w:rsidR="0020109F">
        <w:rPr>
          <w:lang w:val="de-DE"/>
        </w:rPr>
        <w:t>t werde</w:t>
      </w:r>
      <w:r w:rsidR="001E24B8" w:rsidRPr="00807FEA">
        <w:rPr>
          <w:lang w:val="de-DE"/>
        </w:rPr>
        <w:t>n</w:t>
      </w:r>
      <w:r w:rsidR="0020109F">
        <w:rPr>
          <w:lang w:val="de-DE"/>
        </w:rPr>
        <w:t>,</w:t>
      </w:r>
      <w:r w:rsidR="001E24B8" w:rsidRPr="00807FEA">
        <w:rPr>
          <w:lang w:val="de-DE"/>
        </w:rPr>
        <w:t xml:space="preserve"> an (siehe Anlage I).</w:t>
      </w:r>
    </w:p>
    <w:p w14:paraId="5C45FF1E" w14:textId="23965148" w:rsidR="00A437E5" w:rsidRPr="0024262E" w:rsidRDefault="00A437E5" w:rsidP="00807FEA">
      <w:pPr>
        <w:pStyle w:val="H23G"/>
        <w:rPr>
          <w:lang w:val="de-DE"/>
        </w:rPr>
      </w:pPr>
      <w:r w:rsidRPr="0024262E">
        <w:rPr>
          <w:lang w:val="de-DE"/>
        </w:rPr>
        <w:tab/>
      </w:r>
      <w:bookmarkStart w:id="43" w:name="_Toc32481661"/>
      <w:r w:rsidRPr="0024262E">
        <w:rPr>
          <w:lang w:val="de-DE"/>
        </w:rPr>
        <w:t>10.</w:t>
      </w:r>
      <w:r w:rsidRPr="0024262E">
        <w:rPr>
          <w:lang w:val="de-DE"/>
        </w:rPr>
        <w:tab/>
      </w:r>
      <w:bookmarkEnd w:id="43"/>
      <w:r w:rsidR="00807FEA" w:rsidRPr="00807FEA">
        <w:rPr>
          <w:lang w:val="de-DE"/>
        </w:rPr>
        <w:t>Änderungsvorschlag zu UN-Nr. 2057 (</w:t>
      </w:r>
      <w:proofErr w:type="spellStart"/>
      <w:r w:rsidR="00807FEA" w:rsidRPr="00807FEA">
        <w:rPr>
          <w:lang w:val="de-DE"/>
        </w:rPr>
        <w:t>Tripropylen</w:t>
      </w:r>
      <w:proofErr w:type="spellEnd"/>
      <w:r w:rsidR="00807FEA" w:rsidRPr="00807FEA">
        <w:rPr>
          <w:lang w:val="de-DE"/>
        </w:rPr>
        <w:t>) in Tabelle C</w:t>
      </w:r>
    </w:p>
    <w:p w14:paraId="04590C9A" w14:textId="7B3C6FF6" w:rsidR="00A437E5" w:rsidRPr="0024262E" w:rsidRDefault="00807FEA" w:rsidP="00807FEA">
      <w:pPr>
        <w:pStyle w:val="SingleTxtG"/>
        <w:keepNext/>
        <w:keepLines/>
        <w:ind w:left="3402" w:hanging="2268"/>
        <w:jc w:val="left"/>
        <w:rPr>
          <w:lang w:val="de-DE"/>
        </w:rPr>
      </w:pPr>
      <w:r w:rsidRPr="00807FEA">
        <w:rPr>
          <w:i/>
          <w:iCs/>
          <w:lang w:val="de-DE"/>
        </w:rPr>
        <w:t>Dokument:</w:t>
      </w:r>
      <w:r w:rsidR="00A437E5" w:rsidRPr="0024262E">
        <w:rPr>
          <w:lang w:val="de-DE"/>
        </w:rPr>
        <w:t xml:space="preserve"> </w:t>
      </w:r>
      <w:r w:rsidR="00A437E5" w:rsidRPr="0024262E">
        <w:rPr>
          <w:lang w:val="de-DE"/>
        </w:rPr>
        <w:tab/>
      </w:r>
      <w:r w:rsidR="00A437E5" w:rsidRPr="0024262E">
        <w:rPr>
          <w:lang w:val="de-DE"/>
        </w:rPr>
        <w:tab/>
      </w:r>
      <w:r w:rsidRPr="00807FEA">
        <w:rPr>
          <w:lang w:val="de-DE"/>
        </w:rPr>
        <w:t>ECE/TRANS/WP.15/AC.2/2019/27 (CEFIC)</w:t>
      </w:r>
    </w:p>
    <w:p w14:paraId="6745163B" w14:textId="71231E2E" w:rsidR="00A437E5" w:rsidRPr="0024262E" w:rsidRDefault="00807FEA" w:rsidP="00807FEA">
      <w:pPr>
        <w:pStyle w:val="SingleTxtG"/>
        <w:keepNext/>
        <w:keepLines/>
        <w:ind w:left="3402" w:hanging="2268"/>
        <w:jc w:val="left"/>
        <w:rPr>
          <w:lang w:val="de-DE"/>
        </w:rPr>
      </w:pPr>
      <w:r w:rsidRPr="00807FEA">
        <w:rPr>
          <w:i/>
          <w:iCs/>
          <w:lang w:val="de-DE"/>
        </w:rPr>
        <w:t>Informelles Dokument:</w:t>
      </w:r>
      <w:r w:rsidR="00A437E5" w:rsidRPr="0024262E">
        <w:rPr>
          <w:lang w:val="de-DE"/>
        </w:rPr>
        <w:tab/>
      </w:r>
      <w:r w:rsidRPr="00807FEA">
        <w:rPr>
          <w:lang w:val="de-DE"/>
        </w:rPr>
        <w:t>INF.37 (CEFIC) der 35. Sitzung</w:t>
      </w:r>
    </w:p>
    <w:p w14:paraId="6072CEAA" w14:textId="33E5B0C5" w:rsidR="00A437E5" w:rsidRPr="0024262E" w:rsidRDefault="008026F8" w:rsidP="0020109F">
      <w:pPr>
        <w:pStyle w:val="SingleTxtG"/>
        <w:rPr>
          <w:lang w:val="de-DE"/>
        </w:rPr>
      </w:pPr>
      <w:r w:rsidRPr="0024262E">
        <w:rPr>
          <w:lang w:val="de-DE"/>
        </w:rPr>
        <w:t>43</w:t>
      </w:r>
      <w:r w:rsidR="00A437E5" w:rsidRPr="0024262E">
        <w:rPr>
          <w:lang w:val="de-DE"/>
        </w:rPr>
        <w:t>.</w:t>
      </w:r>
      <w:r w:rsidR="00A437E5" w:rsidRPr="0024262E">
        <w:rPr>
          <w:lang w:val="de-DE"/>
        </w:rPr>
        <w:tab/>
      </w:r>
      <w:r w:rsidR="00807FEA" w:rsidRPr="0020109F">
        <w:rPr>
          <w:lang w:val="de-DE"/>
        </w:rPr>
        <w:t xml:space="preserve">Der Sicherheitsausschuss nahm die vorgeschlagenen Änderungen unter Hinweis auf seine Diskussion auf der vorangegangenen Sitzung </w:t>
      </w:r>
      <w:r w:rsidR="006304D7" w:rsidRPr="0020109F">
        <w:rPr>
          <w:lang w:val="de-DE"/>
        </w:rPr>
        <w:t>über die</w:t>
      </w:r>
      <w:r w:rsidR="00807FEA" w:rsidRPr="0020109F">
        <w:rPr>
          <w:lang w:val="de-DE"/>
        </w:rPr>
        <w:t xml:space="preserve"> Änderung von UN-Nr. 2057 in Tabelle C an (siehe Anlage I).</w:t>
      </w:r>
    </w:p>
    <w:p w14:paraId="2F6F4BEA" w14:textId="1F05AA21" w:rsidR="00A437E5" w:rsidRPr="0024262E" w:rsidRDefault="00A437E5" w:rsidP="006304D7">
      <w:pPr>
        <w:pStyle w:val="H23G"/>
        <w:rPr>
          <w:lang w:val="de-DE"/>
        </w:rPr>
      </w:pPr>
      <w:r w:rsidRPr="0024262E">
        <w:rPr>
          <w:lang w:val="de-DE"/>
        </w:rPr>
        <w:tab/>
      </w:r>
      <w:bookmarkStart w:id="44" w:name="_Toc32481662"/>
      <w:r w:rsidRPr="0024262E">
        <w:rPr>
          <w:lang w:val="de-DE"/>
        </w:rPr>
        <w:t>11.</w:t>
      </w:r>
      <w:r w:rsidRPr="0024262E">
        <w:rPr>
          <w:lang w:val="de-DE"/>
        </w:rPr>
        <w:tab/>
      </w:r>
      <w:bookmarkEnd w:id="44"/>
      <w:r w:rsidR="006304D7" w:rsidRPr="006304D7">
        <w:rPr>
          <w:lang w:val="de-DE"/>
        </w:rPr>
        <w:t>Vorschlag des Sekretariats der Donaukommission zum ADN 2019</w:t>
      </w:r>
    </w:p>
    <w:p w14:paraId="5BC02905" w14:textId="252D0017" w:rsidR="00A437E5" w:rsidRPr="0024262E" w:rsidRDefault="006304D7" w:rsidP="006304D7">
      <w:pPr>
        <w:pStyle w:val="SingleTxtG"/>
        <w:keepNext/>
        <w:keepLines/>
        <w:ind w:left="3402" w:hanging="2268"/>
        <w:jc w:val="left"/>
        <w:rPr>
          <w:lang w:val="de-DE"/>
        </w:rPr>
      </w:pPr>
      <w:r w:rsidRPr="006304D7">
        <w:rPr>
          <w:i/>
          <w:iCs/>
          <w:lang w:val="de-DE"/>
        </w:rPr>
        <w:t>Informelles Dokument:</w:t>
      </w:r>
      <w:r w:rsidR="00A437E5" w:rsidRPr="0024262E">
        <w:rPr>
          <w:lang w:val="de-DE"/>
        </w:rPr>
        <w:tab/>
      </w:r>
      <w:r w:rsidRPr="006304D7">
        <w:rPr>
          <w:lang w:val="de-DE"/>
        </w:rPr>
        <w:t>INF.3 (Donaukommission)</w:t>
      </w:r>
    </w:p>
    <w:p w14:paraId="75F29CEC" w14:textId="0EAC674C" w:rsidR="00A437E5" w:rsidRPr="0024262E" w:rsidRDefault="008026F8" w:rsidP="008728A1">
      <w:pPr>
        <w:pStyle w:val="SingleTxtG"/>
        <w:rPr>
          <w:lang w:val="de-DE"/>
        </w:rPr>
      </w:pPr>
      <w:r w:rsidRPr="0024262E">
        <w:rPr>
          <w:lang w:val="de-DE"/>
        </w:rPr>
        <w:t>44</w:t>
      </w:r>
      <w:r w:rsidR="00A437E5" w:rsidRPr="0024262E">
        <w:rPr>
          <w:lang w:val="de-DE"/>
        </w:rPr>
        <w:t>.</w:t>
      </w:r>
      <w:r w:rsidR="00A437E5" w:rsidRPr="0024262E">
        <w:rPr>
          <w:lang w:val="de-DE"/>
        </w:rPr>
        <w:tab/>
      </w:r>
      <w:r w:rsidR="006304D7" w:rsidRPr="008728A1">
        <w:rPr>
          <w:lang w:val="de-DE"/>
        </w:rPr>
        <w:t>Der Sicherheitsausschuss stimmte dem Vorschlag zur Änderung von Kapitel 3.2 ADN nicht zu und vereinbarte, diese Frage in einer weiteren Sitzung auf der Grundlage eines offiziellen Dokuments erneut zu prüfen.</w:t>
      </w:r>
    </w:p>
    <w:p w14:paraId="777B1074" w14:textId="76EFBAF4" w:rsidR="00A437E5" w:rsidRPr="0024262E" w:rsidRDefault="00A437E5" w:rsidP="006304D7">
      <w:pPr>
        <w:pStyle w:val="H23G"/>
        <w:rPr>
          <w:lang w:val="de-DE"/>
        </w:rPr>
      </w:pPr>
      <w:r w:rsidRPr="0024262E">
        <w:rPr>
          <w:lang w:val="de-DE"/>
        </w:rPr>
        <w:tab/>
      </w:r>
      <w:bookmarkStart w:id="45" w:name="_Toc32481663"/>
      <w:r w:rsidRPr="0024262E">
        <w:rPr>
          <w:lang w:val="de-DE"/>
        </w:rPr>
        <w:t>12.</w:t>
      </w:r>
      <w:r w:rsidRPr="0024262E">
        <w:rPr>
          <w:lang w:val="de-DE"/>
        </w:rPr>
        <w:tab/>
      </w:r>
      <w:bookmarkEnd w:id="45"/>
      <w:r w:rsidR="006304D7" w:rsidRPr="006304D7">
        <w:rPr>
          <w:lang w:val="de-DE"/>
        </w:rPr>
        <w:t xml:space="preserve">Entgasen – Verwendung des alten Begriffs der </w:t>
      </w:r>
      <w:r w:rsidR="006304D7" w:rsidRPr="0020109F">
        <w:rPr>
          <w:lang w:val="de-DE"/>
        </w:rPr>
        <w:t>Gasfreiheit</w:t>
      </w:r>
    </w:p>
    <w:p w14:paraId="473322C2" w14:textId="5D4058CE" w:rsidR="00A437E5" w:rsidRPr="0024262E" w:rsidRDefault="006304D7" w:rsidP="006304D7">
      <w:pPr>
        <w:pStyle w:val="SingleTxtG"/>
        <w:keepNext/>
        <w:keepLines/>
        <w:ind w:left="3402" w:hanging="2268"/>
        <w:jc w:val="left"/>
        <w:rPr>
          <w:lang w:val="de-DE"/>
        </w:rPr>
      </w:pPr>
      <w:r w:rsidRPr="006304D7">
        <w:rPr>
          <w:i/>
          <w:iCs/>
          <w:lang w:val="de-DE"/>
        </w:rPr>
        <w:t>Informelles Dokument:</w:t>
      </w:r>
      <w:r w:rsidR="00A437E5" w:rsidRPr="0024262E">
        <w:rPr>
          <w:lang w:val="de-DE"/>
        </w:rPr>
        <w:tab/>
      </w:r>
      <w:r w:rsidRPr="006304D7">
        <w:rPr>
          <w:lang w:val="de-DE"/>
        </w:rPr>
        <w:t>INF.6 (Niederlande)</w:t>
      </w:r>
    </w:p>
    <w:p w14:paraId="7F1BE3D9" w14:textId="662745C0" w:rsidR="00A437E5" w:rsidRPr="0024262E" w:rsidRDefault="008026F8" w:rsidP="00C13C89">
      <w:pPr>
        <w:pStyle w:val="SingleTxtG"/>
        <w:rPr>
          <w:lang w:val="de-DE"/>
        </w:rPr>
      </w:pPr>
      <w:r w:rsidRPr="0024262E">
        <w:rPr>
          <w:lang w:val="de-DE"/>
        </w:rPr>
        <w:t>45</w:t>
      </w:r>
      <w:r w:rsidR="00A437E5" w:rsidRPr="0024262E">
        <w:rPr>
          <w:lang w:val="de-DE"/>
        </w:rPr>
        <w:t>.</w:t>
      </w:r>
      <w:r w:rsidR="00A437E5" w:rsidRPr="0024262E">
        <w:rPr>
          <w:lang w:val="de-DE"/>
        </w:rPr>
        <w:tab/>
      </w:r>
      <w:r w:rsidR="00C13C89" w:rsidRPr="00C13C89">
        <w:rPr>
          <w:lang w:val="de-DE"/>
        </w:rPr>
        <w:t xml:space="preserve">Aufgrund </w:t>
      </w:r>
      <w:r w:rsidR="0061756A" w:rsidRPr="00C13C89">
        <w:rPr>
          <w:lang w:val="de-DE"/>
        </w:rPr>
        <w:t xml:space="preserve">einer zuvor beschlossenen Änderung der englischen Fassung des ADN, die die Verwendung der Begriffe </w:t>
      </w:r>
      <w:r w:rsidR="00C13C89" w:rsidRPr="00C13C89">
        <w:rPr>
          <w:lang w:val="de-DE"/>
        </w:rPr>
        <w:t>„</w:t>
      </w:r>
      <w:proofErr w:type="spellStart"/>
      <w:r w:rsidR="00C13C89" w:rsidRPr="00C13C89">
        <w:rPr>
          <w:lang w:val="de-DE"/>
        </w:rPr>
        <w:t>degassing</w:t>
      </w:r>
      <w:proofErr w:type="spellEnd"/>
      <w:r w:rsidR="00C13C89" w:rsidRPr="00C13C89">
        <w:rPr>
          <w:lang w:val="de-DE"/>
        </w:rPr>
        <w:t>/</w:t>
      </w:r>
      <w:proofErr w:type="spellStart"/>
      <w:r w:rsidR="00C13C89" w:rsidRPr="00C13C89">
        <w:rPr>
          <w:lang w:val="de-DE"/>
        </w:rPr>
        <w:t>degassed</w:t>
      </w:r>
      <w:proofErr w:type="spellEnd"/>
      <w:r w:rsidR="00C13C89" w:rsidRPr="00C13C89">
        <w:rPr>
          <w:lang w:val="de-DE"/>
        </w:rPr>
        <w:t>“</w:t>
      </w:r>
      <w:r w:rsidR="0061756A" w:rsidRPr="00C13C89">
        <w:rPr>
          <w:lang w:val="de-DE"/>
        </w:rPr>
        <w:t xml:space="preserve"> anstelle von </w:t>
      </w:r>
      <w:r w:rsidR="00C13C89" w:rsidRPr="00C13C89">
        <w:rPr>
          <w:lang w:val="de-DE"/>
        </w:rPr>
        <w:t>„gas-</w:t>
      </w:r>
      <w:proofErr w:type="spellStart"/>
      <w:r w:rsidR="00C13C89" w:rsidRPr="00C13C89">
        <w:rPr>
          <w:lang w:val="de-DE"/>
        </w:rPr>
        <w:t>freeing</w:t>
      </w:r>
      <w:proofErr w:type="spellEnd"/>
      <w:r w:rsidR="00C13C89" w:rsidRPr="00C13C89">
        <w:rPr>
          <w:lang w:val="de-DE"/>
        </w:rPr>
        <w:t>/gas-</w:t>
      </w:r>
      <w:proofErr w:type="spellStart"/>
      <w:r w:rsidR="00C13C89" w:rsidRPr="00C13C89">
        <w:rPr>
          <w:lang w:val="de-DE"/>
        </w:rPr>
        <w:t>freed</w:t>
      </w:r>
      <w:proofErr w:type="spellEnd"/>
      <w:r w:rsidR="00C13C89" w:rsidRPr="00C13C89">
        <w:rPr>
          <w:lang w:val="de-DE"/>
        </w:rPr>
        <w:t>“</w:t>
      </w:r>
      <w:r w:rsidR="0061756A" w:rsidRPr="00C13C89">
        <w:rPr>
          <w:lang w:val="de-DE"/>
        </w:rPr>
        <w:t xml:space="preserve"> vorsieht, nahm der Sicherheitsausschuss die im informellen Dokument INF.6 vorgeschlagenen Korrekturen an (siehe Anlage III).</w:t>
      </w:r>
    </w:p>
    <w:p w14:paraId="29E850E0" w14:textId="5E68A18D" w:rsidR="00624F9D" w:rsidRPr="0024262E" w:rsidRDefault="00624F9D" w:rsidP="00C13C89">
      <w:pPr>
        <w:pStyle w:val="H23G"/>
        <w:rPr>
          <w:lang w:val="de-DE"/>
        </w:rPr>
      </w:pPr>
      <w:r w:rsidRPr="0024262E">
        <w:rPr>
          <w:lang w:val="de-DE"/>
        </w:rPr>
        <w:tab/>
      </w:r>
      <w:bookmarkStart w:id="46" w:name="_Toc32481664"/>
      <w:r w:rsidRPr="0024262E">
        <w:rPr>
          <w:lang w:val="de-DE"/>
        </w:rPr>
        <w:t>13.</w:t>
      </w:r>
      <w:r w:rsidRPr="0024262E">
        <w:rPr>
          <w:lang w:val="de-DE"/>
        </w:rPr>
        <w:tab/>
      </w:r>
      <w:bookmarkEnd w:id="46"/>
      <w:r w:rsidR="00C13C89" w:rsidRPr="00C13C89">
        <w:rPr>
          <w:lang w:val="de-DE"/>
        </w:rPr>
        <w:t>Harmonisierung der Explosionsgruppen zwischen dem IBC-Code und dem ADN</w:t>
      </w:r>
    </w:p>
    <w:p w14:paraId="5073737F" w14:textId="560CB41A" w:rsidR="00624F9D" w:rsidRPr="0024262E" w:rsidRDefault="00C13C89" w:rsidP="00C13C89">
      <w:pPr>
        <w:pStyle w:val="SingleTxtG"/>
        <w:keepNext/>
        <w:keepLines/>
        <w:ind w:left="3402" w:hanging="2268"/>
        <w:jc w:val="left"/>
        <w:rPr>
          <w:lang w:val="de-DE"/>
        </w:rPr>
      </w:pPr>
      <w:r w:rsidRPr="00C13C89">
        <w:rPr>
          <w:i/>
          <w:iCs/>
          <w:lang w:val="de-DE"/>
        </w:rPr>
        <w:t>Informelles Dokument:</w:t>
      </w:r>
      <w:r w:rsidR="00624F9D" w:rsidRPr="0024262E">
        <w:rPr>
          <w:lang w:val="de-DE"/>
        </w:rPr>
        <w:tab/>
        <w:t>INF.21 (CEFIC)</w:t>
      </w:r>
    </w:p>
    <w:p w14:paraId="7822ABF8" w14:textId="31DE354E" w:rsidR="00624F9D" w:rsidRPr="0024262E" w:rsidRDefault="008026F8" w:rsidP="0088163C">
      <w:pPr>
        <w:pStyle w:val="SingleTxtG"/>
        <w:rPr>
          <w:lang w:val="de-DE"/>
        </w:rPr>
      </w:pPr>
      <w:r w:rsidRPr="0024262E">
        <w:rPr>
          <w:lang w:val="de-DE"/>
        </w:rPr>
        <w:t>46</w:t>
      </w:r>
      <w:r w:rsidR="00624F9D" w:rsidRPr="0024262E">
        <w:rPr>
          <w:lang w:val="de-DE"/>
        </w:rPr>
        <w:t>.</w:t>
      </w:r>
      <w:r w:rsidR="00624F9D" w:rsidRPr="0024262E">
        <w:rPr>
          <w:lang w:val="de-DE"/>
        </w:rPr>
        <w:tab/>
      </w:r>
      <w:r w:rsidR="00C13C89" w:rsidRPr="0088163C">
        <w:rPr>
          <w:lang w:val="de-DE"/>
        </w:rPr>
        <w:t>Der Sicherheitsausschuss ersuchte die informelle Arbeitsgruppe „Stoffe“, die möglichen Änderungen in Spalte (16) der Tabelle C für die im IBC-Code aufgeführten Stoffe zu überprüfen</w:t>
      </w:r>
      <w:r w:rsidR="0088163C" w:rsidRPr="0088163C">
        <w:rPr>
          <w:lang w:val="de-DE"/>
        </w:rPr>
        <w:t>.</w:t>
      </w:r>
    </w:p>
    <w:p w14:paraId="652C4B51" w14:textId="539CB2B1" w:rsidR="00624F9D" w:rsidRPr="0024262E" w:rsidRDefault="00624F9D" w:rsidP="0088163C">
      <w:pPr>
        <w:pStyle w:val="H23G"/>
        <w:rPr>
          <w:lang w:val="de-DE"/>
        </w:rPr>
      </w:pPr>
      <w:r w:rsidRPr="0024262E">
        <w:rPr>
          <w:lang w:val="de-DE"/>
        </w:rPr>
        <w:tab/>
      </w:r>
      <w:bookmarkStart w:id="47" w:name="_Toc32481665"/>
      <w:r w:rsidRPr="0024262E">
        <w:rPr>
          <w:lang w:val="de-DE"/>
        </w:rPr>
        <w:t>14.</w:t>
      </w:r>
      <w:r w:rsidRPr="0024262E">
        <w:rPr>
          <w:lang w:val="de-DE"/>
        </w:rPr>
        <w:tab/>
      </w:r>
      <w:bookmarkEnd w:id="47"/>
      <w:r w:rsidR="0088163C" w:rsidRPr="0088163C">
        <w:rPr>
          <w:lang w:val="de-DE"/>
        </w:rPr>
        <w:t>Änderung der Tabelle C Spalte (16) für UN-Nr. 2527</w:t>
      </w:r>
    </w:p>
    <w:p w14:paraId="6F5256F0" w14:textId="567D5EAB" w:rsidR="00624F9D" w:rsidRPr="0024262E" w:rsidRDefault="0088163C" w:rsidP="0088163C">
      <w:pPr>
        <w:pStyle w:val="SingleTxtG"/>
        <w:keepNext/>
        <w:keepLines/>
        <w:ind w:left="3402" w:hanging="2268"/>
        <w:jc w:val="left"/>
        <w:rPr>
          <w:lang w:val="de-DE"/>
        </w:rPr>
      </w:pPr>
      <w:r w:rsidRPr="0088163C">
        <w:rPr>
          <w:i/>
          <w:iCs/>
          <w:lang w:val="de-DE"/>
        </w:rPr>
        <w:t>Informelles Dokument:</w:t>
      </w:r>
      <w:r w:rsidR="00624F9D" w:rsidRPr="0024262E">
        <w:rPr>
          <w:lang w:val="de-DE"/>
        </w:rPr>
        <w:tab/>
      </w:r>
      <w:r w:rsidRPr="0088163C">
        <w:rPr>
          <w:lang w:val="de-DE"/>
        </w:rPr>
        <w:t>INF.22 (CEFIC)</w:t>
      </w:r>
    </w:p>
    <w:p w14:paraId="44DE2056" w14:textId="4325E649" w:rsidR="00624F9D" w:rsidRPr="0024262E" w:rsidRDefault="008026F8" w:rsidP="00F25D15">
      <w:pPr>
        <w:pStyle w:val="SingleTxtG"/>
        <w:rPr>
          <w:lang w:val="de-DE"/>
        </w:rPr>
      </w:pPr>
      <w:r w:rsidRPr="0024262E">
        <w:rPr>
          <w:lang w:val="de-DE"/>
        </w:rPr>
        <w:t>47</w:t>
      </w:r>
      <w:r w:rsidR="00624F9D" w:rsidRPr="0024262E">
        <w:rPr>
          <w:lang w:val="de-DE"/>
        </w:rPr>
        <w:t>.</w:t>
      </w:r>
      <w:r w:rsidR="00624F9D" w:rsidRPr="0024262E">
        <w:rPr>
          <w:lang w:val="de-DE"/>
        </w:rPr>
        <w:tab/>
      </w:r>
      <w:r w:rsidR="00A42AAA" w:rsidRPr="00F25D15">
        <w:rPr>
          <w:lang w:val="de-DE"/>
        </w:rPr>
        <w:t xml:space="preserve">Der Sicherheitsausschuss nahm die ADN-Lücke in Bezug auf </w:t>
      </w:r>
      <w:proofErr w:type="spellStart"/>
      <w:r w:rsidR="00A42AAA" w:rsidRPr="00F25D15">
        <w:rPr>
          <w:lang w:val="de-DE"/>
        </w:rPr>
        <w:t>Isobutylacrylat</w:t>
      </w:r>
      <w:proofErr w:type="spellEnd"/>
      <w:r w:rsidR="00A42AAA" w:rsidRPr="00F25D15">
        <w:rPr>
          <w:lang w:val="de-DE"/>
        </w:rPr>
        <w:t xml:space="preserve"> zur Kenntnis und beschloss, die vorgeschlagene Änderung in Tabelle C Spalte (16) zur Prüfung und Beratung an die informelle Arbeitsgruppe </w:t>
      </w:r>
      <w:r w:rsidR="00F25D15" w:rsidRPr="00F25D15">
        <w:rPr>
          <w:lang w:val="de-DE"/>
        </w:rPr>
        <w:t>„</w:t>
      </w:r>
      <w:r w:rsidR="00A42AAA" w:rsidRPr="00F25D15">
        <w:rPr>
          <w:lang w:val="de-DE"/>
        </w:rPr>
        <w:t>Stoffe</w:t>
      </w:r>
      <w:r w:rsidR="00F25D15" w:rsidRPr="00F25D15">
        <w:rPr>
          <w:lang w:val="de-DE"/>
        </w:rPr>
        <w:t>“</w:t>
      </w:r>
      <w:r w:rsidR="00A42AAA" w:rsidRPr="00F25D15">
        <w:rPr>
          <w:lang w:val="de-DE"/>
        </w:rPr>
        <w:t xml:space="preserve"> zu verweisen.</w:t>
      </w:r>
    </w:p>
    <w:p w14:paraId="0494557F" w14:textId="2ADB47A1" w:rsidR="00056424" w:rsidRPr="0024262E" w:rsidRDefault="00056424" w:rsidP="00F25D15">
      <w:pPr>
        <w:pStyle w:val="H23G"/>
        <w:rPr>
          <w:lang w:val="de-DE"/>
        </w:rPr>
      </w:pPr>
      <w:r w:rsidRPr="0024262E">
        <w:rPr>
          <w:lang w:val="de-DE"/>
        </w:rPr>
        <w:lastRenderedPageBreak/>
        <w:tab/>
      </w:r>
      <w:bookmarkStart w:id="48" w:name="_Toc32481666"/>
      <w:r w:rsidRPr="0024262E">
        <w:rPr>
          <w:lang w:val="de-DE"/>
        </w:rPr>
        <w:t>15.</w:t>
      </w:r>
      <w:r w:rsidRPr="0024262E">
        <w:rPr>
          <w:lang w:val="de-DE"/>
        </w:rPr>
        <w:tab/>
      </w:r>
      <w:bookmarkEnd w:id="48"/>
      <w:r w:rsidR="00F25D15" w:rsidRPr="00F25D15">
        <w:rPr>
          <w:lang w:val="de-DE"/>
        </w:rPr>
        <w:t>Korrekturen zum ADN 2019</w:t>
      </w:r>
    </w:p>
    <w:p w14:paraId="49A09EC9" w14:textId="212CA0F3" w:rsidR="00056424" w:rsidRPr="0024262E" w:rsidRDefault="00F25D15" w:rsidP="00F25D15">
      <w:pPr>
        <w:pStyle w:val="SingleTxtG"/>
        <w:keepNext/>
        <w:keepLines/>
        <w:ind w:left="3402" w:hanging="2268"/>
        <w:jc w:val="left"/>
        <w:rPr>
          <w:lang w:val="de-DE"/>
        </w:rPr>
      </w:pPr>
      <w:r w:rsidRPr="00F25D15">
        <w:rPr>
          <w:i/>
          <w:iCs/>
          <w:lang w:val="de-DE"/>
        </w:rPr>
        <w:t>Dokument:</w:t>
      </w:r>
      <w:r w:rsidR="00056424" w:rsidRPr="0024262E">
        <w:rPr>
          <w:lang w:val="de-DE"/>
        </w:rPr>
        <w:t xml:space="preserve"> </w:t>
      </w:r>
      <w:r w:rsidR="00056424" w:rsidRPr="0024262E">
        <w:rPr>
          <w:lang w:val="de-DE"/>
        </w:rPr>
        <w:tab/>
      </w:r>
      <w:r w:rsidR="00056424" w:rsidRPr="0024262E">
        <w:rPr>
          <w:lang w:val="de-DE"/>
        </w:rPr>
        <w:tab/>
      </w:r>
      <w:r w:rsidRPr="00F25D15">
        <w:rPr>
          <w:lang w:val="de-DE"/>
        </w:rPr>
        <w:t>ECE/TRANS/WP.15/AC.2/2020/17 (Empfohlene ADN-Klassifikationsgesellschaften)</w:t>
      </w:r>
    </w:p>
    <w:p w14:paraId="31F860F5" w14:textId="12589F3D" w:rsidR="00056424" w:rsidRPr="0024262E" w:rsidRDefault="00F25D15" w:rsidP="00F25D15">
      <w:pPr>
        <w:pStyle w:val="SingleTxtG"/>
        <w:keepNext/>
        <w:keepLines/>
        <w:ind w:left="3402" w:hanging="2268"/>
        <w:jc w:val="left"/>
        <w:rPr>
          <w:lang w:val="de-DE"/>
        </w:rPr>
      </w:pPr>
      <w:r w:rsidRPr="00F25D15">
        <w:rPr>
          <w:i/>
          <w:iCs/>
          <w:lang w:val="de-DE"/>
        </w:rPr>
        <w:t>Informelles Dokument:</w:t>
      </w:r>
      <w:r w:rsidR="00056424" w:rsidRPr="0024262E">
        <w:rPr>
          <w:lang w:val="de-DE"/>
        </w:rPr>
        <w:tab/>
      </w:r>
      <w:r w:rsidRPr="00F25D15">
        <w:rPr>
          <w:lang w:val="de-DE"/>
        </w:rPr>
        <w:t>INF.26 (Österreich)</w:t>
      </w:r>
    </w:p>
    <w:p w14:paraId="20AC6BFA" w14:textId="472D65C1" w:rsidR="00056424" w:rsidRPr="0024262E" w:rsidRDefault="008026F8" w:rsidP="008576A6">
      <w:pPr>
        <w:pStyle w:val="SingleTxtG"/>
        <w:rPr>
          <w:lang w:val="de-DE"/>
        </w:rPr>
      </w:pPr>
      <w:r w:rsidRPr="0024262E">
        <w:rPr>
          <w:lang w:val="de-DE"/>
        </w:rPr>
        <w:t>48</w:t>
      </w:r>
      <w:r w:rsidR="00056424" w:rsidRPr="0024262E">
        <w:rPr>
          <w:lang w:val="de-DE"/>
        </w:rPr>
        <w:t>.</w:t>
      </w:r>
      <w:r w:rsidR="00056424" w:rsidRPr="0024262E">
        <w:rPr>
          <w:lang w:val="de-DE"/>
        </w:rPr>
        <w:tab/>
      </w:r>
      <w:r w:rsidR="00F25D15" w:rsidRPr="00F25D15">
        <w:rPr>
          <w:lang w:val="de-DE"/>
        </w:rPr>
        <w:t>Der Sicherheitsausschuss nahm den Änderungsvorschlag in den Teilen I und II des Dokuments ECE/TRANS/WP.15/AC.2/2020/17 mit einigen Änderungen an.</w:t>
      </w:r>
      <w:r w:rsidR="00056424" w:rsidRPr="0024262E">
        <w:rPr>
          <w:lang w:val="de-DE"/>
        </w:rPr>
        <w:t xml:space="preserve"> </w:t>
      </w:r>
      <w:r w:rsidR="00566D8F" w:rsidRPr="008576A6">
        <w:rPr>
          <w:lang w:val="de-DE"/>
        </w:rPr>
        <w:t>Im Hinblick</w:t>
      </w:r>
      <w:r w:rsidR="000A4913" w:rsidRPr="008576A6">
        <w:rPr>
          <w:lang w:val="de-DE"/>
        </w:rPr>
        <w:t xml:space="preserve"> </w:t>
      </w:r>
      <w:r w:rsidR="00566D8F" w:rsidRPr="008576A6">
        <w:rPr>
          <w:lang w:val="de-DE"/>
        </w:rPr>
        <w:t xml:space="preserve">auf </w:t>
      </w:r>
      <w:r w:rsidR="000A4913" w:rsidRPr="008576A6">
        <w:rPr>
          <w:lang w:val="de-DE"/>
        </w:rPr>
        <w:t>d</w:t>
      </w:r>
      <w:r w:rsidR="00566D8F" w:rsidRPr="008576A6">
        <w:rPr>
          <w:lang w:val="de-DE"/>
        </w:rPr>
        <w:t>i</w:t>
      </w:r>
      <w:r w:rsidR="000A4913" w:rsidRPr="008576A6">
        <w:rPr>
          <w:lang w:val="de-DE"/>
        </w:rPr>
        <w:t>e übrigen Änderungsvorschläge nahm der Sicherheitsausschuss die im informellen Dokument INF.26 vorgeschlagenen Änderungen an (siehe Anlage I).</w:t>
      </w:r>
    </w:p>
    <w:p w14:paraId="11B7088D" w14:textId="56836EE3" w:rsidR="00056424" w:rsidRPr="0024262E" w:rsidRDefault="00056424" w:rsidP="008576A6">
      <w:pPr>
        <w:pStyle w:val="H23G"/>
        <w:rPr>
          <w:lang w:val="de-DE"/>
        </w:rPr>
      </w:pPr>
      <w:r w:rsidRPr="0024262E">
        <w:rPr>
          <w:lang w:val="de-DE"/>
        </w:rPr>
        <w:tab/>
      </w:r>
      <w:bookmarkStart w:id="49" w:name="_Toc32481667"/>
      <w:r w:rsidRPr="0024262E">
        <w:rPr>
          <w:lang w:val="de-DE"/>
        </w:rPr>
        <w:t>16.</w:t>
      </w:r>
      <w:r w:rsidRPr="0024262E">
        <w:rPr>
          <w:lang w:val="de-DE"/>
        </w:rPr>
        <w:tab/>
      </w:r>
      <w:bookmarkEnd w:id="49"/>
      <w:r w:rsidR="008576A6" w:rsidRPr="008576A6">
        <w:rPr>
          <w:lang w:val="de-DE"/>
        </w:rPr>
        <w:t xml:space="preserve">1.2.1 ADN – </w:t>
      </w:r>
      <w:proofErr w:type="spellStart"/>
      <w:r w:rsidR="008576A6" w:rsidRPr="008576A6">
        <w:rPr>
          <w:lang w:val="de-DE"/>
        </w:rPr>
        <w:t>Probenahmesysteme</w:t>
      </w:r>
      <w:proofErr w:type="spellEnd"/>
    </w:p>
    <w:p w14:paraId="35CFBB93" w14:textId="418589A2" w:rsidR="00056424" w:rsidRPr="0024262E" w:rsidRDefault="008576A6" w:rsidP="008576A6">
      <w:pPr>
        <w:pStyle w:val="SingleTxtG"/>
        <w:keepNext/>
        <w:keepLines/>
        <w:ind w:left="3402" w:hanging="2268"/>
        <w:jc w:val="left"/>
        <w:rPr>
          <w:lang w:val="de-DE"/>
        </w:rPr>
      </w:pPr>
      <w:r w:rsidRPr="008576A6">
        <w:rPr>
          <w:i/>
          <w:iCs/>
          <w:lang w:val="de-DE"/>
        </w:rPr>
        <w:t>Dokument:</w:t>
      </w:r>
      <w:r w:rsidR="00056424" w:rsidRPr="0024262E">
        <w:rPr>
          <w:lang w:val="de-DE"/>
        </w:rPr>
        <w:t xml:space="preserve"> </w:t>
      </w:r>
      <w:r w:rsidR="00056424" w:rsidRPr="0024262E">
        <w:rPr>
          <w:lang w:val="de-DE"/>
        </w:rPr>
        <w:tab/>
      </w:r>
      <w:r w:rsidR="00056424" w:rsidRPr="0024262E">
        <w:rPr>
          <w:lang w:val="de-DE"/>
        </w:rPr>
        <w:tab/>
      </w:r>
      <w:r w:rsidRPr="008576A6">
        <w:rPr>
          <w:lang w:val="de-DE"/>
        </w:rPr>
        <w:t>ECE/TRANS/WP.15/AC.2/2020/2 (Deutschland und Österreich)</w:t>
      </w:r>
    </w:p>
    <w:p w14:paraId="7D5BD2A3" w14:textId="42C7AFF8" w:rsidR="00056424" w:rsidRPr="0024262E" w:rsidRDefault="008576A6" w:rsidP="008576A6">
      <w:pPr>
        <w:pStyle w:val="SingleTxtG"/>
        <w:keepNext/>
        <w:keepLines/>
        <w:ind w:left="3402" w:hanging="2268"/>
        <w:jc w:val="left"/>
        <w:rPr>
          <w:lang w:val="de-DE"/>
        </w:rPr>
      </w:pPr>
      <w:r w:rsidRPr="008576A6">
        <w:rPr>
          <w:i/>
          <w:iCs/>
          <w:lang w:val="de-DE"/>
        </w:rPr>
        <w:t>Informelle Dokumente:</w:t>
      </w:r>
      <w:r w:rsidR="00056424" w:rsidRPr="0024262E">
        <w:rPr>
          <w:lang w:val="de-DE"/>
        </w:rPr>
        <w:tab/>
      </w:r>
      <w:r w:rsidRPr="008576A6">
        <w:rPr>
          <w:lang w:val="de-DE"/>
        </w:rPr>
        <w:t>INF.16 and INF.29 (EBO und ESU)</w:t>
      </w:r>
    </w:p>
    <w:p w14:paraId="46ACA80F" w14:textId="7E4E6479" w:rsidR="00056424" w:rsidRPr="0024262E" w:rsidRDefault="008026F8" w:rsidP="001D1475">
      <w:pPr>
        <w:pStyle w:val="SingleTxtG"/>
        <w:rPr>
          <w:lang w:val="de-DE"/>
        </w:rPr>
      </w:pPr>
      <w:r w:rsidRPr="0024262E">
        <w:rPr>
          <w:lang w:val="de-DE"/>
        </w:rPr>
        <w:t>49</w:t>
      </w:r>
      <w:r w:rsidR="00056424" w:rsidRPr="0024262E">
        <w:rPr>
          <w:lang w:val="de-DE"/>
        </w:rPr>
        <w:t>.</w:t>
      </w:r>
      <w:r w:rsidR="00056424" w:rsidRPr="0024262E">
        <w:rPr>
          <w:lang w:val="de-DE"/>
        </w:rPr>
        <w:tab/>
      </w:r>
      <w:r w:rsidR="00DA7906" w:rsidRPr="001D1475">
        <w:rPr>
          <w:lang w:val="de-DE"/>
        </w:rPr>
        <w:t>Nachdem klargestellt w</w:t>
      </w:r>
      <w:r w:rsidR="0078127C" w:rsidRPr="001D1475">
        <w:rPr>
          <w:lang w:val="de-DE"/>
        </w:rPr>
        <w:t>o</w:t>
      </w:r>
      <w:r w:rsidR="00DA7906" w:rsidRPr="001D1475">
        <w:rPr>
          <w:lang w:val="de-DE"/>
        </w:rPr>
        <w:t>rde</w:t>
      </w:r>
      <w:r w:rsidR="0078127C" w:rsidRPr="001D1475">
        <w:rPr>
          <w:lang w:val="de-DE"/>
        </w:rPr>
        <w:t>n war</w:t>
      </w:r>
      <w:r w:rsidR="00DA7906" w:rsidRPr="001D1475">
        <w:rPr>
          <w:lang w:val="de-DE"/>
        </w:rPr>
        <w:t xml:space="preserve">, dass die im informellen Dokument INF.29 vorgeschlagene Änderung </w:t>
      </w:r>
      <w:r w:rsidR="001D1475" w:rsidRPr="001D1475">
        <w:rPr>
          <w:lang w:val="de-DE"/>
        </w:rPr>
        <w:t>auf die Berücksichtigung</w:t>
      </w:r>
      <w:r w:rsidR="00DA7906" w:rsidRPr="001D1475">
        <w:rPr>
          <w:lang w:val="de-DE"/>
        </w:rPr>
        <w:t xml:space="preserve"> </w:t>
      </w:r>
      <w:r w:rsidR="001D1475" w:rsidRPr="001D1475">
        <w:rPr>
          <w:lang w:val="de-DE"/>
        </w:rPr>
        <w:t>des Falles abzielt</w:t>
      </w:r>
      <w:r w:rsidR="00DA7906" w:rsidRPr="001D1475">
        <w:rPr>
          <w:lang w:val="de-DE"/>
        </w:rPr>
        <w:t xml:space="preserve">, </w:t>
      </w:r>
      <w:r w:rsidR="001D1475" w:rsidRPr="001D1475">
        <w:rPr>
          <w:lang w:val="de-DE"/>
        </w:rPr>
        <w:t>dass</w:t>
      </w:r>
      <w:r w:rsidR="00DA7906" w:rsidRPr="001D1475">
        <w:rPr>
          <w:lang w:val="de-DE"/>
        </w:rPr>
        <w:t xml:space="preserve"> </w:t>
      </w:r>
      <w:r w:rsidR="001D1475" w:rsidRPr="001D1475">
        <w:rPr>
          <w:lang w:val="de-DE"/>
        </w:rPr>
        <w:t>die Schiffe</w:t>
      </w:r>
      <w:r w:rsidR="00DA7906" w:rsidRPr="001D1475">
        <w:rPr>
          <w:lang w:val="de-DE"/>
        </w:rPr>
        <w:t xml:space="preserve"> mit </w:t>
      </w:r>
      <w:proofErr w:type="spellStart"/>
      <w:r w:rsidR="00DA7906" w:rsidRPr="001D1475">
        <w:rPr>
          <w:lang w:val="de-DE"/>
        </w:rPr>
        <w:t>Probenahmeanschlüssen</w:t>
      </w:r>
      <w:proofErr w:type="spellEnd"/>
      <w:r w:rsidR="00DA7906" w:rsidRPr="001D1475">
        <w:rPr>
          <w:lang w:val="de-DE"/>
        </w:rPr>
        <w:t xml:space="preserve"> an der Auslassleitung ausgestattet sind, nahm der Sicherheitsausschuss die durch das informelle Dokument INF.29 </w:t>
      </w:r>
      <w:r w:rsidR="001D1475">
        <w:rPr>
          <w:lang w:val="de-DE"/>
        </w:rPr>
        <w:t>modifizierten</w:t>
      </w:r>
      <w:r w:rsidR="00DA7906" w:rsidRPr="001D1475">
        <w:rPr>
          <w:lang w:val="de-DE"/>
        </w:rPr>
        <w:t xml:space="preserve"> Änderungen zu den </w:t>
      </w:r>
      <w:proofErr w:type="spellStart"/>
      <w:r w:rsidR="002963FC" w:rsidRPr="001D1475">
        <w:rPr>
          <w:lang w:val="de-DE"/>
        </w:rPr>
        <w:t>Probenahmesysteme</w:t>
      </w:r>
      <w:r w:rsidR="001D1475" w:rsidRPr="001D1475">
        <w:rPr>
          <w:lang w:val="de-DE"/>
        </w:rPr>
        <w:t>n</w:t>
      </w:r>
      <w:proofErr w:type="spellEnd"/>
      <w:r w:rsidR="002963FC" w:rsidRPr="001D1475">
        <w:rPr>
          <w:lang w:val="de-DE"/>
        </w:rPr>
        <w:t xml:space="preserve"> </w:t>
      </w:r>
      <w:r w:rsidR="00DA7906" w:rsidRPr="001D1475">
        <w:rPr>
          <w:lang w:val="de-DE"/>
        </w:rPr>
        <w:t>in den Absätzen 7.2.4.16.11 und 9.3.1.21.1 g), 9.3.2.21.1 g) und 9.3.3.21.1 g) an (siehe Anlage I).</w:t>
      </w:r>
    </w:p>
    <w:p w14:paraId="68B81034" w14:textId="3835AE34" w:rsidR="00056424" w:rsidRPr="0024262E" w:rsidRDefault="00056424" w:rsidP="001D1475">
      <w:pPr>
        <w:pStyle w:val="H23G"/>
        <w:rPr>
          <w:lang w:val="de-DE"/>
        </w:rPr>
      </w:pPr>
      <w:r w:rsidRPr="0024262E">
        <w:rPr>
          <w:lang w:val="de-DE"/>
        </w:rPr>
        <w:tab/>
      </w:r>
      <w:bookmarkStart w:id="50" w:name="_Toc32481668"/>
      <w:r w:rsidRPr="0024262E">
        <w:rPr>
          <w:lang w:val="de-DE"/>
        </w:rPr>
        <w:t>17.</w:t>
      </w:r>
      <w:r w:rsidRPr="0024262E">
        <w:rPr>
          <w:lang w:val="de-DE"/>
        </w:rPr>
        <w:tab/>
      </w:r>
      <w:bookmarkEnd w:id="50"/>
      <w:r w:rsidR="001D1475" w:rsidRPr="001D1475">
        <w:rPr>
          <w:lang w:val="de-DE"/>
        </w:rPr>
        <w:t>UN-Nr. 3082 – Bilgenwasser</w:t>
      </w:r>
    </w:p>
    <w:p w14:paraId="7852830A" w14:textId="0C1208A7" w:rsidR="00056424" w:rsidRPr="0024262E" w:rsidRDefault="001D1475" w:rsidP="001D1475">
      <w:pPr>
        <w:pStyle w:val="SingleTxtG"/>
        <w:keepNext/>
        <w:keepLines/>
        <w:ind w:left="3402" w:hanging="2268"/>
        <w:jc w:val="left"/>
        <w:rPr>
          <w:lang w:val="de-DE"/>
        </w:rPr>
      </w:pPr>
      <w:r w:rsidRPr="001D1475">
        <w:rPr>
          <w:i/>
          <w:iCs/>
          <w:lang w:val="de-DE"/>
        </w:rPr>
        <w:t>Dokument:</w:t>
      </w:r>
      <w:r w:rsidR="00056424" w:rsidRPr="0024262E">
        <w:rPr>
          <w:lang w:val="de-DE"/>
        </w:rPr>
        <w:t xml:space="preserve"> </w:t>
      </w:r>
      <w:r w:rsidR="00056424" w:rsidRPr="0024262E">
        <w:rPr>
          <w:lang w:val="de-DE"/>
        </w:rPr>
        <w:tab/>
      </w:r>
      <w:r w:rsidR="00056424" w:rsidRPr="0024262E">
        <w:rPr>
          <w:lang w:val="de-DE"/>
        </w:rPr>
        <w:tab/>
      </w:r>
      <w:r w:rsidRPr="001D1475">
        <w:rPr>
          <w:lang w:val="de-DE"/>
        </w:rPr>
        <w:t>ECE/TRANS/WP.15/AC.2/2020/7 (Deutschland)</w:t>
      </w:r>
    </w:p>
    <w:p w14:paraId="107A02E8" w14:textId="43DA3C90" w:rsidR="00056424" w:rsidRPr="0024262E" w:rsidRDefault="001D1475" w:rsidP="001D1475">
      <w:pPr>
        <w:pStyle w:val="SingleTxtG"/>
        <w:keepNext/>
        <w:keepLines/>
        <w:ind w:left="3402" w:hanging="2268"/>
        <w:jc w:val="left"/>
        <w:rPr>
          <w:lang w:val="de-DE"/>
        </w:rPr>
      </w:pPr>
      <w:r w:rsidRPr="001D1475">
        <w:rPr>
          <w:i/>
          <w:iCs/>
          <w:lang w:val="de-DE"/>
        </w:rPr>
        <w:t>Informelles Dokument:</w:t>
      </w:r>
      <w:r w:rsidR="00056424" w:rsidRPr="0024262E">
        <w:rPr>
          <w:lang w:val="de-DE"/>
        </w:rPr>
        <w:tab/>
      </w:r>
      <w:r w:rsidRPr="001D1475">
        <w:rPr>
          <w:lang w:val="de-DE"/>
        </w:rPr>
        <w:t>INF.30 (Deutschland und Niederlande)</w:t>
      </w:r>
    </w:p>
    <w:p w14:paraId="33CE43E4" w14:textId="45C356A5" w:rsidR="00056424" w:rsidRPr="0024262E" w:rsidRDefault="008026F8" w:rsidP="0059721A">
      <w:pPr>
        <w:pStyle w:val="SingleTxtG"/>
        <w:rPr>
          <w:lang w:val="de-DE"/>
        </w:rPr>
      </w:pPr>
      <w:r w:rsidRPr="0024262E">
        <w:rPr>
          <w:lang w:val="de-DE"/>
        </w:rPr>
        <w:t>50</w:t>
      </w:r>
      <w:r w:rsidR="00056424" w:rsidRPr="0024262E">
        <w:rPr>
          <w:lang w:val="de-DE"/>
        </w:rPr>
        <w:t>.</w:t>
      </w:r>
      <w:r w:rsidR="00056424" w:rsidRPr="0024262E">
        <w:rPr>
          <w:lang w:val="de-DE"/>
        </w:rPr>
        <w:tab/>
      </w:r>
      <w:r w:rsidR="001D1475" w:rsidRPr="0059721A">
        <w:rPr>
          <w:lang w:val="de-DE"/>
        </w:rPr>
        <w:t>Der Sicherheitsausschuss nahm die Änderungsvorschläge zur Aufnahme eines neuen Eintrags in die Tabelle C für UN-Nr. 3082 (BILGENWASSER, ENTHÄLT ÖLSCHLAMM) in der durch das informelle Dokument INF.30 geänderten Fassung zusammen mit einigen Korrekturen an (siehe Anlage I).</w:t>
      </w:r>
    </w:p>
    <w:p w14:paraId="0B0F51DB" w14:textId="35630CB8" w:rsidR="00056424" w:rsidRPr="0024262E" w:rsidRDefault="00056424" w:rsidP="0059721A">
      <w:pPr>
        <w:pStyle w:val="H23G"/>
        <w:rPr>
          <w:lang w:val="de-DE"/>
        </w:rPr>
      </w:pPr>
      <w:r w:rsidRPr="0024262E">
        <w:rPr>
          <w:lang w:val="de-DE"/>
        </w:rPr>
        <w:tab/>
      </w:r>
      <w:bookmarkStart w:id="51" w:name="_Toc32481669"/>
      <w:r w:rsidRPr="0024262E">
        <w:rPr>
          <w:lang w:val="de-DE"/>
        </w:rPr>
        <w:t>18.</w:t>
      </w:r>
      <w:r w:rsidRPr="0024262E">
        <w:rPr>
          <w:lang w:val="de-DE"/>
        </w:rPr>
        <w:tab/>
      </w:r>
      <w:bookmarkEnd w:id="51"/>
      <w:r w:rsidR="0059721A" w:rsidRPr="0059721A">
        <w:rPr>
          <w:lang w:val="de-DE"/>
        </w:rPr>
        <w:t>Änderung von 7.1.4.1: Begrenzung der beförderten Mengen</w:t>
      </w:r>
    </w:p>
    <w:p w14:paraId="65C3F1BC" w14:textId="191F0942" w:rsidR="00056424" w:rsidRPr="0024262E" w:rsidRDefault="0059721A" w:rsidP="0059721A">
      <w:pPr>
        <w:pStyle w:val="SingleTxtG"/>
        <w:keepNext/>
        <w:keepLines/>
        <w:ind w:left="3402" w:hanging="2268"/>
        <w:jc w:val="left"/>
        <w:rPr>
          <w:lang w:val="de-DE"/>
        </w:rPr>
      </w:pPr>
      <w:r w:rsidRPr="0059721A">
        <w:rPr>
          <w:i/>
          <w:iCs/>
          <w:lang w:val="de-DE"/>
        </w:rPr>
        <w:t>Dokument:</w:t>
      </w:r>
      <w:r w:rsidR="00056424" w:rsidRPr="0024262E">
        <w:rPr>
          <w:lang w:val="de-DE"/>
        </w:rPr>
        <w:t xml:space="preserve"> </w:t>
      </w:r>
      <w:r w:rsidR="00056424" w:rsidRPr="0024262E">
        <w:rPr>
          <w:lang w:val="de-DE"/>
        </w:rPr>
        <w:tab/>
      </w:r>
      <w:r w:rsidR="00056424" w:rsidRPr="0024262E">
        <w:rPr>
          <w:lang w:val="de-DE"/>
        </w:rPr>
        <w:tab/>
      </w:r>
      <w:r w:rsidRPr="0059721A">
        <w:rPr>
          <w:lang w:val="de-DE"/>
        </w:rPr>
        <w:t>ECE/TRANS/WP.15/AC.2/2020/13 (EBU und ESO)</w:t>
      </w:r>
    </w:p>
    <w:p w14:paraId="291D9576" w14:textId="3C4D69DE" w:rsidR="00056424" w:rsidRPr="0024262E" w:rsidRDefault="0059721A" w:rsidP="005575AE">
      <w:pPr>
        <w:pStyle w:val="SingleTxtG"/>
        <w:keepNext/>
        <w:keepLines/>
        <w:ind w:left="3402" w:hanging="2268"/>
        <w:jc w:val="left"/>
        <w:rPr>
          <w:lang w:val="de-DE"/>
        </w:rPr>
      </w:pPr>
      <w:r w:rsidRPr="0059721A">
        <w:rPr>
          <w:i/>
          <w:iCs/>
          <w:lang w:val="de-DE"/>
        </w:rPr>
        <w:t>Informelle Dokumente:</w:t>
      </w:r>
      <w:r w:rsidR="00056424" w:rsidRPr="0024262E">
        <w:rPr>
          <w:lang w:val="de-DE"/>
        </w:rPr>
        <w:tab/>
      </w:r>
      <w:r w:rsidRPr="005575AE">
        <w:rPr>
          <w:lang w:val="de-DE"/>
        </w:rPr>
        <w:t>INF.18 (Sekretariat) und INF.27 (EBU und ESO)</w:t>
      </w:r>
    </w:p>
    <w:p w14:paraId="6EFB9360" w14:textId="771FDFD7" w:rsidR="00056424" w:rsidRPr="0024262E" w:rsidRDefault="008026F8" w:rsidP="005575AE">
      <w:pPr>
        <w:pStyle w:val="SingleTxtG"/>
        <w:rPr>
          <w:lang w:val="de-DE"/>
        </w:rPr>
      </w:pPr>
      <w:r w:rsidRPr="0024262E">
        <w:rPr>
          <w:lang w:val="de-DE"/>
        </w:rPr>
        <w:t>51</w:t>
      </w:r>
      <w:r w:rsidR="00056424" w:rsidRPr="0024262E">
        <w:rPr>
          <w:lang w:val="de-DE"/>
        </w:rPr>
        <w:t>.</w:t>
      </w:r>
      <w:r w:rsidR="00056424" w:rsidRPr="0024262E">
        <w:rPr>
          <w:lang w:val="de-DE"/>
        </w:rPr>
        <w:tab/>
      </w:r>
      <w:r w:rsidR="005575AE" w:rsidRPr="005575AE">
        <w:rPr>
          <w:lang w:val="de-DE"/>
        </w:rPr>
        <w:t>Der Sicherheitsausschuss begrüßte den Vorschlag</w:t>
      </w:r>
      <w:r w:rsidR="0020109F">
        <w:rPr>
          <w:lang w:val="de-DE"/>
        </w:rPr>
        <w:t xml:space="preserve"> zur inhaltlichen Klärung</w:t>
      </w:r>
      <w:r w:rsidR="005575AE" w:rsidRPr="005575AE">
        <w:rPr>
          <w:lang w:val="de-DE"/>
        </w:rPr>
        <w:t xml:space="preserve"> de</w:t>
      </w:r>
      <w:r w:rsidR="0020109F">
        <w:rPr>
          <w:lang w:val="de-DE"/>
        </w:rPr>
        <w:t>s</w:t>
      </w:r>
      <w:r w:rsidR="005575AE" w:rsidRPr="005575AE">
        <w:rPr>
          <w:lang w:val="de-DE"/>
        </w:rPr>
        <w:t xml:space="preserve"> Abschnitts 7.1.4.1 und nahm die im informellen Dokument INF.27 enthaltenen Änderungsvorschläge mit einigen Korrekturen an (siehe Anlage I).</w:t>
      </w:r>
    </w:p>
    <w:p w14:paraId="4451BCF7" w14:textId="50F82A03" w:rsidR="00056424" w:rsidRPr="0024262E" w:rsidRDefault="00056424" w:rsidP="005575AE">
      <w:pPr>
        <w:pStyle w:val="H23G"/>
        <w:rPr>
          <w:lang w:val="de-DE"/>
        </w:rPr>
      </w:pPr>
      <w:r w:rsidRPr="0024262E">
        <w:rPr>
          <w:lang w:val="de-DE"/>
        </w:rPr>
        <w:tab/>
      </w:r>
      <w:bookmarkStart w:id="52" w:name="_Toc32481670"/>
      <w:r w:rsidRPr="0024262E">
        <w:rPr>
          <w:lang w:val="de-DE"/>
        </w:rPr>
        <w:t>19.</w:t>
      </w:r>
      <w:r w:rsidRPr="0024262E">
        <w:rPr>
          <w:lang w:val="de-DE"/>
        </w:rPr>
        <w:tab/>
      </w:r>
      <w:bookmarkEnd w:id="52"/>
      <w:r w:rsidR="005575AE" w:rsidRPr="005575AE">
        <w:rPr>
          <w:lang w:val="de-DE"/>
        </w:rPr>
        <w:t>Änderungen zu 7.2 ADN</w:t>
      </w:r>
    </w:p>
    <w:p w14:paraId="0ECB2993" w14:textId="67A4265B" w:rsidR="00056424" w:rsidRPr="0024262E" w:rsidRDefault="005575AE" w:rsidP="005575AE">
      <w:pPr>
        <w:pStyle w:val="SingleTxtG"/>
        <w:keepNext/>
        <w:keepLines/>
        <w:ind w:left="3402" w:hanging="2268"/>
        <w:jc w:val="left"/>
        <w:rPr>
          <w:lang w:val="de-DE"/>
        </w:rPr>
      </w:pPr>
      <w:r w:rsidRPr="005575AE">
        <w:rPr>
          <w:i/>
          <w:iCs/>
          <w:lang w:val="de-DE"/>
        </w:rPr>
        <w:t>Dokumente:</w:t>
      </w:r>
      <w:r w:rsidR="00056424" w:rsidRPr="0024262E">
        <w:rPr>
          <w:lang w:val="de-DE"/>
        </w:rPr>
        <w:t xml:space="preserve"> </w:t>
      </w:r>
      <w:r w:rsidR="00056424" w:rsidRPr="0024262E">
        <w:rPr>
          <w:lang w:val="de-DE"/>
        </w:rPr>
        <w:tab/>
      </w:r>
      <w:r w:rsidR="00056424" w:rsidRPr="0024262E">
        <w:rPr>
          <w:lang w:val="de-DE"/>
        </w:rPr>
        <w:tab/>
      </w:r>
      <w:r w:rsidRPr="005575AE">
        <w:rPr>
          <w:lang w:val="de-DE"/>
        </w:rPr>
        <w:t>ECE/TRANS/WP.15/AC.2/2020/3 (Deutschland)</w:t>
      </w:r>
      <w:r w:rsidRPr="005575AE">
        <w:rPr>
          <w:lang w:val="de-DE"/>
        </w:rPr>
        <w:br/>
        <w:t>ECE/TRANS/WP.15/AC.2/2020/4 (Deutschland)</w:t>
      </w:r>
      <w:r w:rsidRPr="005575AE">
        <w:rPr>
          <w:lang w:val="de-DE"/>
        </w:rPr>
        <w:br/>
        <w:t>ECE/TRANS/WP.15/AC.2/2020/5 (Deutschland)</w:t>
      </w:r>
      <w:r w:rsidRPr="005575AE">
        <w:rPr>
          <w:lang w:val="de-DE"/>
        </w:rPr>
        <w:br/>
        <w:t>ECE/TRANS/WP.15/AC.2/2020/6 (Deutschland)</w:t>
      </w:r>
    </w:p>
    <w:p w14:paraId="230697B7" w14:textId="0E01A4B3" w:rsidR="00056424" w:rsidRPr="0024262E" w:rsidRDefault="008026F8" w:rsidP="005575AE">
      <w:pPr>
        <w:pStyle w:val="SingleTxtG"/>
        <w:rPr>
          <w:lang w:val="de-DE"/>
        </w:rPr>
      </w:pPr>
      <w:r w:rsidRPr="0024262E">
        <w:rPr>
          <w:lang w:val="de-DE"/>
        </w:rPr>
        <w:t>52</w:t>
      </w:r>
      <w:r w:rsidR="00056424" w:rsidRPr="0024262E">
        <w:rPr>
          <w:lang w:val="de-DE"/>
        </w:rPr>
        <w:t>.</w:t>
      </w:r>
      <w:r w:rsidR="00056424" w:rsidRPr="0024262E">
        <w:rPr>
          <w:lang w:val="de-DE"/>
        </w:rPr>
        <w:tab/>
      </w:r>
      <w:r w:rsidR="005575AE" w:rsidRPr="005575AE">
        <w:rPr>
          <w:lang w:val="de-DE"/>
        </w:rPr>
        <w:t>Der Sicherheitsausschuss vereinbarte, die Prüfung der Vorschläge zur Änderung des Kapitels 7.2 auf seine nächste Sitzung im August 2020 zu vertagen.</w:t>
      </w:r>
    </w:p>
    <w:p w14:paraId="4EF6FA82" w14:textId="0A291B6D" w:rsidR="00056424" w:rsidRPr="0024262E" w:rsidRDefault="00056424" w:rsidP="005575AE">
      <w:pPr>
        <w:pStyle w:val="H1G"/>
        <w:rPr>
          <w:lang w:val="de-DE"/>
        </w:rPr>
      </w:pPr>
      <w:r w:rsidRPr="00196ECD">
        <w:rPr>
          <w:lang w:val="de-DE"/>
        </w:rPr>
        <w:tab/>
      </w:r>
      <w:bookmarkStart w:id="53" w:name="_Toc32481671"/>
      <w:r w:rsidR="005575AE" w:rsidRPr="005575AE">
        <w:rPr>
          <w:lang w:val="de-DE"/>
        </w:rPr>
        <w:t>C.</w:t>
      </w:r>
      <w:r w:rsidRPr="0024262E">
        <w:rPr>
          <w:lang w:val="de-DE"/>
        </w:rPr>
        <w:tab/>
      </w:r>
      <w:bookmarkEnd w:id="53"/>
      <w:r w:rsidR="005575AE" w:rsidRPr="005575AE">
        <w:rPr>
          <w:lang w:val="de-DE"/>
        </w:rPr>
        <w:t>Überprüfung der in den vorhergehenden Sitzungen angenommenen Änderungen</w:t>
      </w:r>
    </w:p>
    <w:p w14:paraId="73F51B73" w14:textId="2B7883A5" w:rsidR="00056424" w:rsidRPr="0024262E" w:rsidRDefault="005575AE" w:rsidP="005575AE">
      <w:pPr>
        <w:pStyle w:val="SingleTxtG"/>
        <w:keepNext/>
        <w:keepLines/>
        <w:ind w:left="3402" w:hanging="2268"/>
        <w:jc w:val="left"/>
        <w:rPr>
          <w:lang w:val="de-DE"/>
        </w:rPr>
      </w:pPr>
      <w:r w:rsidRPr="005575AE">
        <w:rPr>
          <w:i/>
          <w:iCs/>
          <w:lang w:val="de-DE"/>
        </w:rPr>
        <w:t>Dokument:</w:t>
      </w:r>
      <w:r w:rsidR="00056424" w:rsidRPr="0024262E">
        <w:rPr>
          <w:lang w:val="de-DE"/>
        </w:rPr>
        <w:t xml:space="preserve"> </w:t>
      </w:r>
      <w:r w:rsidR="00056424" w:rsidRPr="0024262E">
        <w:rPr>
          <w:lang w:val="de-DE"/>
        </w:rPr>
        <w:tab/>
      </w:r>
      <w:r w:rsidR="00056424" w:rsidRPr="0024262E">
        <w:rPr>
          <w:lang w:val="de-DE"/>
        </w:rPr>
        <w:tab/>
      </w:r>
      <w:r w:rsidRPr="005575AE">
        <w:rPr>
          <w:lang w:val="de-DE"/>
        </w:rPr>
        <w:t>ECE/ADN/2020/1 (Sekretariat)</w:t>
      </w:r>
    </w:p>
    <w:p w14:paraId="7DE563B2" w14:textId="0C025FC9" w:rsidR="00056424" w:rsidRPr="0024262E" w:rsidRDefault="008026F8" w:rsidP="005575AE">
      <w:pPr>
        <w:pStyle w:val="SingleTxtG"/>
        <w:rPr>
          <w:lang w:val="de-DE"/>
        </w:rPr>
      </w:pPr>
      <w:r w:rsidRPr="0024262E">
        <w:rPr>
          <w:lang w:val="de-DE"/>
        </w:rPr>
        <w:t>53</w:t>
      </w:r>
      <w:r w:rsidR="00056424" w:rsidRPr="0024262E">
        <w:rPr>
          <w:lang w:val="de-DE"/>
        </w:rPr>
        <w:t>.</w:t>
      </w:r>
      <w:r w:rsidR="00056424" w:rsidRPr="0024262E">
        <w:rPr>
          <w:lang w:val="de-DE"/>
        </w:rPr>
        <w:tab/>
      </w:r>
      <w:r w:rsidR="005575AE" w:rsidRPr="005575AE">
        <w:rPr>
          <w:lang w:val="de-DE"/>
        </w:rPr>
        <w:t>Der Sicherheitsausschuss nahm die Änderungen in Dokument ECE/ADN/2020/1 mit einigen zusätzlichen Änderungen an (siehe Anlage I).</w:t>
      </w:r>
    </w:p>
    <w:p w14:paraId="1378F479" w14:textId="10F9E93C" w:rsidR="00624F9D" w:rsidRPr="0024262E" w:rsidRDefault="00624F9D" w:rsidP="005575AE">
      <w:pPr>
        <w:pStyle w:val="HChG"/>
        <w:rPr>
          <w:lang w:val="de-DE"/>
        </w:rPr>
      </w:pPr>
      <w:r w:rsidRPr="0024262E">
        <w:rPr>
          <w:lang w:val="de-DE"/>
        </w:rPr>
        <w:lastRenderedPageBreak/>
        <w:tab/>
      </w:r>
      <w:bookmarkStart w:id="54" w:name="_Toc32481672"/>
      <w:r w:rsidR="005575AE" w:rsidRPr="005575AE">
        <w:rPr>
          <w:lang w:val="de-DE"/>
        </w:rPr>
        <w:t>VII.</w:t>
      </w:r>
      <w:r w:rsidRPr="0024262E">
        <w:rPr>
          <w:lang w:val="de-DE"/>
        </w:rPr>
        <w:tab/>
      </w:r>
      <w:bookmarkEnd w:id="54"/>
      <w:r w:rsidR="005575AE" w:rsidRPr="005575AE">
        <w:rPr>
          <w:lang w:val="de-DE"/>
        </w:rPr>
        <w:t>Berichte informeller Arbeitsgruppen (TOP 6)</w:t>
      </w:r>
    </w:p>
    <w:p w14:paraId="22478174" w14:textId="0D826F26" w:rsidR="00624F9D" w:rsidRPr="0024262E" w:rsidRDefault="00624F9D" w:rsidP="005575AE">
      <w:pPr>
        <w:pStyle w:val="H1G"/>
        <w:rPr>
          <w:lang w:val="de-DE"/>
        </w:rPr>
      </w:pPr>
      <w:r w:rsidRPr="0024262E">
        <w:rPr>
          <w:lang w:val="de-DE"/>
        </w:rPr>
        <w:tab/>
      </w:r>
      <w:bookmarkStart w:id="55" w:name="_Toc32481673"/>
      <w:r w:rsidR="005575AE" w:rsidRPr="005575AE">
        <w:rPr>
          <w:lang w:val="de-DE"/>
        </w:rPr>
        <w:t>A.</w:t>
      </w:r>
      <w:r w:rsidRPr="0024262E">
        <w:rPr>
          <w:lang w:val="de-DE"/>
        </w:rPr>
        <w:tab/>
      </w:r>
      <w:bookmarkEnd w:id="55"/>
      <w:r w:rsidR="005575AE" w:rsidRPr="005575AE">
        <w:rPr>
          <w:lang w:val="de-DE"/>
        </w:rPr>
        <w:t>Protokoll über die 18. Sitzung der Gruppe der Empfohlenen ADN-Klassifikationsgesellschaften</w:t>
      </w:r>
    </w:p>
    <w:p w14:paraId="2C3DFB29" w14:textId="69F87246" w:rsidR="00624F9D" w:rsidRPr="0024262E" w:rsidRDefault="005575AE" w:rsidP="005575AE">
      <w:pPr>
        <w:pStyle w:val="SingleTxtG"/>
        <w:keepNext/>
        <w:keepLines/>
        <w:ind w:left="3402" w:hanging="2268"/>
        <w:jc w:val="left"/>
        <w:rPr>
          <w:lang w:val="de-DE"/>
        </w:rPr>
      </w:pPr>
      <w:r w:rsidRPr="005575AE">
        <w:rPr>
          <w:i/>
          <w:iCs/>
          <w:lang w:val="de-DE"/>
        </w:rPr>
        <w:t>Informelles Dokument:</w:t>
      </w:r>
      <w:r w:rsidR="00624F9D" w:rsidRPr="0024262E">
        <w:rPr>
          <w:lang w:val="de-DE"/>
        </w:rPr>
        <w:tab/>
      </w:r>
      <w:r w:rsidR="00624F9D" w:rsidRPr="0024262E">
        <w:rPr>
          <w:lang w:val="de-DE"/>
        </w:rPr>
        <w:tab/>
      </w:r>
      <w:r w:rsidRPr="005575AE">
        <w:rPr>
          <w:lang w:val="de-DE"/>
        </w:rPr>
        <w:t>INF.9 (Empfohlene ADN-Klassifikationsgesellschaften)</w:t>
      </w:r>
    </w:p>
    <w:p w14:paraId="0C7564AA" w14:textId="4292A040" w:rsidR="00624F9D" w:rsidRPr="0024262E" w:rsidRDefault="008026F8" w:rsidP="00B9749A">
      <w:pPr>
        <w:pStyle w:val="SingleTxtG"/>
        <w:rPr>
          <w:lang w:val="de-DE"/>
        </w:rPr>
      </w:pPr>
      <w:r w:rsidRPr="0024262E">
        <w:rPr>
          <w:lang w:val="de-DE"/>
        </w:rPr>
        <w:t>54</w:t>
      </w:r>
      <w:r w:rsidR="00624F9D" w:rsidRPr="0024262E">
        <w:rPr>
          <w:lang w:val="de-DE"/>
        </w:rPr>
        <w:t>.</w:t>
      </w:r>
      <w:r w:rsidR="00624F9D" w:rsidRPr="0024262E">
        <w:rPr>
          <w:lang w:val="de-DE"/>
        </w:rPr>
        <w:tab/>
      </w:r>
      <w:r w:rsidR="00936A34" w:rsidRPr="00F7188C">
        <w:rPr>
          <w:lang w:val="de-DE"/>
        </w:rPr>
        <w:t xml:space="preserve">Der Sicherheitsausschuss begrüßte das Sitzungsprotokoll im informellen Dokument INF.9 und nahm zur Kenntnis, dass die </w:t>
      </w:r>
      <w:r w:rsidR="008269FE" w:rsidRPr="00F7188C">
        <w:rPr>
          <w:lang w:val="de-DE"/>
        </w:rPr>
        <w:t>E</w:t>
      </w:r>
      <w:r w:rsidR="00936A34" w:rsidRPr="00F7188C">
        <w:rPr>
          <w:lang w:val="de-DE"/>
        </w:rPr>
        <w:t xml:space="preserve">mpfohlenen ADN-Klassifikationsgesellschaften einen Vorschlag über die </w:t>
      </w:r>
      <w:r w:rsidR="008269FE" w:rsidRPr="00F7188C">
        <w:rPr>
          <w:lang w:val="de-DE"/>
        </w:rPr>
        <w:t>Nutzung</w:t>
      </w:r>
      <w:r w:rsidR="00936A34" w:rsidRPr="00F7188C">
        <w:rPr>
          <w:lang w:val="de-DE"/>
        </w:rPr>
        <w:t xml:space="preserve"> </w:t>
      </w:r>
      <w:r w:rsidR="008269FE" w:rsidRPr="00F7188C">
        <w:rPr>
          <w:lang w:val="de-DE"/>
        </w:rPr>
        <w:t>der</w:t>
      </w:r>
      <w:r w:rsidR="00936A34" w:rsidRPr="00F7188C">
        <w:rPr>
          <w:lang w:val="de-DE"/>
        </w:rPr>
        <w:t xml:space="preserve"> </w:t>
      </w:r>
      <w:proofErr w:type="spellStart"/>
      <w:r w:rsidR="008269FE" w:rsidRPr="00F7188C">
        <w:rPr>
          <w:lang w:val="de-DE"/>
        </w:rPr>
        <w:t>Boil</w:t>
      </w:r>
      <w:proofErr w:type="spellEnd"/>
      <w:r w:rsidR="008269FE" w:rsidRPr="00F7188C">
        <w:rPr>
          <w:lang w:val="de-DE"/>
        </w:rPr>
        <w:t xml:space="preserve">-Off-Gase von </w:t>
      </w:r>
      <w:r w:rsidR="00936A34" w:rsidRPr="00F7188C">
        <w:rPr>
          <w:lang w:val="de-DE"/>
        </w:rPr>
        <w:t xml:space="preserve">LNG als </w:t>
      </w:r>
      <w:r w:rsidR="008269FE" w:rsidRPr="00F7188C">
        <w:rPr>
          <w:lang w:val="de-DE"/>
        </w:rPr>
        <w:t>Brenn</w:t>
      </w:r>
      <w:r w:rsidR="00936A34" w:rsidRPr="00F7188C">
        <w:rPr>
          <w:lang w:val="de-DE"/>
        </w:rPr>
        <w:t xml:space="preserve">stoff für den Antrieb von Schiffen auf der nächsten </w:t>
      </w:r>
      <w:r w:rsidR="00C643A2" w:rsidRPr="00F7188C">
        <w:rPr>
          <w:lang w:val="de-DE"/>
        </w:rPr>
        <w:t>Sitz</w:t>
      </w:r>
      <w:r w:rsidR="00936A34" w:rsidRPr="00F7188C">
        <w:rPr>
          <w:lang w:val="de-DE"/>
        </w:rPr>
        <w:t xml:space="preserve">ung </w:t>
      </w:r>
      <w:r w:rsidR="007D21BD" w:rsidRPr="00F7188C">
        <w:rPr>
          <w:lang w:val="de-DE"/>
        </w:rPr>
        <w:t xml:space="preserve">zur Prüfung </w:t>
      </w:r>
      <w:r w:rsidR="00936A34" w:rsidRPr="00F7188C">
        <w:rPr>
          <w:lang w:val="de-DE"/>
        </w:rPr>
        <w:t>vorlegen werden.</w:t>
      </w:r>
      <w:r w:rsidR="00624F9D" w:rsidRPr="0024262E">
        <w:rPr>
          <w:lang w:val="de-DE"/>
        </w:rPr>
        <w:t xml:space="preserve"> </w:t>
      </w:r>
      <w:r w:rsidR="007D21BD" w:rsidRPr="00B9749A">
        <w:rPr>
          <w:lang w:val="de-DE"/>
        </w:rPr>
        <w:t xml:space="preserve">Es wurde festgestellt, dass auch Korrekturen an den Unterabschnitten 8.1.2.2 und 8.1.2.9 </w:t>
      </w:r>
      <w:r w:rsidR="00F7188C" w:rsidRPr="00B9749A">
        <w:rPr>
          <w:lang w:val="de-DE"/>
        </w:rPr>
        <w:t>behandelt</w:t>
      </w:r>
      <w:r w:rsidR="007D21BD" w:rsidRPr="00B9749A">
        <w:rPr>
          <w:lang w:val="de-DE"/>
        </w:rPr>
        <w:t xml:space="preserve"> werden sollten.</w:t>
      </w:r>
    </w:p>
    <w:p w14:paraId="21B8A03A" w14:textId="709CE90F" w:rsidR="008D79D0" w:rsidRPr="0024262E" w:rsidRDefault="008D79D0" w:rsidP="00B9749A">
      <w:pPr>
        <w:pStyle w:val="H1G"/>
        <w:rPr>
          <w:lang w:val="de-DE"/>
        </w:rPr>
      </w:pPr>
      <w:r w:rsidRPr="0024262E">
        <w:rPr>
          <w:lang w:val="de-DE"/>
        </w:rPr>
        <w:tab/>
      </w:r>
      <w:bookmarkStart w:id="56" w:name="_Toc32481674"/>
      <w:r w:rsidR="00D06B93" w:rsidRPr="00B9749A">
        <w:rPr>
          <w:lang w:val="de-DE"/>
        </w:rPr>
        <w:t>B.</w:t>
      </w:r>
      <w:r w:rsidRPr="0024262E">
        <w:rPr>
          <w:lang w:val="de-DE"/>
        </w:rPr>
        <w:tab/>
      </w:r>
      <w:bookmarkEnd w:id="56"/>
      <w:r w:rsidR="00D06B93" w:rsidRPr="00D06B93">
        <w:rPr>
          <w:lang w:val="de-DE"/>
        </w:rPr>
        <w:t>Bericht der informellen Arbeitsgruppe „Membrantanks“</w:t>
      </w:r>
    </w:p>
    <w:p w14:paraId="42E7A211" w14:textId="735F5A0A" w:rsidR="008D79D0" w:rsidRPr="0024262E" w:rsidRDefault="00D06B93" w:rsidP="00D06B93">
      <w:pPr>
        <w:pStyle w:val="SingleTxtG"/>
        <w:keepNext/>
        <w:keepLines/>
        <w:ind w:left="3402" w:hanging="2268"/>
        <w:jc w:val="left"/>
        <w:rPr>
          <w:lang w:val="de-DE"/>
        </w:rPr>
      </w:pPr>
      <w:r w:rsidRPr="00D06B93">
        <w:rPr>
          <w:i/>
          <w:iCs/>
          <w:lang w:val="de-DE"/>
        </w:rPr>
        <w:t>Dokument:</w:t>
      </w:r>
      <w:r w:rsidR="008D79D0" w:rsidRPr="0024262E">
        <w:rPr>
          <w:lang w:val="de-DE"/>
        </w:rPr>
        <w:t xml:space="preserve"> </w:t>
      </w:r>
      <w:r w:rsidR="008D79D0" w:rsidRPr="0024262E">
        <w:rPr>
          <w:lang w:val="de-DE"/>
        </w:rPr>
        <w:tab/>
      </w:r>
      <w:r w:rsidR="008D79D0" w:rsidRPr="0024262E">
        <w:rPr>
          <w:lang w:val="de-DE"/>
        </w:rPr>
        <w:tab/>
      </w:r>
      <w:r w:rsidRPr="00D06B93">
        <w:rPr>
          <w:lang w:val="de-DE"/>
        </w:rPr>
        <w:t>ECE/TRANS/WP.15/AC.2/2020/11 (Belgien, Frankreich und Niederlande)</w:t>
      </w:r>
    </w:p>
    <w:p w14:paraId="4B414D94" w14:textId="46F6E13D" w:rsidR="008D79D0" w:rsidRPr="0024262E" w:rsidRDefault="008026F8" w:rsidP="00B9749A">
      <w:pPr>
        <w:pStyle w:val="SingleTxtG"/>
        <w:rPr>
          <w:lang w:val="de-DE"/>
        </w:rPr>
      </w:pPr>
      <w:r w:rsidRPr="0024262E">
        <w:rPr>
          <w:lang w:val="de-DE"/>
        </w:rPr>
        <w:t>55</w:t>
      </w:r>
      <w:r w:rsidR="008D79D0" w:rsidRPr="0024262E">
        <w:rPr>
          <w:lang w:val="de-DE"/>
        </w:rPr>
        <w:t>.</w:t>
      </w:r>
      <w:r w:rsidR="008D79D0" w:rsidRPr="0024262E">
        <w:rPr>
          <w:lang w:val="de-DE"/>
        </w:rPr>
        <w:tab/>
      </w:r>
      <w:r w:rsidR="00D06B93" w:rsidRPr="00B9749A">
        <w:rPr>
          <w:lang w:val="de-DE"/>
        </w:rPr>
        <w:t xml:space="preserve">Der Sicherheitsausschuss begrüßte den detaillierten Bericht </w:t>
      </w:r>
      <w:r w:rsidR="0022340C" w:rsidRPr="00B9749A">
        <w:rPr>
          <w:lang w:val="de-DE"/>
        </w:rPr>
        <w:t>üb</w:t>
      </w:r>
      <w:r w:rsidR="00D06B93" w:rsidRPr="00B9749A">
        <w:rPr>
          <w:lang w:val="de-DE"/>
        </w:rPr>
        <w:t xml:space="preserve">er </w:t>
      </w:r>
      <w:r w:rsidR="0022340C" w:rsidRPr="00B9749A">
        <w:rPr>
          <w:lang w:val="de-DE"/>
        </w:rPr>
        <w:t xml:space="preserve">die </w:t>
      </w:r>
      <w:r w:rsidR="00D06B93" w:rsidRPr="00B9749A">
        <w:rPr>
          <w:lang w:val="de-DE"/>
        </w:rPr>
        <w:t xml:space="preserve">fünfte Sitzung der informellen Arbeitsgruppe </w:t>
      </w:r>
      <w:r w:rsidR="00F53F7A" w:rsidRPr="00B9749A">
        <w:rPr>
          <w:lang w:val="de-DE"/>
        </w:rPr>
        <w:t>„</w:t>
      </w:r>
      <w:r w:rsidR="00D06B93" w:rsidRPr="00B9749A">
        <w:rPr>
          <w:lang w:val="de-DE"/>
        </w:rPr>
        <w:t>Membrantanks</w:t>
      </w:r>
      <w:r w:rsidR="00F53F7A" w:rsidRPr="00B9749A">
        <w:rPr>
          <w:lang w:val="de-DE"/>
        </w:rPr>
        <w:t>“</w:t>
      </w:r>
      <w:r w:rsidR="00D06B93" w:rsidRPr="00B9749A">
        <w:rPr>
          <w:lang w:val="de-DE"/>
        </w:rPr>
        <w:t xml:space="preserve"> und nahm die in den An</w:t>
      </w:r>
      <w:r w:rsidR="00F53F7A" w:rsidRPr="00B9749A">
        <w:rPr>
          <w:lang w:val="de-DE"/>
        </w:rPr>
        <w:t>la</w:t>
      </w:r>
      <w:r w:rsidR="00D06B93" w:rsidRPr="00B9749A">
        <w:rPr>
          <w:lang w:val="de-DE"/>
        </w:rPr>
        <w:t xml:space="preserve">gen I und II </w:t>
      </w:r>
      <w:r w:rsidR="00F53F7A" w:rsidRPr="00B9749A">
        <w:rPr>
          <w:lang w:val="de-DE"/>
        </w:rPr>
        <w:t>des Dokuments</w:t>
      </w:r>
      <w:r w:rsidR="00D06B93" w:rsidRPr="00B9749A">
        <w:rPr>
          <w:lang w:val="de-DE"/>
        </w:rPr>
        <w:t xml:space="preserve"> ECE/TRANS/WP.15/AC.2/2020/11 vorgeschlagenen Änderungen mit einigen Änderungen an (siehe Anlage I).</w:t>
      </w:r>
    </w:p>
    <w:p w14:paraId="2349F3B8" w14:textId="6B320E8C" w:rsidR="008D79D0" w:rsidRPr="0024262E" w:rsidRDefault="008026F8" w:rsidP="003B70E3">
      <w:pPr>
        <w:pStyle w:val="SingleTxtG"/>
        <w:rPr>
          <w:lang w:val="de-DE"/>
        </w:rPr>
      </w:pPr>
      <w:r w:rsidRPr="0024262E">
        <w:rPr>
          <w:lang w:val="de-DE"/>
        </w:rPr>
        <w:t>56</w:t>
      </w:r>
      <w:r w:rsidR="008D79D0" w:rsidRPr="0024262E">
        <w:rPr>
          <w:lang w:val="de-DE"/>
        </w:rPr>
        <w:t>.</w:t>
      </w:r>
      <w:r w:rsidR="008D79D0" w:rsidRPr="0024262E">
        <w:rPr>
          <w:lang w:val="de-DE"/>
        </w:rPr>
        <w:tab/>
      </w:r>
      <w:r w:rsidR="00DE7EB6" w:rsidRPr="00B9749A">
        <w:rPr>
          <w:lang w:val="de-DE"/>
        </w:rPr>
        <w:t xml:space="preserve">Es wurde vereinbart, die Diskussion über die Änderungsvorschläge der Donaukommission zu Unterabschnitt 9.3.1.18 </w:t>
      </w:r>
      <w:r w:rsidR="00B9749A" w:rsidRPr="00B9749A">
        <w:rPr>
          <w:lang w:val="de-DE"/>
        </w:rPr>
        <w:t>betreffend</w:t>
      </w:r>
      <w:r w:rsidR="00DE7EB6" w:rsidRPr="00B9749A">
        <w:rPr>
          <w:lang w:val="de-DE"/>
        </w:rPr>
        <w:t xml:space="preserve"> de</w:t>
      </w:r>
      <w:r w:rsidR="00B9749A" w:rsidRPr="00B9749A">
        <w:rPr>
          <w:lang w:val="de-DE"/>
        </w:rPr>
        <w:t>n</w:t>
      </w:r>
      <w:r w:rsidR="00DE7EB6" w:rsidRPr="00B9749A">
        <w:rPr>
          <w:lang w:val="de-DE"/>
        </w:rPr>
        <w:t xml:space="preserve"> Fall, dass das Steuerhaus nicht besetzt ist, auf die nächste Sitzung zu vertagen.</w:t>
      </w:r>
      <w:r w:rsidR="008D79D0" w:rsidRPr="0024262E">
        <w:rPr>
          <w:lang w:val="de-DE"/>
        </w:rPr>
        <w:t xml:space="preserve"> </w:t>
      </w:r>
      <w:r w:rsidR="00B35E76" w:rsidRPr="003B70E3">
        <w:rPr>
          <w:lang w:val="de-DE"/>
        </w:rPr>
        <w:t>Der Vertreter von EBU/ESO erklärte, dass die im Vorschlag verwendete Formulierung ein</w:t>
      </w:r>
      <w:r w:rsidR="00B9749A" w:rsidRPr="003B70E3">
        <w:rPr>
          <w:lang w:val="de-DE"/>
        </w:rPr>
        <w:t>e</w:t>
      </w:r>
      <w:r w:rsidR="00B35E76" w:rsidRPr="003B70E3">
        <w:rPr>
          <w:lang w:val="de-DE"/>
        </w:rPr>
        <w:t xml:space="preserve"> Standard</w:t>
      </w:r>
      <w:r w:rsidR="00B9749A" w:rsidRPr="003B70E3">
        <w:rPr>
          <w:lang w:val="de-DE"/>
        </w:rPr>
        <w:t>formulierung</w:t>
      </w:r>
      <w:r w:rsidR="00B35E76" w:rsidRPr="003B70E3">
        <w:rPr>
          <w:lang w:val="de-DE"/>
        </w:rPr>
        <w:t xml:space="preserve"> im ADN sei und dass eine umfassende Überprüfung durchgeführt werden sollte.</w:t>
      </w:r>
      <w:r w:rsidR="00B72539" w:rsidRPr="0024262E">
        <w:rPr>
          <w:lang w:val="de-DE"/>
        </w:rPr>
        <w:t xml:space="preserve"> </w:t>
      </w:r>
      <w:r w:rsidR="00B35E76" w:rsidRPr="003B70E3">
        <w:rPr>
          <w:lang w:val="de-DE"/>
        </w:rPr>
        <w:t>Der Sicherheitsausschuss dankte der informellen Arbeitsgruppe für die ausgezeichnete Arbeit.</w:t>
      </w:r>
    </w:p>
    <w:p w14:paraId="6717A239" w14:textId="57DCCBF5" w:rsidR="008D79D0" w:rsidRPr="0024262E" w:rsidRDefault="008D79D0" w:rsidP="003B70E3">
      <w:pPr>
        <w:pStyle w:val="H1G"/>
        <w:rPr>
          <w:lang w:val="de-DE"/>
        </w:rPr>
      </w:pPr>
      <w:r w:rsidRPr="0024262E">
        <w:rPr>
          <w:lang w:val="de-DE"/>
        </w:rPr>
        <w:tab/>
      </w:r>
      <w:bookmarkStart w:id="57" w:name="_Toc505688453"/>
      <w:bookmarkStart w:id="58" w:name="_Toc32481675"/>
      <w:bookmarkStart w:id="59" w:name="_Hlk32308124"/>
      <w:r w:rsidR="00B35E76" w:rsidRPr="003B70E3">
        <w:rPr>
          <w:lang w:val="de-DE"/>
        </w:rPr>
        <w:t>C.</w:t>
      </w:r>
      <w:r w:rsidRPr="0024262E">
        <w:rPr>
          <w:lang w:val="de-DE"/>
        </w:rPr>
        <w:tab/>
      </w:r>
      <w:bookmarkEnd w:id="57"/>
      <w:bookmarkEnd w:id="58"/>
      <w:r w:rsidR="00B35E76" w:rsidRPr="003B70E3">
        <w:rPr>
          <w:lang w:val="de-DE"/>
        </w:rPr>
        <w:t>Bericht über die vierte Sitzung der informellen Arbeitsgruppe „Load-on-Top in Binnenschiffen“</w:t>
      </w:r>
    </w:p>
    <w:p w14:paraId="10B75062" w14:textId="4E8A3083" w:rsidR="008D79D0" w:rsidRPr="0024262E" w:rsidRDefault="00B35E76" w:rsidP="00B35E76">
      <w:pPr>
        <w:pStyle w:val="SingleTxtG"/>
        <w:rPr>
          <w:lang w:val="de-DE"/>
        </w:rPr>
      </w:pPr>
      <w:r w:rsidRPr="00B35E76">
        <w:rPr>
          <w:i/>
          <w:iCs/>
          <w:lang w:val="de-DE"/>
        </w:rPr>
        <w:t>Informelles Dokument:</w:t>
      </w:r>
      <w:r w:rsidR="008D79D0" w:rsidRPr="0024262E">
        <w:rPr>
          <w:lang w:val="de-DE"/>
        </w:rPr>
        <w:t xml:space="preserve"> </w:t>
      </w:r>
      <w:r w:rsidR="008D79D0" w:rsidRPr="0024262E">
        <w:rPr>
          <w:lang w:val="de-DE"/>
        </w:rPr>
        <w:tab/>
      </w:r>
      <w:r w:rsidR="008D79D0" w:rsidRPr="0024262E">
        <w:rPr>
          <w:lang w:val="de-DE"/>
        </w:rPr>
        <w:tab/>
      </w:r>
      <w:r w:rsidRPr="00B35E76">
        <w:rPr>
          <w:lang w:val="de-DE"/>
        </w:rPr>
        <w:t>INF.5 (Niederlande)</w:t>
      </w:r>
    </w:p>
    <w:p w14:paraId="639373C0" w14:textId="3EBC0904" w:rsidR="008D79D0" w:rsidRPr="0024262E" w:rsidRDefault="008026F8" w:rsidP="003B70E3">
      <w:pPr>
        <w:pStyle w:val="SingleTxtG"/>
        <w:rPr>
          <w:lang w:val="de-DE"/>
        </w:rPr>
      </w:pPr>
      <w:r w:rsidRPr="0024262E">
        <w:rPr>
          <w:lang w:val="de-DE"/>
        </w:rPr>
        <w:t>57</w:t>
      </w:r>
      <w:r w:rsidR="008D79D0" w:rsidRPr="0024262E">
        <w:rPr>
          <w:lang w:val="de-DE"/>
        </w:rPr>
        <w:t>.</w:t>
      </w:r>
      <w:r w:rsidR="008D79D0" w:rsidRPr="0024262E">
        <w:rPr>
          <w:lang w:val="de-DE"/>
        </w:rPr>
        <w:tab/>
      </w:r>
      <w:r w:rsidR="00135895" w:rsidRPr="003B70E3">
        <w:rPr>
          <w:lang w:val="de-DE"/>
        </w:rPr>
        <w:t xml:space="preserve">Der Sicherheitsausschuss nahm das Ergebnis der vierten Sitzung der informellen Arbeitsgruppe </w:t>
      </w:r>
      <w:bookmarkStart w:id="60" w:name="_Hlk34992184"/>
      <w:r w:rsidR="00135895" w:rsidRPr="003B70E3">
        <w:rPr>
          <w:lang w:val="de-DE"/>
        </w:rPr>
        <w:t xml:space="preserve">„Load-on-Top </w:t>
      </w:r>
      <w:bookmarkEnd w:id="60"/>
      <w:r w:rsidR="00135895" w:rsidRPr="003B70E3">
        <w:rPr>
          <w:lang w:val="de-DE"/>
        </w:rPr>
        <w:t xml:space="preserve">in Binnenschiffen“ zur Kenntnis und ermunterte die </w:t>
      </w:r>
      <w:r w:rsidR="00CC34C3" w:rsidRPr="003B70E3">
        <w:rPr>
          <w:lang w:val="de-DE"/>
        </w:rPr>
        <w:t>Arbeitsg</w:t>
      </w:r>
      <w:r w:rsidR="00135895" w:rsidRPr="003B70E3">
        <w:rPr>
          <w:lang w:val="de-DE"/>
        </w:rPr>
        <w:t>ruppe, ihrem Mandat entsprechend fortzufahren.</w:t>
      </w:r>
      <w:r w:rsidR="008D79D0" w:rsidRPr="0024262E">
        <w:rPr>
          <w:lang w:val="de-DE"/>
        </w:rPr>
        <w:t xml:space="preserve"> </w:t>
      </w:r>
      <w:r w:rsidR="00CC34C3" w:rsidRPr="003B70E3">
        <w:rPr>
          <w:lang w:val="de-DE"/>
        </w:rPr>
        <w:t>Es wurde empfohlen, einen zweistufigen Ansatz zu verfolgen, d. h.</w:t>
      </w:r>
      <w:r w:rsidR="008D79D0" w:rsidRPr="0024262E">
        <w:rPr>
          <w:lang w:val="de-DE"/>
        </w:rPr>
        <w:t xml:space="preserve"> </w:t>
      </w:r>
      <w:r w:rsidR="00E071FE" w:rsidRPr="003B70E3">
        <w:rPr>
          <w:lang w:val="de-DE"/>
        </w:rPr>
        <w:t>a) zu untersuchen, ob das ADN das richtige Rechtsinstrument ist, um „Load-on-Top“-Arbeiten zu regeln, und b) die</w:t>
      </w:r>
      <w:r w:rsidR="00180CD6" w:rsidRPr="003B70E3">
        <w:rPr>
          <w:lang w:val="de-DE"/>
        </w:rPr>
        <w:t xml:space="preserve"> vielfältigen Aufgaben</w:t>
      </w:r>
      <w:r w:rsidR="004D6D54" w:rsidRPr="003B70E3">
        <w:rPr>
          <w:lang w:val="de-DE"/>
        </w:rPr>
        <w:t>,</w:t>
      </w:r>
      <w:r w:rsidR="00180CD6" w:rsidRPr="003B70E3">
        <w:rPr>
          <w:lang w:val="de-DE"/>
        </w:rPr>
        <w:t xml:space="preserve"> die im informellen Dokument INF.5 aufgeführt sind, so weit wie möglich zu organisieren.</w:t>
      </w:r>
      <w:r w:rsidR="008D79D0" w:rsidRPr="0024262E">
        <w:rPr>
          <w:lang w:val="de-DE"/>
        </w:rPr>
        <w:t xml:space="preserve"> </w:t>
      </w:r>
      <w:r w:rsidR="003E4B2A" w:rsidRPr="003B70E3">
        <w:rPr>
          <w:lang w:val="de-DE"/>
        </w:rPr>
        <w:t>Der Vorsitzende lud alle interessierten Parteien ein, sich an dieser Arbeit zu beteiligen.</w:t>
      </w:r>
    </w:p>
    <w:bookmarkEnd w:id="59"/>
    <w:p w14:paraId="2ACC76C6" w14:textId="142603E8" w:rsidR="008D79D0" w:rsidRPr="0024262E" w:rsidRDefault="008D79D0" w:rsidP="003B70E3">
      <w:pPr>
        <w:pStyle w:val="H1G"/>
        <w:rPr>
          <w:lang w:val="de-DE"/>
        </w:rPr>
      </w:pPr>
      <w:r w:rsidRPr="0024262E">
        <w:rPr>
          <w:lang w:val="de-DE"/>
        </w:rPr>
        <w:tab/>
      </w:r>
      <w:bookmarkStart w:id="61" w:name="_Toc32481676"/>
      <w:r w:rsidR="003E4B2A" w:rsidRPr="003B70E3">
        <w:rPr>
          <w:lang w:val="de-DE"/>
        </w:rPr>
        <w:t>D.</w:t>
      </w:r>
      <w:r w:rsidRPr="0024262E">
        <w:rPr>
          <w:lang w:val="de-DE"/>
        </w:rPr>
        <w:tab/>
      </w:r>
      <w:bookmarkEnd w:id="61"/>
      <w:r w:rsidR="003E4B2A" w:rsidRPr="003B70E3">
        <w:rPr>
          <w:lang w:val="de-DE"/>
        </w:rPr>
        <w:t>Bericht der informellen Arbeitsgruppe „Entgasen/Betriebsemissionen“</w:t>
      </w:r>
    </w:p>
    <w:p w14:paraId="00F56499" w14:textId="2D983649" w:rsidR="008D79D0" w:rsidRPr="0024262E" w:rsidRDefault="003E4B2A" w:rsidP="003E4B2A">
      <w:pPr>
        <w:pStyle w:val="SingleTxtG"/>
        <w:rPr>
          <w:lang w:val="de-DE"/>
        </w:rPr>
      </w:pPr>
      <w:r w:rsidRPr="003E4B2A">
        <w:rPr>
          <w:i/>
          <w:iCs/>
          <w:lang w:val="de-DE"/>
        </w:rPr>
        <w:t>Informelles Dokument:</w:t>
      </w:r>
      <w:r w:rsidR="008D79D0" w:rsidRPr="0024262E">
        <w:rPr>
          <w:lang w:val="de-DE"/>
        </w:rPr>
        <w:t xml:space="preserve"> </w:t>
      </w:r>
      <w:r w:rsidR="008D79D0" w:rsidRPr="0024262E">
        <w:rPr>
          <w:lang w:val="de-DE"/>
        </w:rPr>
        <w:tab/>
      </w:r>
      <w:r w:rsidR="008D79D0" w:rsidRPr="0024262E">
        <w:rPr>
          <w:lang w:val="de-DE"/>
        </w:rPr>
        <w:tab/>
      </w:r>
      <w:r w:rsidRPr="003E4B2A">
        <w:rPr>
          <w:lang w:val="de-DE"/>
        </w:rPr>
        <w:t>INF.11 (Belgien)</w:t>
      </w:r>
    </w:p>
    <w:p w14:paraId="6120ECD0" w14:textId="3708208A" w:rsidR="008D79D0" w:rsidRPr="0024262E" w:rsidRDefault="008026F8" w:rsidP="003B70E3">
      <w:pPr>
        <w:pStyle w:val="SingleTxtG"/>
        <w:rPr>
          <w:lang w:val="de-DE"/>
        </w:rPr>
      </w:pPr>
      <w:r w:rsidRPr="0024262E">
        <w:rPr>
          <w:lang w:val="de-DE"/>
        </w:rPr>
        <w:t>58</w:t>
      </w:r>
      <w:r w:rsidR="008D79D0" w:rsidRPr="0024262E">
        <w:rPr>
          <w:lang w:val="de-DE"/>
        </w:rPr>
        <w:t>.</w:t>
      </w:r>
      <w:r w:rsidR="008D79D0" w:rsidRPr="0024262E">
        <w:rPr>
          <w:lang w:val="de-DE"/>
        </w:rPr>
        <w:tab/>
      </w:r>
      <w:r w:rsidR="003E4B2A" w:rsidRPr="003B70E3">
        <w:rPr>
          <w:lang w:val="de-DE"/>
        </w:rPr>
        <w:t>Der Sicherheitsausschuss nahm den Bericht im informellen Dokument INF.11 über die erste Sitzung der informellen Arbeitsgruppe „Entgasen/Betriebsemissionen“ zur Kenntnis.</w:t>
      </w:r>
      <w:r w:rsidR="008D79D0" w:rsidRPr="0024262E">
        <w:rPr>
          <w:lang w:val="de-DE"/>
        </w:rPr>
        <w:t xml:space="preserve"> </w:t>
      </w:r>
      <w:r w:rsidR="003E4B2A" w:rsidRPr="003B70E3">
        <w:rPr>
          <w:lang w:val="de-DE"/>
        </w:rPr>
        <w:t xml:space="preserve">Der Sicherheitsausschuss konnte </w:t>
      </w:r>
      <w:r w:rsidR="002C2C89" w:rsidRPr="003B70E3">
        <w:rPr>
          <w:lang w:val="de-DE"/>
        </w:rPr>
        <w:t>sich d</w:t>
      </w:r>
      <w:r w:rsidR="003E4B2A" w:rsidRPr="003B70E3">
        <w:rPr>
          <w:lang w:val="de-DE"/>
        </w:rPr>
        <w:t>e</w:t>
      </w:r>
      <w:r w:rsidR="002C2C89" w:rsidRPr="003B70E3">
        <w:rPr>
          <w:lang w:val="de-DE"/>
        </w:rPr>
        <w:t>r</w:t>
      </w:r>
      <w:r w:rsidR="003E4B2A" w:rsidRPr="003B70E3">
        <w:rPr>
          <w:lang w:val="de-DE"/>
        </w:rPr>
        <w:t xml:space="preserve"> </w:t>
      </w:r>
      <w:r w:rsidR="00847818" w:rsidRPr="003B70E3">
        <w:rPr>
          <w:lang w:val="de-DE"/>
        </w:rPr>
        <w:t>Feststellung der Arbeitsgruppe in Absatz</w:t>
      </w:r>
      <w:r w:rsidR="005671FD">
        <w:rPr>
          <w:lang w:val="de-DE"/>
        </w:rPr>
        <w:t> </w:t>
      </w:r>
      <w:r w:rsidR="00847818" w:rsidRPr="003B70E3">
        <w:rPr>
          <w:lang w:val="de-DE"/>
        </w:rPr>
        <w:t>4 des informellen Dokuments INF.11</w:t>
      </w:r>
      <w:r w:rsidR="003E4B2A" w:rsidRPr="003B70E3">
        <w:rPr>
          <w:lang w:val="de-DE"/>
        </w:rPr>
        <w:t xml:space="preserve">, dass die Emissionen in vier Arten unterteilt werden könnten, nicht vollständig </w:t>
      </w:r>
      <w:r w:rsidR="002C2C89" w:rsidRPr="003B70E3">
        <w:rPr>
          <w:lang w:val="de-DE"/>
        </w:rPr>
        <w:t>anschließen</w:t>
      </w:r>
      <w:r w:rsidR="003E4B2A" w:rsidRPr="003B70E3">
        <w:rPr>
          <w:lang w:val="de-DE"/>
        </w:rPr>
        <w:t>.</w:t>
      </w:r>
      <w:r w:rsidR="008D79D0" w:rsidRPr="0024262E">
        <w:rPr>
          <w:lang w:val="de-DE"/>
        </w:rPr>
        <w:t xml:space="preserve"> </w:t>
      </w:r>
      <w:r w:rsidR="00F6579E" w:rsidRPr="003B70E3">
        <w:rPr>
          <w:lang w:val="de-DE"/>
        </w:rPr>
        <w:t>Die informelle Arbeitsgruppe wurde gebeten, ihre Arbeit fortzusetzen und auf der nächsten Sitzung Bericht zu erstatten.</w:t>
      </w:r>
    </w:p>
    <w:p w14:paraId="4729E059" w14:textId="52787213" w:rsidR="008D79D0" w:rsidRPr="0024262E" w:rsidRDefault="008D79D0" w:rsidP="003B70E3">
      <w:pPr>
        <w:pStyle w:val="HChG"/>
        <w:rPr>
          <w:lang w:val="de-DE"/>
        </w:rPr>
      </w:pPr>
      <w:r w:rsidRPr="0024262E">
        <w:rPr>
          <w:lang w:val="de-DE"/>
        </w:rPr>
        <w:lastRenderedPageBreak/>
        <w:tab/>
      </w:r>
      <w:bookmarkStart w:id="62" w:name="_Toc505688455"/>
      <w:bookmarkStart w:id="63" w:name="_Toc32481677"/>
      <w:r w:rsidR="00F6579E" w:rsidRPr="003B70E3">
        <w:rPr>
          <w:lang w:val="de-DE"/>
        </w:rPr>
        <w:t>VIII.</w:t>
      </w:r>
      <w:r w:rsidRPr="0024262E">
        <w:rPr>
          <w:lang w:val="de-DE"/>
        </w:rPr>
        <w:tab/>
      </w:r>
      <w:bookmarkEnd w:id="62"/>
      <w:bookmarkEnd w:id="63"/>
      <w:r w:rsidR="00F6579E" w:rsidRPr="003B70E3">
        <w:rPr>
          <w:lang w:val="de-DE"/>
        </w:rPr>
        <w:t>Arbeitsprogramm und Sitzungsplan (TOP 7)</w:t>
      </w:r>
    </w:p>
    <w:p w14:paraId="2C909425" w14:textId="03A80170" w:rsidR="008D79D0" w:rsidRPr="0024262E" w:rsidRDefault="008026F8" w:rsidP="003B70E3">
      <w:pPr>
        <w:pStyle w:val="SingleTxtG"/>
        <w:rPr>
          <w:lang w:val="de-DE"/>
        </w:rPr>
      </w:pPr>
      <w:r w:rsidRPr="0024262E">
        <w:rPr>
          <w:lang w:val="de-DE"/>
        </w:rPr>
        <w:t>59</w:t>
      </w:r>
      <w:r w:rsidR="008D79D0" w:rsidRPr="0024262E">
        <w:rPr>
          <w:lang w:val="de-DE"/>
        </w:rPr>
        <w:t>.</w:t>
      </w:r>
      <w:r w:rsidR="008D79D0" w:rsidRPr="0024262E">
        <w:rPr>
          <w:lang w:val="de-DE"/>
        </w:rPr>
        <w:tab/>
      </w:r>
      <w:r w:rsidR="00F6579E" w:rsidRPr="003B70E3">
        <w:rPr>
          <w:lang w:val="de-DE"/>
        </w:rPr>
        <w:t>Der Sicherheitsausschuss stellte fest, dass seine nächste Sitzung vom 2</w:t>
      </w:r>
      <w:r w:rsidR="00031968" w:rsidRPr="003B70E3">
        <w:rPr>
          <w:lang w:val="de-DE"/>
        </w:rPr>
        <w:t>4</w:t>
      </w:r>
      <w:r w:rsidR="00F6579E" w:rsidRPr="003B70E3">
        <w:rPr>
          <w:lang w:val="de-DE"/>
        </w:rPr>
        <w:t xml:space="preserve">. bis </w:t>
      </w:r>
      <w:r w:rsidR="00031968" w:rsidRPr="003B70E3">
        <w:rPr>
          <w:lang w:val="de-DE"/>
        </w:rPr>
        <w:t>28</w:t>
      </w:r>
      <w:r w:rsidR="00F6579E" w:rsidRPr="003B70E3">
        <w:rPr>
          <w:lang w:val="de-DE"/>
        </w:rPr>
        <w:t>.</w:t>
      </w:r>
      <w:r w:rsidR="005671FD">
        <w:rPr>
          <w:lang w:val="de-DE"/>
        </w:rPr>
        <w:t> </w:t>
      </w:r>
      <w:r w:rsidR="00F6579E" w:rsidRPr="003B70E3">
        <w:rPr>
          <w:lang w:val="de-DE"/>
        </w:rPr>
        <w:t>August 20</w:t>
      </w:r>
      <w:r w:rsidR="00031968" w:rsidRPr="003B70E3">
        <w:rPr>
          <w:lang w:val="de-DE"/>
        </w:rPr>
        <w:t>20</w:t>
      </w:r>
      <w:r w:rsidR="00F6579E" w:rsidRPr="003B70E3">
        <w:rPr>
          <w:lang w:val="de-DE"/>
        </w:rPr>
        <w:t xml:space="preserve"> in Genf stattfindet und die </w:t>
      </w:r>
      <w:r w:rsidR="00031968" w:rsidRPr="003B70E3">
        <w:rPr>
          <w:lang w:val="de-DE"/>
        </w:rPr>
        <w:t>vier</w:t>
      </w:r>
      <w:r w:rsidR="00F6579E" w:rsidRPr="003B70E3">
        <w:rPr>
          <w:lang w:val="de-DE"/>
        </w:rPr>
        <w:t xml:space="preserve">undzwanzigste Sitzung des ADN-Verwaltungsausschusses für den </w:t>
      </w:r>
      <w:r w:rsidR="00031968" w:rsidRPr="003B70E3">
        <w:rPr>
          <w:lang w:val="de-DE"/>
        </w:rPr>
        <w:t>28</w:t>
      </w:r>
      <w:r w:rsidR="00F6579E" w:rsidRPr="003B70E3">
        <w:rPr>
          <w:lang w:val="de-DE"/>
        </w:rPr>
        <w:t>. August 20</w:t>
      </w:r>
      <w:r w:rsidR="00031968" w:rsidRPr="003B70E3">
        <w:rPr>
          <w:lang w:val="de-DE"/>
        </w:rPr>
        <w:t>20</w:t>
      </w:r>
      <w:r w:rsidR="00F6579E" w:rsidRPr="003B70E3">
        <w:rPr>
          <w:lang w:val="de-DE"/>
        </w:rPr>
        <w:t xml:space="preserve"> anberaumt ist. Letzter Termin für die Einreichung von Dokumenten für diese Sitzungen ist der </w:t>
      </w:r>
      <w:r w:rsidR="00031968" w:rsidRPr="003B70E3">
        <w:rPr>
          <w:lang w:val="de-DE"/>
        </w:rPr>
        <w:t>29</w:t>
      </w:r>
      <w:r w:rsidR="00F6579E" w:rsidRPr="003B70E3">
        <w:rPr>
          <w:lang w:val="de-DE"/>
        </w:rPr>
        <w:t xml:space="preserve">. </w:t>
      </w:r>
      <w:r w:rsidR="00031968" w:rsidRPr="003B70E3">
        <w:rPr>
          <w:lang w:val="de-DE"/>
        </w:rPr>
        <w:t>Ma</w:t>
      </w:r>
      <w:r w:rsidR="00F6579E" w:rsidRPr="003B70E3">
        <w:rPr>
          <w:lang w:val="de-DE"/>
        </w:rPr>
        <w:t>i 20</w:t>
      </w:r>
      <w:r w:rsidR="00031968" w:rsidRPr="003B70E3">
        <w:rPr>
          <w:lang w:val="de-DE"/>
        </w:rPr>
        <w:t>20</w:t>
      </w:r>
      <w:r w:rsidR="00F6579E" w:rsidRPr="003B70E3">
        <w:rPr>
          <w:lang w:val="de-DE"/>
        </w:rPr>
        <w:t>.</w:t>
      </w:r>
    </w:p>
    <w:p w14:paraId="419012CD" w14:textId="1F38E278" w:rsidR="008D79D0" w:rsidRPr="0024262E" w:rsidRDefault="008026F8" w:rsidP="003B70E3">
      <w:pPr>
        <w:pStyle w:val="SingleTxtG"/>
        <w:rPr>
          <w:lang w:val="de-DE"/>
        </w:rPr>
      </w:pPr>
      <w:r w:rsidRPr="0024262E">
        <w:rPr>
          <w:lang w:val="de-DE"/>
        </w:rPr>
        <w:t>60</w:t>
      </w:r>
      <w:r w:rsidR="008D79D0" w:rsidRPr="0024262E">
        <w:rPr>
          <w:lang w:val="de-DE"/>
        </w:rPr>
        <w:t>.</w:t>
      </w:r>
      <w:r w:rsidR="008D79D0" w:rsidRPr="0024262E">
        <w:rPr>
          <w:lang w:val="de-DE"/>
        </w:rPr>
        <w:tab/>
      </w:r>
      <w:r w:rsidR="00031968" w:rsidRPr="003B70E3">
        <w:rPr>
          <w:lang w:val="de-DE"/>
        </w:rPr>
        <w:t>Es wurde daran erinnert, dass der Sicherheitsausschuss auf seiner siebenunddreißigsten Sitzung nur Berichtigungen bereits angenommener Texte oder Vorschläge zur Harmonisierung mit den Bestimmungen der Ausgaben 2021 des RID und des ADR zur Annahme und Inkraftsetzung am 1. Januar 2021 prüfen wird.</w:t>
      </w:r>
      <w:r w:rsidR="008D79D0" w:rsidRPr="0024262E">
        <w:rPr>
          <w:lang w:val="de-DE"/>
        </w:rPr>
        <w:t xml:space="preserve"> </w:t>
      </w:r>
      <w:r w:rsidR="00AD77AC" w:rsidRPr="003B70E3">
        <w:rPr>
          <w:lang w:val="de-DE"/>
        </w:rPr>
        <w:t>Alle anderen Änderungsvorschläge, die in dieser Sitzung zur Prüfung vorgelegt werden, werden für ein Inkrafttreten am 1. Januar 2023 geprüft.</w:t>
      </w:r>
    </w:p>
    <w:p w14:paraId="4F2E27A0" w14:textId="1467ABA3" w:rsidR="008D79D0" w:rsidRPr="0024262E" w:rsidRDefault="008D79D0" w:rsidP="00AD77AC">
      <w:pPr>
        <w:pStyle w:val="HChG"/>
        <w:rPr>
          <w:lang w:val="de-DE"/>
        </w:rPr>
      </w:pPr>
      <w:r w:rsidRPr="0024262E">
        <w:rPr>
          <w:lang w:val="de-DE"/>
        </w:rPr>
        <w:tab/>
      </w:r>
      <w:bookmarkStart w:id="64" w:name="_Toc505688456"/>
      <w:bookmarkStart w:id="65" w:name="_Toc32481678"/>
      <w:r w:rsidR="00AD77AC" w:rsidRPr="00AD77AC">
        <w:rPr>
          <w:lang w:val="de-DE"/>
        </w:rPr>
        <w:t>IX.</w:t>
      </w:r>
      <w:r w:rsidRPr="0024262E">
        <w:rPr>
          <w:lang w:val="de-DE"/>
        </w:rPr>
        <w:tab/>
      </w:r>
      <w:bookmarkEnd w:id="64"/>
      <w:bookmarkEnd w:id="65"/>
      <w:r w:rsidR="00AD77AC" w:rsidRPr="00AD77AC">
        <w:rPr>
          <w:lang w:val="de-DE"/>
        </w:rPr>
        <w:t>Verschiedenes (TOP 8)</w:t>
      </w:r>
    </w:p>
    <w:p w14:paraId="38B30735" w14:textId="218BBE5D" w:rsidR="008D79D0" w:rsidRPr="0024262E" w:rsidRDefault="00AD77AC" w:rsidP="00AD77AC">
      <w:pPr>
        <w:pStyle w:val="SingleTxtG"/>
        <w:rPr>
          <w:lang w:val="de-DE"/>
        </w:rPr>
      </w:pPr>
      <w:r w:rsidRPr="00AD77AC">
        <w:rPr>
          <w:i/>
          <w:iCs/>
          <w:lang w:val="de-DE"/>
        </w:rPr>
        <w:t>Informelle Dokumente:</w:t>
      </w:r>
      <w:r w:rsidR="008D79D0" w:rsidRPr="0024262E">
        <w:rPr>
          <w:lang w:val="de-DE"/>
        </w:rPr>
        <w:t xml:space="preserve"> </w:t>
      </w:r>
      <w:r w:rsidR="008D79D0" w:rsidRPr="0024262E">
        <w:rPr>
          <w:lang w:val="de-DE"/>
        </w:rPr>
        <w:tab/>
      </w:r>
      <w:r w:rsidRPr="00AD77AC">
        <w:rPr>
          <w:lang w:val="de-DE"/>
        </w:rPr>
        <w:t>INF.16 und Add.1 (Sekretariat)</w:t>
      </w:r>
    </w:p>
    <w:p w14:paraId="47284D2D" w14:textId="089FBEAE" w:rsidR="008D79D0" w:rsidRPr="0024262E" w:rsidRDefault="008026F8" w:rsidP="003B70E3">
      <w:pPr>
        <w:pStyle w:val="SingleTxtG"/>
        <w:rPr>
          <w:lang w:val="de-DE"/>
        </w:rPr>
      </w:pPr>
      <w:r w:rsidRPr="0024262E">
        <w:rPr>
          <w:lang w:val="de-DE"/>
        </w:rPr>
        <w:t>61</w:t>
      </w:r>
      <w:r w:rsidR="008D79D0" w:rsidRPr="0024262E">
        <w:rPr>
          <w:lang w:val="de-DE"/>
        </w:rPr>
        <w:t>.</w:t>
      </w:r>
      <w:r w:rsidR="008D79D0" w:rsidRPr="0024262E">
        <w:rPr>
          <w:lang w:val="de-DE"/>
        </w:rPr>
        <w:tab/>
      </w:r>
      <w:r w:rsidR="00AD77AC" w:rsidRPr="003B70E3">
        <w:rPr>
          <w:lang w:val="de-DE"/>
        </w:rPr>
        <w:t xml:space="preserve">Der Sicherheitsausschuss nahm zur Kenntnis, dass sich die Gemeinsame Tagung und die WP.15 auf </w:t>
      </w:r>
      <w:r w:rsidR="003F42B8" w:rsidRPr="003B70E3">
        <w:rPr>
          <w:lang w:val="de-DE"/>
        </w:rPr>
        <w:t>R</w:t>
      </w:r>
      <w:r w:rsidR="00AD77AC" w:rsidRPr="003B70E3">
        <w:rPr>
          <w:lang w:val="de-DE"/>
        </w:rPr>
        <w:t>i</w:t>
      </w:r>
      <w:r w:rsidR="003F42B8" w:rsidRPr="003B70E3">
        <w:rPr>
          <w:lang w:val="de-DE"/>
        </w:rPr>
        <w:t>ch</w:t>
      </w:r>
      <w:r w:rsidR="00AD77AC" w:rsidRPr="003B70E3">
        <w:rPr>
          <w:lang w:val="de-DE"/>
        </w:rPr>
        <w:t xml:space="preserve">tlinien für die Anwendung des Unterabschnitts 5.4.0.2 RID/ADR/ADN geeinigt haben, die von der informellen Arbeitsgruppe </w:t>
      </w:r>
      <w:r w:rsidR="003F42B8" w:rsidRPr="003B70E3">
        <w:rPr>
          <w:lang w:val="de-DE"/>
        </w:rPr>
        <w:t>„</w:t>
      </w:r>
      <w:r w:rsidR="00AD77AC" w:rsidRPr="003B70E3">
        <w:rPr>
          <w:lang w:val="de-DE"/>
        </w:rPr>
        <w:t>Telematik</w:t>
      </w:r>
      <w:r w:rsidR="003F42B8" w:rsidRPr="003B70E3">
        <w:rPr>
          <w:lang w:val="de-DE"/>
        </w:rPr>
        <w:t>“</w:t>
      </w:r>
      <w:r w:rsidR="00AD77AC" w:rsidRPr="003B70E3">
        <w:rPr>
          <w:lang w:val="de-DE"/>
        </w:rPr>
        <w:t xml:space="preserve"> ausgearbeitet worden waren.</w:t>
      </w:r>
      <w:r w:rsidR="008D79D0" w:rsidRPr="0024262E">
        <w:rPr>
          <w:lang w:val="de-DE"/>
        </w:rPr>
        <w:t xml:space="preserve"> </w:t>
      </w:r>
      <w:r w:rsidR="003F42B8" w:rsidRPr="003B70E3">
        <w:rPr>
          <w:lang w:val="de-DE"/>
        </w:rPr>
        <w:t xml:space="preserve">Es wurde festgestellt, dass die </w:t>
      </w:r>
      <w:r w:rsidR="00FF7839" w:rsidRPr="003B70E3">
        <w:rPr>
          <w:lang w:val="de-DE"/>
        </w:rPr>
        <w:t>Anwendung der Richtlinien durch die Vertragsparteien auf freiwilliger Basis und für jeden Verkehrsträger getrennt erfolgen kann.</w:t>
      </w:r>
      <w:r w:rsidR="008D79D0" w:rsidRPr="0024262E">
        <w:rPr>
          <w:lang w:val="de-DE"/>
        </w:rPr>
        <w:t xml:space="preserve"> </w:t>
      </w:r>
      <w:r w:rsidR="00FF7839" w:rsidRPr="003B70E3">
        <w:rPr>
          <w:lang w:val="de-DE"/>
        </w:rPr>
        <w:t>Wenn sie verwendet werden, müssen sie jedoch konsequent angewendet werden.</w:t>
      </w:r>
      <w:r w:rsidR="008D79D0" w:rsidRPr="0024262E">
        <w:rPr>
          <w:lang w:val="de-DE"/>
        </w:rPr>
        <w:t xml:space="preserve"> </w:t>
      </w:r>
      <w:r w:rsidR="00FF7839" w:rsidRPr="003B70E3">
        <w:rPr>
          <w:lang w:val="de-DE"/>
        </w:rPr>
        <w:t>Es wurde festgestellt, dass Anlage 1 des informellen Dokuments INF.16 die Richtlinien in Englisch, Französisch und Russisch enthält.</w:t>
      </w:r>
    </w:p>
    <w:p w14:paraId="702597C7" w14:textId="18ADE648" w:rsidR="008D79D0" w:rsidRPr="0024262E" w:rsidRDefault="008026F8" w:rsidP="003B70E3">
      <w:pPr>
        <w:pStyle w:val="SingleTxtG"/>
        <w:rPr>
          <w:lang w:val="de-DE"/>
        </w:rPr>
      </w:pPr>
      <w:r w:rsidRPr="0024262E">
        <w:rPr>
          <w:lang w:val="de-DE"/>
        </w:rPr>
        <w:t>62</w:t>
      </w:r>
      <w:r w:rsidR="008D79D0" w:rsidRPr="0024262E">
        <w:rPr>
          <w:lang w:val="de-DE"/>
        </w:rPr>
        <w:t>.</w:t>
      </w:r>
      <w:r w:rsidR="008D79D0" w:rsidRPr="0024262E">
        <w:rPr>
          <w:lang w:val="de-DE"/>
        </w:rPr>
        <w:tab/>
      </w:r>
      <w:r w:rsidR="00FF7839" w:rsidRPr="003B70E3">
        <w:rPr>
          <w:lang w:val="de-DE"/>
        </w:rPr>
        <w:t>Der Sicherheitsausschuss billigte die Veröffentlichung der Richtlinien auf der UNECE-Website.</w:t>
      </w:r>
    </w:p>
    <w:p w14:paraId="6D3CA4BA" w14:textId="0D1EC075" w:rsidR="008D79D0" w:rsidRPr="0024262E" w:rsidRDefault="008026F8" w:rsidP="003B70E3">
      <w:pPr>
        <w:pStyle w:val="SingleTxtG"/>
        <w:rPr>
          <w:lang w:val="de-DE"/>
        </w:rPr>
      </w:pPr>
      <w:r w:rsidRPr="0024262E">
        <w:rPr>
          <w:lang w:val="de-DE"/>
        </w:rPr>
        <w:t>63</w:t>
      </w:r>
      <w:r w:rsidR="008D79D0" w:rsidRPr="0024262E">
        <w:rPr>
          <w:lang w:val="de-DE"/>
        </w:rPr>
        <w:t>.</w:t>
      </w:r>
      <w:r w:rsidR="008D79D0" w:rsidRPr="0024262E">
        <w:rPr>
          <w:lang w:val="de-DE"/>
        </w:rPr>
        <w:tab/>
      </w:r>
      <w:r w:rsidR="00FF7839" w:rsidRPr="003B70E3">
        <w:rPr>
          <w:lang w:val="de-DE"/>
        </w:rPr>
        <w:t xml:space="preserve">Der Vorsitzende ermunterte die Mitglieder des Sicherheitsausschusses, ihre Erfahrungen mit der Verwendung von </w:t>
      </w:r>
      <w:proofErr w:type="spellStart"/>
      <w:r w:rsidR="00FF7839" w:rsidRPr="003B70E3">
        <w:rPr>
          <w:lang w:val="de-DE"/>
        </w:rPr>
        <w:t>eDokumenten</w:t>
      </w:r>
      <w:proofErr w:type="spellEnd"/>
      <w:r w:rsidR="00FF7839" w:rsidRPr="003B70E3">
        <w:rPr>
          <w:lang w:val="de-DE"/>
        </w:rPr>
        <w:t xml:space="preserve"> mit der informellen Arbeitsgruppe „Telematik“ zu teilen.</w:t>
      </w:r>
      <w:r w:rsidR="008D79D0" w:rsidRPr="0024262E">
        <w:rPr>
          <w:lang w:val="de-DE"/>
        </w:rPr>
        <w:t xml:space="preserve"> </w:t>
      </w:r>
      <w:r w:rsidR="00AA095A" w:rsidRPr="003B70E3">
        <w:rPr>
          <w:lang w:val="de-DE"/>
        </w:rPr>
        <w:t xml:space="preserve">Dies könnte zur Ermittlung möglicher Probleme beim Einsatz </w:t>
      </w:r>
      <w:r w:rsidR="003B70E3" w:rsidRPr="003B70E3">
        <w:rPr>
          <w:lang w:val="de-DE"/>
        </w:rPr>
        <w:t>von</w:t>
      </w:r>
      <w:r w:rsidR="00AA095A" w:rsidRPr="003B70E3">
        <w:rPr>
          <w:lang w:val="de-DE"/>
        </w:rPr>
        <w:t xml:space="preserve"> Telematik in der Binnenschifffahrt beitragen.</w:t>
      </w:r>
    </w:p>
    <w:p w14:paraId="4A886217" w14:textId="07E878E5" w:rsidR="008D79D0" w:rsidRPr="0024262E" w:rsidRDefault="008D79D0" w:rsidP="003B70E3">
      <w:pPr>
        <w:pStyle w:val="HChG"/>
        <w:rPr>
          <w:lang w:val="de-DE"/>
        </w:rPr>
      </w:pPr>
      <w:r w:rsidRPr="0024262E">
        <w:rPr>
          <w:lang w:val="de-DE"/>
        </w:rPr>
        <w:tab/>
      </w:r>
      <w:bookmarkStart w:id="66" w:name="_Toc505688457"/>
      <w:bookmarkStart w:id="67" w:name="_Toc32481679"/>
      <w:r w:rsidR="00FD6636" w:rsidRPr="003B70E3">
        <w:rPr>
          <w:lang w:val="de-DE"/>
        </w:rPr>
        <w:t>X.</w:t>
      </w:r>
      <w:r w:rsidRPr="0024262E">
        <w:rPr>
          <w:lang w:val="de-DE"/>
        </w:rPr>
        <w:tab/>
      </w:r>
      <w:bookmarkEnd w:id="66"/>
      <w:bookmarkEnd w:id="67"/>
      <w:r w:rsidR="00FD6636" w:rsidRPr="00FD6636">
        <w:rPr>
          <w:lang w:val="de-DE"/>
        </w:rPr>
        <w:t>Genehmigung des Sitzungsprotokolls (TOP 9)</w:t>
      </w:r>
    </w:p>
    <w:p w14:paraId="707F211D" w14:textId="6FF69B18" w:rsidR="008D79D0" w:rsidRPr="0024262E" w:rsidRDefault="008026F8" w:rsidP="00FD6636">
      <w:pPr>
        <w:pStyle w:val="SingleTxtG"/>
        <w:rPr>
          <w:lang w:val="de-DE"/>
        </w:rPr>
      </w:pPr>
      <w:r w:rsidRPr="0024262E">
        <w:rPr>
          <w:lang w:val="de-DE"/>
        </w:rPr>
        <w:t>64</w:t>
      </w:r>
      <w:r w:rsidR="008D79D0" w:rsidRPr="0024262E">
        <w:rPr>
          <w:lang w:val="de-DE"/>
        </w:rPr>
        <w:t>.</w:t>
      </w:r>
      <w:r w:rsidR="008D79D0" w:rsidRPr="0024262E">
        <w:rPr>
          <w:lang w:val="de-DE"/>
        </w:rPr>
        <w:tab/>
      </w:r>
      <w:r w:rsidR="00FD6636" w:rsidRPr="00FD6636">
        <w:rPr>
          <w:lang w:val="de-DE"/>
        </w:rPr>
        <w:t>Der Sicherheitsausschuss genehmigte das Protokoll über seine sechsunddreißigste Sitzung auf der Grundlage eines Sekretariatsentwurfs.</w:t>
      </w:r>
    </w:p>
    <w:p w14:paraId="55B7A71F" w14:textId="3AC97394" w:rsidR="008E055B" w:rsidRPr="0024262E" w:rsidRDefault="008E055B" w:rsidP="00FD6636">
      <w:pPr>
        <w:pStyle w:val="HChG"/>
        <w:rPr>
          <w:lang w:val="de-DE"/>
        </w:rPr>
      </w:pPr>
      <w:r w:rsidRPr="0024262E">
        <w:rPr>
          <w:lang w:val="de-DE"/>
        </w:rPr>
        <w:br w:type="page"/>
      </w:r>
      <w:r w:rsidR="00FD6636" w:rsidRPr="00FD6636">
        <w:rPr>
          <w:lang w:val="de-DE"/>
        </w:rPr>
        <w:lastRenderedPageBreak/>
        <w:t>Anlage I</w:t>
      </w:r>
    </w:p>
    <w:p w14:paraId="0193418F" w14:textId="69A8BC34" w:rsidR="008E055B" w:rsidRPr="0024262E" w:rsidRDefault="008E055B" w:rsidP="00FD6636">
      <w:pPr>
        <w:pStyle w:val="HChG"/>
        <w:rPr>
          <w:lang w:val="de-DE"/>
        </w:rPr>
      </w:pPr>
      <w:r w:rsidRPr="0024262E">
        <w:rPr>
          <w:lang w:val="de-DE"/>
        </w:rPr>
        <w:tab/>
      </w:r>
      <w:r w:rsidRPr="0024262E">
        <w:rPr>
          <w:lang w:val="de-DE"/>
        </w:rPr>
        <w:tab/>
      </w:r>
      <w:r w:rsidR="00FD6636" w:rsidRPr="00FD6636">
        <w:rPr>
          <w:lang w:val="de-DE"/>
        </w:rPr>
        <w:t>Änderungsentwürfe zu der dem ADN beigefügten Verordnung, die am 1. Januar 2021 in Kraft treten sollen</w:t>
      </w:r>
    </w:p>
    <w:p w14:paraId="0FF28EAC" w14:textId="5F4BD38B" w:rsidR="009D2613" w:rsidRPr="0024262E" w:rsidRDefault="008E055B" w:rsidP="00FD6636">
      <w:pPr>
        <w:pStyle w:val="H4G"/>
        <w:rPr>
          <w:lang w:val="de-DE"/>
        </w:rPr>
      </w:pPr>
      <w:r w:rsidRPr="0024262E">
        <w:rPr>
          <w:lang w:val="de-DE"/>
        </w:rPr>
        <w:tab/>
      </w:r>
      <w:r w:rsidRPr="0024262E">
        <w:rPr>
          <w:lang w:val="de-DE"/>
        </w:rPr>
        <w:tab/>
      </w:r>
      <w:r w:rsidR="00FD6636" w:rsidRPr="00FD6636">
        <w:rPr>
          <w:lang w:val="de-DE"/>
        </w:rPr>
        <w:t>(siehe Dokument ECE/TRANS/WP.15/AC.2/74/Add.1)</w:t>
      </w:r>
    </w:p>
    <w:p w14:paraId="7D8EDC5E" w14:textId="77777777" w:rsidR="008026F8" w:rsidRPr="0024262E" w:rsidRDefault="008026F8" w:rsidP="008E055B">
      <w:pPr>
        <w:pStyle w:val="HChG"/>
        <w:rPr>
          <w:lang w:val="de-DE"/>
        </w:rPr>
      </w:pPr>
      <w:r w:rsidRPr="0024262E">
        <w:rPr>
          <w:lang w:val="de-DE"/>
        </w:rPr>
        <w:br w:type="page"/>
      </w:r>
    </w:p>
    <w:p w14:paraId="7DB0F034" w14:textId="0C2441DF" w:rsidR="00E61C74" w:rsidRPr="0024262E" w:rsidRDefault="00FD6636" w:rsidP="00FD6636">
      <w:pPr>
        <w:pStyle w:val="HChG"/>
        <w:rPr>
          <w:lang w:val="de-DE"/>
        </w:rPr>
      </w:pPr>
      <w:r w:rsidRPr="00FD6636">
        <w:rPr>
          <w:lang w:val="de-DE"/>
        </w:rPr>
        <w:lastRenderedPageBreak/>
        <w:t>Anlage II</w:t>
      </w:r>
    </w:p>
    <w:p w14:paraId="3E4ACE49" w14:textId="2BB434E6" w:rsidR="00E61C74" w:rsidRPr="0024262E" w:rsidRDefault="00E61C74" w:rsidP="00FD6636">
      <w:pPr>
        <w:pStyle w:val="HChG"/>
        <w:rPr>
          <w:lang w:val="de-DE"/>
        </w:rPr>
      </w:pPr>
      <w:r w:rsidRPr="0024262E">
        <w:rPr>
          <w:lang w:val="de-DE"/>
        </w:rPr>
        <w:tab/>
      </w:r>
      <w:r w:rsidRPr="0024262E">
        <w:rPr>
          <w:lang w:val="de-DE"/>
        </w:rPr>
        <w:tab/>
      </w:r>
      <w:r w:rsidR="00FD6636" w:rsidRPr="00FD6636">
        <w:rPr>
          <w:lang w:val="de-DE"/>
        </w:rPr>
        <w:t>Änderungen an den standardisierten Mustern der Schiffskontrolllisten</w:t>
      </w:r>
    </w:p>
    <w:p w14:paraId="2833E3C7" w14:textId="7AFF5BA0" w:rsidR="00E03FEA" w:rsidRPr="0024262E" w:rsidRDefault="00E03FEA" w:rsidP="00FD6636">
      <w:pPr>
        <w:pStyle w:val="H4G"/>
        <w:rPr>
          <w:lang w:val="de-DE"/>
        </w:rPr>
      </w:pPr>
      <w:r w:rsidRPr="0024262E">
        <w:rPr>
          <w:lang w:val="de-DE"/>
        </w:rPr>
        <w:tab/>
      </w:r>
      <w:r w:rsidRPr="0024262E">
        <w:rPr>
          <w:lang w:val="de-DE"/>
        </w:rPr>
        <w:tab/>
      </w:r>
      <w:r w:rsidR="00FD6636" w:rsidRPr="00FD6636">
        <w:rPr>
          <w:lang w:val="de-DE"/>
        </w:rPr>
        <w:t>(siehe Dokument ECE/TRANS/WP.15/AC.2/74/Add.1)</w:t>
      </w:r>
    </w:p>
    <w:p w14:paraId="046A88FB" w14:textId="77777777" w:rsidR="008026F8" w:rsidRPr="0024262E" w:rsidRDefault="008026F8" w:rsidP="008E055B">
      <w:pPr>
        <w:pStyle w:val="HChG"/>
        <w:rPr>
          <w:lang w:val="de-DE"/>
        </w:rPr>
      </w:pPr>
      <w:r w:rsidRPr="0024262E">
        <w:rPr>
          <w:lang w:val="de-DE"/>
        </w:rPr>
        <w:br w:type="page"/>
      </w:r>
    </w:p>
    <w:p w14:paraId="58F3EB17" w14:textId="2C82D356" w:rsidR="008E055B" w:rsidRPr="0024262E" w:rsidRDefault="00FD6636" w:rsidP="00FD6636">
      <w:pPr>
        <w:pStyle w:val="HChG"/>
        <w:rPr>
          <w:lang w:val="de-DE"/>
        </w:rPr>
      </w:pPr>
      <w:r w:rsidRPr="00FD6636">
        <w:rPr>
          <w:lang w:val="de-DE"/>
        </w:rPr>
        <w:lastRenderedPageBreak/>
        <w:t>Anlage III</w:t>
      </w:r>
    </w:p>
    <w:p w14:paraId="5992DE21" w14:textId="163016CB" w:rsidR="00E61C74" w:rsidRPr="0024262E" w:rsidRDefault="008E055B" w:rsidP="001A64D3">
      <w:pPr>
        <w:pStyle w:val="HChG"/>
        <w:spacing w:after="120"/>
        <w:rPr>
          <w:lang w:val="de-DE"/>
        </w:rPr>
      </w:pPr>
      <w:r w:rsidRPr="0024262E">
        <w:rPr>
          <w:lang w:val="de-DE"/>
        </w:rPr>
        <w:tab/>
      </w:r>
      <w:r w:rsidRPr="0024262E">
        <w:rPr>
          <w:lang w:val="de-DE"/>
        </w:rPr>
        <w:tab/>
      </w:r>
      <w:r w:rsidR="001A64D3" w:rsidRPr="001A64D3">
        <w:rPr>
          <w:lang w:val="de-DE"/>
        </w:rPr>
        <w:t>Berichtigungen am Dokument ECE/TRANS/276 (ADN-Ausgabe 2019)</w:t>
      </w:r>
    </w:p>
    <w:p w14:paraId="7E03397F" w14:textId="5D0971E9" w:rsidR="007D6443" w:rsidRPr="0024262E" w:rsidRDefault="00E61C74" w:rsidP="001A64D3">
      <w:pPr>
        <w:pStyle w:val="H4G"/>
        <w:rPr>
          <w:lang w:val="de-DE"/>
        </w:rPr>
      </w:pPr>
      <w:r w:rsidRPr="0024262E">
        <w:rPr>
          <w:lang w:val="de-DE"/>
        </w:rPr>
        <w:tab/>
      </w:r>
      <w:r w:rsidRPr="0024262E">
        <w:rPr>
          <w:lang w:val="de-DE"/>
        </w:rPr>
        <w:tab/>
      </w:r>
      <w:r w:rsidR="001A64D3" w:rsidRPr="001A64D3">
        <w:rPr>
          <w:lang w:val="de-DE"/>
        </w:rPr>
        <w:t>(bedürfen nicht der Zustimmung der Vertragsparteien)</w:t>
      </w:r>
    </w:p>
    <w:p w14:paraId="11DEF03F" w14:textId="4E63CD23" w:rsidR="008E055B" w:rsidRPr="0024262E" w:rsidRDefault="008E055B" w:rsidP="001B739C">
      <w:pPr>
        <w:pStyle w:val="H4G"/>
        <w:rPr>
          <w:lang w:val="de-DE"/>
        </w:rPr>
      </w:pPr>
      <w:r w:rsidRPr="0024262E">
        <w:rPr>
          <w:lang w:val="de-DE"/>
        </w:rPr>
        <w:tab/>
      </w:r>
      <w:r w:rsidRPr="0024262E">
        <w:rPr>
          <w:lang w:val="de-DE"/>
        </w:rPr>
        <w:tab/>
      </w:r>
      <w:r w:rsidR="001A64D3" w:rsidRPr="001A64D3">
        <w:rPr>
          <w:lang w:val="de-DE"/>
        </w:rPr>
        <w:t>(siehe Dokument ECE/TRANS/WP.15/AC.2/74/Add.1)</w:t>
      </w:r>
    </w:p>
    <w:p w14:paraId="74845571" w14:textId="3BCDE9C2" w:rsidR="009A75CB" w:rsidRPr="00196ECD" w:rsidRDefault="00196ECD">
      <w:pPr>
        <w:spacing w:before="240"/>
        <w:jc w:val="center"/>
        <w:rPr>
          <w:lang w:val="de-DE"/>
        </w:rPr>
      </w:pPr>
      <w:r w:rsidRPr="00196ECD">
        <w:rPr>
          <w:lang w:val="de-DE"/>
        </w:rPr>
        <w:t>***</w:t>
      </w:r>
    </w:p>
    <w:sectPr w:rsidR="009A75CB" w:rsidRPr="00196ECD" w:rsidSect="007C532B">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C1C4" w14:textId="77777777" w:rsidR="00475B0D" w:rsidRPr="0034396E" w:rsidRDefault="00475B0D" w:rsidP="0034396E">
      <w:pPr>
        <w:pStyle w:val="Pieddepage"/>
      </w:pPr>
    </w:p>
  </w:endnote>
  <w:endnote w:type="continuationSeparator" w:id="0">
    <w:p w14:paraId="19BB43A3" w14:textId="77777777" w:rsidR="00475B0D" w:rsidRPr="0034396E" w:rsidRDefault="00475B0D" w:rsidP="0034396E">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7447" w14:textId="77777777" w:rsidR="0024262E" w:rsidRPr="0024262E" w:rsidRDefault="0024262E" w:rsidP="0024262E">
    <w:pPr>
      <w:spacing w:line="240" w:lineRule="auto"/>
      <w:jc w:val="right"/>
      <w:rPr>
        <w:lang w:val="fr-FR"/>
      </w:rPr>
    </w:pPr>
    <w:r w:rsidRPr="003F2B10">
      <w:rPr>
        <w:rFonts w:ascii="Arial" w:eastAsia="SimSun" w:hAnsi="Arial"/>
        <w:noProof/>
        <w:sz w:val="12"/>
        <w:szCs w:val="24"/>
        <w:lang w:val="fr-FR" w:eastAsia="zh-CN"/>
      </w:rPr>
      <w:t>mm_ba/adn_wp15_ac2_7</w:t>
    </w:r>
    <w:r>
      <w:rPr>
        <w:rFonts w:ascii="Arial" w:eastAsia="SimSun" w:hAnsi="Arial"/>
        <w:noProof/>
        <w:sz w:val="12"/>
        <w:szCs w:val="24"/>
        <w:lang w:val="fr-FR" w:eastAsia="zh-CN"/>
      </w:rPr>
      <w:t>4</w:t>
    </w:r>
    <w:r w:rsidRPr="003F2B10">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53F1" w14:textId="1FFFA41C" w:rsidR="00475B0D" w:rsidRPr="0024262E" w:rsidRDefault="0024262E" w:rsidP="0024262E">
    <w:pPr>
      <w:spacing w:line="240" w:lineRule="auto"/>
      <w:jc w:val="right"/>
      <w:rPr>
        <w:lang w:val="fr-FR"/>
      </w:rPr>
    </w:pPr>
    <w:r w:rsidRPr="003F2B10">
      <w:rPr>
        <w:rFonts w:ascii="Arial" w:eastAsia="SimSun" w:hAnsi="Arial"/>
        <w:noProof/>
        <w:sz w:val="12"/>
        <w:szCs w:val="24"/>
        <w:lang w:val="fr-FR" w:eastAsia="zh-CN"/>
      </w:rPr>
      <w:t>mm_ba/adn_wp15_ac2_7</w:t>
    </w:r>
    <w:r>
      <w:rPr>
        <w:rFonts w:ascii="Arial" w:eastAsia="SimSun" w:hAnsi="Arial"/>
        <w:noProof/>
        <w:sz w:val="12"/>
        <w:szCs w:val="24"/>
        <w:lang w:val="fr-FR" w:eastAsia="zh-CN"/>
      </w:rPr>
      <w:t>4</w:t>
    </w:r>
    <w:r w:rsidRPr="003F2B10">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66F7" w14:textId="77777777" w:rsidR="00475B0D" w:rsidRPr="0034396E" w:rsidRDefault="00475B0D" w:rsidP="0034396E">
      <w:pPr>
        <w:tabs>
          <w:tab w:val="right" w:pos="2155"/>
        </w:tabs>
        <w:spacing w:after="80" w:line="240" w:lineRule="auto"/>
        <w:ind w:left="680"/>
      </w:pPr>
      <w:r>
        <w:rPr>
          <w:u w:val="single"/>
        </w:rPr>
        <w:tab/>
      </w:r>
    </w:p>
  </w:footnote>
  <w:footnote w:type="continuationSeparator" w:id="0">
    <w:p w14:paraId="0678287A" w14:textId="77777777" w:rsidR="00475B0D" w:rsidRPr="0034396E" w:rsidRDefault="00475B0D" w:rsidP="0034396E">
      <w:pPr>
        <w:tabs>
          <w:tab w:val="right" w:pos="2155"/>
        </w:tabs>
        <w:spacing w:after="80" w:line="240" w:lineRule="auto"/>
        <w:ind w:left="680"/>
      </w:pPr>
      <w:r>
        <w:rPr>
          <w:u w:val="single"/>
        </w:rPr>
        <w:tab/>
      </w:r>
    </w:p>
  </w:footnote>
  <w:footnote w:id="1">
    <w:p w14:paraId="03F2CABC" w14:textId="56CEFAE5" w:rsidR="00475B0D" w:rsidRPr="0024262E" w:rsidRDefault="00475B0D" w:rsidP="00027AD8">
      <w:pPr>
        <w:pStyle w:val="Notedebasdepage"/>
        <w:rPr>
          <w:lang w:val="de-DE"/>
        </w:rPr>
      </w:pPr>
      <w:r w:rsidRPr="0024262E">
        <w:rPr>
          <w:lang w:val="de-DE"/>
        </w:rPr>
        <w:tab/>
      </w:r>
      <w:r w:rsidRPr="0058649E">
        <w:rPr>
          <w:rStyle w:val="Appelnotedebasdep"/>
        </w:rPr>
        <w:sym w:font="Symbol" w:char="F02A"/>
      </w:r>
      <w:r w:rsidRPr="0024262E">
        <w:rPr>
          <w:lang w:val="de-DE"/>
        </w:rPr>
        <w:t xml:space="preserve"> </w:t>
      </w:r>
      <w:r w:rsidRPr="0024262E">
        <w:rPr>
          <w:lang w:val="de-DE"/>
        </w:rPr>
        <w:tab/>
      </w:r>
      <w:r w:rsidRPr="00027AD8">
        <w:rPr>
          <w:lang w:val="de-DE"/>
        </w:rPr>
        <w:t xml:space="preserve">Von der UN-ECE in Englisch, Französisch und Russisch unter dem Aktenzeichen </w:t>
      </w:r>
      <w:r w:rsidR="0024262E">
        <w:rPr>
          <w:lang w:val="de-DE"/>
        </w:rPr>
        <w:t>ECE/TRANS</w:t>
      </w:r>
      <w:r w:rsidRPr="00027AD8">
        <w:rPr>
          <w:lang w:val="de-DE"/>
        </w:rPr>
        <w:t>/WP.15/AC.2/74 verteilt.</w:t>
      </w:r>
    </w:p>
  </w:footnote>
  <w:footnote w:id="2">
    <w:p w14:paraId="1C43B146" w14:textId="2E8480A9" w:rsidR="00475B0D" w:rsidRPr="0024262E" w:rsidRDefault="00475B0D" w:rsidP="001E5CB1">
      <w:pPr>
        <w:pStyle w:val="Notedebasdepage"/>
        <w:rPr>
          <w:lang w:val="de-DE"/>
        </w:rPr>
      </w:pPr>
      <w:r w:rsidRPr="0024262E">
        <w:rPr>
          <w:lang w:val="de-DE"/>
        </w:rPr>
        <w:tab/>
      </w:r>
      <w:r>
        <w:rPr>
          <w:rStyle w:val="Appelnotedebasdep"/>
        </w:rPr>
        <w:footnoteRef/>
      </w:r>
      <w:r w:rsidRPr="0024262E">
        <w:rPr>
          <w:lang w:val="de-DE"/>
        </w:rPr>
        <w:tab/>
      </w:r>
      <w:r w:rsidRPr="001E5CB1">
        <w:rPr>
          <w:lang w:val="de-DE"/>
        </w:rPr>
        <w:t>Europäischer Ausschuss zur Ausarbeitung von Standards im Bereich der Binnenschifffahrt – CESNI (</w:t>
      </w:r>
      <w:hyperlink r:id="rId1" w:history="1">
        <w:r w:rsidRPr="001E5CB1">
          <w:rPr>
            <w:lang w:val="de-DE"/>
          </w:rPr>
          <w:t>www.cesni.eu</w:t>
        </w:r>
      </w:hyperlink>
      <w:r w:rsidRPr="001E5CB1">
        <w:rPr>
          <w:lang w:val="de-DE"/>
        </w:rPr>
        <w:t>).</w:t>
      </w:r>
    </w:p>
  </w:footnote>
  <w:footnote w:id="3">
    <w:p w14:paraId="63C2B379" w14:textId="38EA1D0D" w:rsidR="00475B0D" w:rsidRPr="0024262E" w:rsidRDefault="00475B0D" w:rsidP="001E5CB1">
      <w:pPr>
        <w:pStyle w:val="Notedebasdepage"/>
        <w:rPr>
          <w:lang w:val="de-DE"/>
        </w:rPr>
      </w:pPr>
      <w:r w:rsidRPr="0024262E">
        <w:rPr>
          <w:lang w:val="de-DE"/>
        </w:rPr>
        <w:tab/>
      </w:r>
      <w:r w:rsidRPr="00C474F4">
        <w:rPr>
          <w:rStyle w:val="Appelnotedebasdep"/>
          <w:sz w:val="16"/>
          <w:szCs w:val="16"/>
        </w:rPr>
        <w:footnoteRef/>
      </w:r>
      <w:r w:rsidRPr="0024262E">
        <w:rPr>
          <w:lang w:val="de-DE"/>
        </w:rPr>
        <w:tab/>
      </w:r>
      <w:r w:rsidRPr="001E5CB1">
        <w:rPr>
          <w:lang w:val="de-DE"/>
        </w:rPr>
        <w:t>Europäischer Standard der technischen Vorschriften für Binnenschiffe (ES-TRIN, http://www.cesni.eu/de/types/technische-vorschriften/).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034F" w14:textId="497E03FA" w:rsidR="0024262E" w:rsidRPr="003F2B10" w:rsidRDefault="0024262E" w:rsidP="0024262E">
    <w:pPr>
      <w:spacing w:line="240" w:lineRule="auto"/>
      <w:rPr>
        <w:rFonts w:ascii="Arial" w:hAnsi="Arial"/>
        <w:snapToGrid w:val="0"/>
        <w:sz w:val="16"/>
        <w:szCs w:val="16"/>
        <w:lang w:val="en-US" w:eastAsia="fr-FR"/>
      </w:rPr>
    </w:pPr>
    <w:bookmarkStart w:id="68" w:name="_Hlk35009453"/>
    <w:bookmarkStart w:id="69" w:name="_Hlk35009454"/>
    <w:r w:rsidRPr="003F2B10">
      <w:rPr>
        <w:rFonts w:ascii="Arial" w:hAnsi="Arial"/>
        <w:snapToGrid w:val="0"/>
        <w:sz w:val="16"/>
        <w:szCs w:val="16"/>
        <w:lang w:val="en-US" w:eastAsia="fr-FR"/>
      </w:rPr>
      <w:t>CCNR-ZKR/ADN/WP.15/AC.2/7</w:t>
    </w:r>
    <w:r>
      <w:rPr>
        <w:rFonts w:ascii="Arial" w:hAnsi="Arial"/>
        <w:snapToGrid w:val="0"/>
        <w:sz w:val="16"/>
        <w:szCs w:val="16"/>
        <w:lang w:val="en-US" w:eastAsia="fr-FR"/>
      </w:rPr>
      <w:t>4</w:t>
    </w:r>
  </w:p>
  <w:p w14:paraId="69D39BDA" w14:textId="77777777" w:rsidR="0024262E" w:rsidRPr="00925F82" w:rsidRDefault="0024262E" w:rsidP="0024262E">
    <w:pPr>
      <w:spacing w:line="240" w:lineRule="auto"/>
    </w:pPr>
    <w:proofErr w:type="spellStart"/>
    <w:r w:rsidRPr="003F2B10">
      <w:rPr>
        <w:rFonts w:ascii="Arial" w:eastAsia="SimSun" w:hAnsi="Arial"/>
        <w:snapToGrid w:val="0"/>
        <w:sz w:val="16"/>
        <w:szCs w:val="16"/>
        <w:lang w:eastAsia="fr-FR"/>
      </w:rPr>
      <w:t>Seite</w:t>
    </w:r>
    <w:proofErr w:type="spellEnd"/>
    <w:r w:rsidRPr="003F2B10">
      <w:rPr>
        <w:rFonts w:ascii="Arial" w:eastAsia="SimSun" w:hAnsi="Arial"/>
        <w:snapToGrid w:val="0"/>
        <w:sz w:val="16"/>
        <w:szCs w:val="16"/>
        <w:lang w:eastAsia="fr-FR"/>
      </w:rPr>
      <w:t xml:space="preserv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snapToGrid w:val="0"/>
        <w:sz w:val="16"/>
        <w:szCs w:val="16"/>
        <w:lang w:eastAsia="fr-FR"/>
      </w:rPr>
      <w:t>2</w:t>
    </w:r>
    <w:r w:rsidRPr="003F2B10">
      <w:rPr>
        <w:rFonts w:ascii="Arial" w:eastAsia="SimSun" w:hAnsi="Arial"/>
        <w:snapToGrid w:val="0"/>
        <w:sz w:val="16"/>
        <w:szCs w:val="16"/>
        <w:lang w:eastAsia="fr-FR"/>
      </w:rPr>
      <w:fldChar w:fldCharType="end"/>
    </w:r>
    <w:bookmarkEnd w:id="68"/>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75078" w14:textId="77777777" w:rsidR="0024262E" w:rsidRPr="003F2B10" w:rsidRDefault="0024262E" w:rsidP="0024262E">
    <w:pPr>
      <w:spacing w:line="240" w:lineRule="auto"/>
      <w:jc w:val="right"/>
      <w:rPr>
        <w:rFonts w:ascii="Arial" w:hAnsi="Arial"/>
        <w:snapToGrid w:val="0"/>
        <w:sz w:val="16"/>
        <w:szCs w:val="16"/>
        <w:lang w:val="en-US" w:eastAsia="fr-FR"/>
      </w:rPr>
    </w:pPr>
    <w:r w:rsidRPr="003F2B10">
      <w:rPr>
        <w:rFonts w:ascii="Arial" w:hAnsi="Arial"/>
        <w:snapToGrid w:val="0"/>
        <w:sz w:val="16"/>
        <w:szCs w:val="16"/>
        <w:lang w:val="en-US" w:eastAsia="fr-FR"/>
      </w:rPr>
      <w:t>CCNR-ZKR/ADN/WP.15/AC.2/7</w:t>
    </w:r>
    <w:r>
      <w:rPr>
        <w:rFonts w:ascii="Arial" w:hAnsi="Arial"/>
        <w:snapToGrid w:val="0"/>
        <w:sz w:val="16"/>
        <w:szCs w:val="16"/>
        <w:lang w:val="en-US" w:eastAsia="fr-FR"/>
      </w:rPr>
      <w:t>4</w:t>
    </w:r>
  </w:p>
  <w:p w14:paraId="0C76D04E" w14:textId="77777777" w:rsidR="0024262E" w:rsidRPr="00925F82" w:rsidRDefault="0024262E" w:rsidP="0024262E">
    <w:pPr>
      <w:spacing w:line="240" w:lineRule="auto"/>
      <w:jc w:val="right"/>
    </w:pPr>
    <w:proofErr w:type="spellStart"/>
    <w:r w:rsidRPr="003F2B10">
      <w:rPr>
        <w:rFonts w:ascii="Arial" w:eastAsia="SimSun" w:hAnsi="Arial"/>
        <w:snapToGrid w:val="0"/>
        <w:sz w:val="16"/>
        <w:szCs w:val="16"/>
        <w:lang w:eastAsia="fr-FR"/>
      </w:rPr>
      <w:t>Seite</w:t>
    </w:r>
    <w:proofErr w:type="spellEnd"/>
    <w:r w:rsidRPr="003F2B10">
      <w:rPr>
        <w:rFonts w:ascii="Arial" w:eastAsia="SimSun" w:hAnsi="Arial"/>
        <w:snapToGrid w:val="0"/>
        <w:sz w:val="16"/>
        <w:szCs w:val="16"/>
        <w:lang w:eastAsia="fr-FR"/>
      </w:rPr>
      <w:t xml:space="preserv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snapToGrid w:val="0"/>
        <w:sz w:val="16"/>
        <w:szCs w:val="16"/>
        <w:lang w:eastAsia="fr-FR"/>
      </w:rPr>
      <w:t>2</w:t>
    </w:r>
    <w:r w:rsidRPr="003F2B10">
      <w:rPr>
        <w:rFonts w:ascii="Arial" w:eastAsia="SimSun" w:hAnsi="Arial"/>
        <w:snapToGrid w:val="0"/>
        <w:sz w:val="16"/>
        <w:szCs w:val="16"/>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653D" w14:textId="77777777" w:rsidR="00475B0D" w:rsidRPr="0024262E" w:rsidRDefault="00475B0D" w:rsidP="0024262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10"/>
  </w:num>
  <w:num w:numId="7">
    <w:abstractNumId w:val="1"/>
  </w:num>
  <w:num w:numId="8">
    <w:abstractNumId w:val="9"/>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567"/>
  <w:hyphenationZone w:val="425"/>
  <w:evenAndOddHeaders/>
  <w:characterSpacingControl w:val="doNotCompress"/>
  <w:hdrShapeDefaults>
    <o:shapedefaults v:ext="edit" spidmax="8192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7"/>
    <w:rsid w:val="00005A50"/>
    <w:rsid w:val="00005BA1"/>
    <w:rsid w:val="00027AD8"/>
    <w:rsid w:val="00031968"/>
    <w:rsid w:val="00032DAE"/>
    <w:rsid w:val="000376C1"/>
    <w:rsid w:val="0004631D"/>
    <w:rsid w:val="00046E92"/>
    <w:rsid w:val="00056424"/>
    <w:rsid w:val="00066771"/>
    <w:rsid w:val="00070072"/>
    <w:rsid w:val="000720D6"/>
    <w:rsid w:val="00075662"/>
    <w:rsid w:val="00077C94"/>
    <w:rsid w:val="000801F4"/>
    <w:rsid w:val="00093170"/>
    <w:rsid w:val="000945FA"/>
    <w:rsid w:val="000A3AA6"/>
    <w:rsid w:val="000A4913"/>
    <w:rsid w:val="000A6CED"/>
    <w:rsid w:val="000C3150"/>
    <w:rsid w:val="000C544C"/>
    <w:rsid w:val="000D1FFF"/>
    <w:rsid w:val="000E0BAC"/>
    <w:rsid w:val="000E450A"/>
    <w:rsid w:val="000E7A00"/>
    <w:rsid w:val="000F41EF"/>
    <w:rsid w:val="00103A58"/>
    <w:rsid w:val="00104540"/>
    <w:rsid w:val="00106FC9"/>
    <w:rsid w:val="00107111"/>
    <w:rsid w:val="00114320"/>
    <w:rsid w:val="00132401"/>
    <w:rsid w:val="00135895"/>
    <w:rsid w:val="00144A91"/>
    <w:rsid w:val="001471D9"/>
    <w:rsid w:val="0016382C"/>
    <w:rsid w:val="001710B7"/>
    <w:rsid w:val="00180CD6"/>
    <w:rsid w:val="0018153D"/>
    <w:rsid w:val="001829F5"/>
    <w:rsid w:val="00186542"/>
    <w:rsid w:val="00196ECD"/>
    <w:rsid w:val="001A18AB"/>
    <w:rsid w:val="001A64D3"/>
    <w:rsid w:val="001B739C"/>
    <w:rsid w:val="001D1475"/>
    <w:rsid w:val="001D300C"/>
    <w:rsid w:val="001E20CF"/>
    <w:rsid w:val="001E24B8"/>
    <w:rsid w:val="001E493B"/>
    <w:rsid w:val="001E5CB1"/>
    <w:rsid w:val="001F1DD1"/>
    <w:rsid w:val="001F2CBA"/>
    <w:rsid w:val="001F7D96"/>
    <w:rsid w:val="0020109F"/>
    <w:rsid w:val="0022184B"/>
    <w:rsid w:val="0022340C"/>
    <w:rsid w:val="002268AD"/>
    <w:rsid w:val="002326CE"/>
    <w:rsid w:val="0024262E"/>
    <w:rsid w:val="00247E2C"/>
    <w:rsid w:val="00251B6A"/>
    <w:rsid w:val="002562ED"/>
    <w:rsid w:val="002633F5"/>
    <w:rsid w:val="002755BF"/>
    <w:rsid w:val="00283C07"/>
    <w:rsid w:val="00287147"/>
    <w:rsid w:val="00291C54"/>
    <w:rsid w:val="00293CE4"/>
    <w:rsid w:val="002963FC"/>
    <w:rsid w:val="002A3795"/>
    <w:rsid w:val="002B4D2A"/>
    <w:rsid w:val="002B538E"/>
    <w:rsid w:val="002B5957"/>
    <w:rsid w:val="002C2C89"/>
    <w:rsid w:val="002C4848"/>
    <w:rsid w:val="002D6C53"/>
    <w:rsid w:val="002D6EC8"/>
    <w:rsid w:val="002E35FE"/>
    <w:rsid w:val="002F155E"/>
    <w:rsid w:val="002F5195"/>
    <w:rsid w:val="002F5595"/>
    <w:rsid w:val="002F7070"/>
    <w:rsid w:val="00304C40"/>
    <w:rsid w:val="0030735C"/>
    <w:rsid w:val="00311291"/>
    <w:rsid w:val="00334F6A"/>
    <w:rsid w:val="00335309"/>
    <w:rsid w:val="00342740"/>
    <w:rsid w:val="00342AC8"/>
    <w:rsid w:val="0034396E"/>
    <w:rsid w:val="00346A83"/>
    <w:rsid w:val="00346DC7"/>
    <w:rsid w:val="00350A35"/>
    <w:rsid w:val="00353036"/>
    <w:rsid w:val="00353DC4"/>
    <w:rsid w:val="00362C3C"/>
    <w:rsid w:val="0038421A"/>
    <w:rsid w:val="00390413"/>
    <w:rsid w:val="00397A11"/>
    <w:rsid w:val="003A0257"/>
    <w:rsid w:val="003A0F10"/>
    <w:rsid w:val="003A195D"/>
    <w:rsid w:val="003A1A23"/>
    <w:rsid w:val="003A2B50"/>
    <w:rsid w:val="003B4550"/>
    <w:rsid w:val="003B70E3"/>
    <w:rsid w:val="003C0884"/>
    <w:rsid w:val="003C6220"/>
    <w:rsid w:val="003C744C"/>
    <w:rsid w:val="003E27FF"/>
    <w:rsid w:val="003E4B2A"/>
    <w:rsid w:val="003F42B8"/>
    <w:rsid w:val="003F6C4C"/>
    <w:rsid w:val="004001FF"/>
    <w:rsid w:val="0041148A"/>
    <w:rsid w:val="004205D4"/>
    <w:rsid w:val="00424071"/>
    <w:rsid w:val="004244CE"/>
    <w:rsid w:val="00427565"/>
    <w:rsid w:val="004276C6"/>
    <w:rsid w:val="00441E45"/>
    <w:rsid w:val="0046026C"/>
    <w:rsid w:val="00461253"/>
    <w:rsid w:val="004717D5"/>
    <w:rsid w:val="0047246E"/>
    <w:rsid w:val="004734D7"/>
    <w:rsid w:val="00475B0D"/>
    <w:rsid w:val="004849D2"/>
    <w:rsid w:val="00492514"/>
    <w:rsid w:val="00496134"/>
    <w:rsid w:val="004B0BB7"/>
    <w:rsid w:val="004B7866"/>
    <w:rsid w:val="004C3BA9"/>
    <w:rsid w:val="004C4576"/>
    <w:rsid w:val="004D0B6E"/>
    <w:rsid w:val="004D6D54"/>
    <w:rsid w:val="004E1929"/>
    <w:rsid w:val="004E4C3D"/>
    <w:rsid w:val="004E69E0"/>
    <w:rsid w:val="004E732D"/>
    <w:rsid w:val="00503E0F"/>
    <w:rsid w:val="005042C2"/>
    <w:rsid w:val="005048C7"/>
    <w:rsid w:val="005061CF"/>
    <w:rsid w:val="005101EE"/>
    <w:rsid w:val="00510CDD"/>
    <w:rsid w:val="00513679"/>
    <w:rsid w:val="0052286E"/>
    <w:rsid w:val="005313F3"/>
    <w:rsid w:val="0053603A"/>
    <w:rsid w:val="00551ADA"/>
    <w:rsid w:val="005575AE"/>
    <w:rsid w:val="0056277E"/>
    <w:rsid w:val="00564419"/>
    <w:rsid w:val="00564C68"/>
    <w:rsid w:val="00566D8F"/>
    <w:rsid w:val="005671FD"/>
    <w:rsid w:val="00567EF7"/>
    <w:rsid w:val="005767CA"/>
    <w:rsid w:val="0057767C"/>
    <w:rsid w:val="0058649E"/>
    <w:rsid w:val="00587F2E"/>
    <w:rsid w:val="0059721A"/>
    <w:rsid w:val="005A5393"/>
    <w:rsid w:val="005A790F"/>
    <w:rsid w:val="005C532F"/>
    <w:rsid w:val="005F1201"/>
    <w:rsid w:val="006005D1"/>
    <w:rsid w:val="00601F81"/>
    <w:rsid w:val="00604B80"/>
    <w:rsid w:val="0060504F"/>
    <w:rsid w:val="006109F6"/>
    <w:rsid w:val="0061756A"/>
    <w:rsid w:val="00624F9D"/>
    <w:rsid w:val="00625AA8"/>
    <w:rsid w:val="00627D4A"/>
    <w:rsid w:val="006304D7"/>
    <w:rsid w:val="00641660"/>
    <w:rsid w:val="00641A20"/>
    <w:rsid w:val="00642281"/>
    <w:rsid w:val="00644248"/>
    <w:rsid w:val="0066132A"/>
    <w:rsid w:val="006630BD"/>
    <w:rsid w:val="006646B1"/>
    <w:rsid w:val="00667AD2"/>
    <w:rsid w:val="00671529"/>
    <w:rsid w:val="00681DF6"/>
    <w:rsid w:val="00690CD6"/>
    <w:rsid w:val="00691D4D"/>
    <w:rsid w:val="00696547"/>
    <w:rsid w:val="00696B6C"/>
    <w:rsid w:val="006A449C"/>
    <w:rsid w:val="006A79B1"/>
    <w:rsid w:val="006B14A8"/>
    <w:rsid w:val="006B587D"/>
    <w:rsid w:val="006C4782"/>
    <w:rsid w:val="006C5308"/>
    <w:rsid w:val="006D1502"/>
    <w:rsid w:val="006D3B3B"/>
    <w:rsid w:val="007032AA"/>
    <w:rsid w:val="00714987"/>
    <w:rsid w:val="00725F19"/>
    <w:rsid w:val="007268F9"/>
    <w:rsid w:val="007347D8"/>
    <w:rsid w:val="00747D52"/>
    <w:rsid w:val="00756740"/>
    <w:rsid w:val="00771334"/>
    <w:rsid w:val="0078127C"/>
    <w:rsid w:val="00787108"/>
    <w:rsid w:val="0079196E"/>
    <w:rsid w:val="00793DF3"/>
    <w:rsid w:val="007941E3"/>
    <w:rsid w:val="00797925"/>
    <w:rsid w:val="007B6337"/>
    <w:rsid w:val="007C51B5"/>
    <w:rsid w:val="007C52B0"/>
    <w:rsid w:val="007C532B"/>
    <w:rsid w:val="007D21BD"/>
    <w:rsid w:val="007D6443"/>
    <w:rsid w:val="007D6A51"/>
    <w:rsid w:val="007D7421"/>
    <w:rsid w:val="007E4BA4"/>
    <w:rsid w:val="007E4EED"/>
    <w:rsid w:val="007E5147"/>
    <w:rsid w:val="007F448D"/>
    <w:rsid w:val="008026F8"/>
    <w:rsid w:val="00807FEA"/>
    <w:rsid w:val="00816BAA"/>
    <w:rsid w:val="00824174"/>
    <w:rsid w:val="008269FE"/>
    <w:rsid w:val="008412F0"/>
    <w:rsid w:val="008446CA"/>
    <w:rsid w:val="00847818"/>
    <w:rsid w:val="00851081"/>
    <w:rsid w:val="0085325E"/>
    <w:rsid w:val="00857642"/>
    <w:rsid w:val="008576A6"/>
    <w:rsid w:val="008713F0"/>
    <w:rsid w:val="008728A1"/>
    <w:rsid w:val="0087560A"/>
    <w:rsid w:val="0088163C"/>
    <w:rsid w:val="0088254B"/>
    <w:rsid w:val="00883FAB"/>
    <w:rsid w:val="00885428"/>
    <w:rsid w:val="00886B09"/>
    <w:rsid w:val="00895702"/>
    <w:rsid w:val="0089620A"/>
    <w:rsid w:val="008A0E52"/>
    <w:rsid w:val="008A4A49"/>
    <w:rsid w:val="008B6711"/>
    <w:rsid w:val="008C1E4C"/>
    <w:rsid w:val="008C5E52"/>
    <w:rsid w:val="008D5F6F"/>
    <w:rsid w:val="008D63EB"/>
    <w:rsid w:val="008D75ED"/>
    <w:rsid w:val="008D79D0"/>
    <w:rsid w:val="008E055B"/>
    <w:rsid w:val="008E1B51"/>
    <w:rsid w:val="008E1EE1"/>
    <w:rsid w:val="009011D9"/>
    <w:rsid w:val="00904503"/>
    <w:rsid w:val="009131E7"/>
    <w:rsid w:val="00914C83"/>
    <w:rsid w:val="0091534F"/>
    <w:rsid w:val="0092108D"/>
    <w:rsid w:val="00930E97"/>
    <w:rsid w:val="00936A34"/>
    <w:rsid w:val="009411B4"/>
    <w:rsid w:val="009412D0"/>
    <w:rsid w:val="00952B55"/>
    <w:rsid w:val="00953060"/>
    <w:rsid w:val="009716F8"/>
    <w:rsid w:val="00974EF9"/>
    <w:rsid w:val="00975B9A"/>
    <w:rsid w:val="009936E5"/>
    <w:rsid w:val="009A20FD"/>
    <w:rsid w:val="009A33F2"/>
    <w:rsid w:val="009A6900"/>
    <w:rsid w:val="009A75CB"/>
    <w:rsid w:val="009B78D8"/>
    <w:rsid w:val="009C1ADB"/>
    <w:rsid w:val="009C1F4F"/>
    <w:rsid w:val="009D0139"/>
    <w:rsid w:val="009D2613"/>
    <w:rsid w:val="009D5159"/>
    <w:rsid w:val="009D70DF"/>
    <w:rsid w:val="009E3AEC"/>
    <w:rsid w:val="009F375C"/>
    <w:rsid w:val="009F5CDC"/>
    <w:rsid w:val="00A00135"/>
    <w:rsid w:val="00A01E98"/>
    <w:rsid w:val="00A03574"/>
    <w:rsid w:val="00A16356"/>
    <w:rsid w:val="00A16F0B"/>
    <w:rsid w:val="00A21BC1"/>
    <w:rsid w:val="00A245E9"/>
    <w:rsid w:val="00A316B9"/>
    <w:rsid w:val="00A42AAA"/>
    <w:rsid w:val="00A437E5"/>
    <w:rsid w:val="00A522EB"/>
    <w:rsid w:val="00A775CF"/>
    <w:rsid w:val="00A87C0E"/>
    <w:rsid w:val="00A96695"/>
    <w:rsid w:val="00A97E6A"/>
    <w:rsid w:val="00AA095A"/>
    <w:rsid w:val="00AB0F8A"/>
    <w:rsid w:val="00AD4B1B"/>
    <w:rsid w:val="00AD77AC"/>
    <w:rsid w:val="00AF0B68"/>
    <w:rsid w:val="00AF18D9"/>
    <w:rsid w:val="00AF1EDD"/>
    <w:rsid w:val="00AF6464"/>
    <w:rsid w:val="00B06045"/>
    <w:rsid w:val="00B07263"/>
    <w:rsid w:val="00B162EC"/>
    <w:rsid w:val="00B2391A"/>
    <w:rsid w:val="00B35E76"/>
    <w:rsid w:val="00B45C33"/>
    <w:rsid w:val="00B54B06"/>
    <w:rsid w:val="00B72539"/>
    <w:rsid w:val="00B747F6"/>
    <w:rsid w:val="00B75EB2"/>
    <w:rsid w:val="00B85882"/>
    <w:rsid w:val="00B9749A"/>
    <w:rsid w:val="00BA265A"/>
    <w:rsid w:val="00BA5C77"/>
    <w:rsid w:val="00BA7CBF"/>
    <w:rsid w:val="00BB6D0D"/>
    <w:rsid w:val="00BC5E84"/>
    <w:rsid w:val="00BD15F5"/>
    <w:rsid w:val="00BE0967"/>
    <w:rsid w:val="00C13C89"/>
    <w:rsid w:val="00C208F6"/>
    <w:rsid w:val="00C34EA0"/>
    <w:rsid w:val="00C35A27"/>
    <w:rsid w:val="00C51EFD"/>
    <w:rsid w:val="00C53AEB"/>
    <w:rsid w:val="00C53FAF"/>
    <w:rsid w:val="00C63531"/>
    <w:rsid w:val="00C643A2"/>
    <w:rsid w:val="00C74667"/>
    <w:rsid w:val="00C7737E"/>
    <w:rsid w:val="00C808FB"/>
    <w:rsid w:val="00CB0F77"/>
    <w:rsid w:val="00CB18E0"/>
    <w:rsid w:val="00CB1D3A"/>
    <w:rsid w:val="00CB27ED"/>
    <w:rsid w:val="00CB632B"/>
    <w:rsid w:val="00CC34C3"/>
    <w:rsid w:val="00CD50D8"/>
    <w:rsid w:val="00CD6A28"/>
    <w:rsid w:val="00CE07EF"/>
    <w:rsid w:val="00CF12D9"/>
    <w:rsid w:val="00CF256F"/>
    <w:rsid w:val="00CF2E73"/>
    <w:rsid w:val="00CF5448"/>
    <w:rsid w:val="00CF5A29"/>
    <w:rsid w:val="00CF5AFE"/>
    <w:rsid w:val="00D0413C"/>
    <w:rsid w:val="00D04B46"/>
    <w:rsid w:val="00D05EAB"/>
    <w:rsid w:val="00D06B93"/>
    <w:rsid w:val="00D16B25"/>
    <w:rsid w:val="00D31F14"/>
    <w:rsid w:val="00D35288"/>
    <w:rsid w:val="00D3694F"/>
    <w:rsid w:val="00D6146A"/>
    <w:rsid w:val="00D70AA1"/>
    <w:rsid w:val="00D9380F"/>
    <w:rsid w:val="00DA137F"/>
    <w:rsid w:val="00DA63D3"/>
    <w:rsid w:val="00DA7906"/>
    <w:rsid w:val="00DC5498"/>
    <w:rsid w:val="00DD47EA"/>
    <w:rsid w:val="00DE7EB6"/>
    <w:rsid w:val="00DF5FB6"/>
    <w:rsid w:val="00E02C2B"/>
    <w:rsid w:val="00E02F2A"/>
    <w:rsid w:val="00E03FEA"/>
    <w:rsid w:val="00E071FE"/>
    <w:rsid w:val="00E13D4F"/>
    <w:rsid w:val="00E25CAB"/>
    <w:rsid w:val="00E36FD1"/>
    <w:rsid w:val="00E41CDE"/>
    <w:rsid w:val="00E61C74"/>
    <w:rsid w:val="00E62A69"/>
    <w:rsid w:val="00E62BDF"/>
    <w:rsid w:val="00E6587A"/>
    <w:rsid w:val="00E74AB4"/>
    <w:rsid w:val="00E75317"/>
    <w:rsid w:val="00E766C5"/>
    <w:rsid w:val="00E852A3"/>
    <w:rsid w:val="00E900B8"/>
    <w:rsid w:val="00E92CE9"/>
    <w:rsid w:val="00E971B8"/>
    <w:rsid w:val="00EB1F51"/>
    <w:rsid w:val="00EC4B3D"/>
    <w:rsid w:val="00ED08A2"/>
    <w:rsid w:val="00ED298E"/>
    <w:rsid w:val="00ED4FA3"/>
    <w:rsid w:val="00ED51F3"/>
    <w:rsid w:val="00ED6C48"/>
    <w:rsid w:val="00EF337D"/>
    <w:rsid w:val="00EF4592"/>
    <w:rsid w:val="00F04314"/>
    <w:rsid w:val="00F10D6B"/>
    <w:rsid w:val="00F25D15"/>
    <w:rsid w:val="00F327A4"/>
    <w:rsid w:val="00F36DC2"/>
    <w:rsid w:val="00F4318E"/>
    <w:rsid w:val="00F43F61"/>
    <w:rsid w:val="00F465BF"/>
    <w:rsid w:val="00F53F7A"/>
    <w:rsid w:val="00F6579E"/>
    <w:rsid w:val="00F65F5D"/>
    <w:rsid w:val="00F7188C"/>
    <w:rsid w:val="00F74D9D"/>
    <w:rsid w:val="00F84B2C"/>
    <w:rsid w:val="00F86A3A"/>
    <w:rsid w:val="00FA52DA"/>
    <w:rsid w:val="00FB06FA"/>
    <w:rsid w:val="00FC238A"/>
    <w:rsid w:val="00FD6636"/>
    <w:rsid w:val="00FE1AB9"/>
    <w:rsid w:val="00FF78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5A461E2"/>
  <w15:docId w15:val="{A669513A-04FB-4973-BBC8-B5B669D2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E0"/>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Footnote Reference/"/>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4E69E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B18E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8E0"/>
    <w:rPr>
      <w:rFonts w:ascii="Tahoma" w:eastAsia="Times New Roman" w:hAnsi="Tahoma" w:cs="Tahoma"/>
      <w:sz w:val="16"/>
      <w:szCs w:val="16"/>
      <w:lang w:eastAsia="en-US"/>
    </w:rPr>
  </w:style>
  <w:style w:type="character" w:customStyle="1" w:styleId="HChGChar">
    <w:name w:val="_ H _Ch_G Char"/>
    <w:link w:val="HChG"/>
    <w:rsid w:val="00304C40"/>
    <w:rPr>
      <w:rFonts w:ascii="Times New Roman" w:eastAsia="Times New Roman" w:hAnsi="Times New Roman" w:cs="Times New Roman"/>
      <w:b/>
      <w:sz w:val="28"/>
      <w:szCs w:val="20"/>
      <w:lang w:eastAsia="en-US"/>
    </w:rPr>
  </w:style>
  <w:style w:type="character" w:styleId="Marquedecommentaire">
    <w:name w:val="annotation reference"/>
    <w:basedOn w:val="Policepardfaut"/>
    <w:uiPriority w:val="99"/>
    <w:semiHidden/>
    <w:unhideWhenUsed/>
    <w:rsid w:val="00293CE4"/>
    <w:rPr>
      <w:sz w:val="16"/>
      <w:szCs w:val="16"/>
    </w:rPr>
  </w:style>
  <w:style w:type="paragraph" w:styleId="Commentaire">
    <w:name w:val="annotation text"/>
    <w:basedOn w:val="Normal"/>
    <w:link w:val="CommentaireCar"/>
    <w:uiPriority w:val="99"/>
    <w:unhideWhenUsed/>
    <w:rsid w:val="00293CE4"/>
    <w:pPr>
      <w:spacing w:line="240" w:lineRule="auto"/>
    </w:pPr>
  </w:style>
  <w:style w:type="character" w:customStyle="1" w:styleId="CommentaireCar">
    <w:name w:val="Commentaire Car"/>
    <w:basedOn w:val="Policepardfaut"/>
    <w:link w:val="Commentaire"/>
    <w:uiPriority w:val="99"/>
    <w:rsid w:val="00293CE4"/>
    <w:rPr>
      <w:rFonts w:ascii="Times New Roman" w:eastAsia="Times New Roman"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293CE4"/>
    <w:rPr>
      <w:b/>
      <w:bCs/>
    </w:rPr>
  </w:style>
  <w:style w:type="character" w:customStyle="1" w:styleId="ObjetducommentaireCar">
    <w:name w:val="Objet du commentaire Car"/>
    <w:basedOn w:val="CommentaireCar"/>
    <w:link w:val="Objetducommentaire"/>
    <w:uiPriority w:val="99"/>
    <w:semiHidden/>
    <w:rsid w:val="00293CE4"/>
    <w:rPr>
      <w:rFonts w:ascii="Times New Roman" w:eastAsia="Times New Roman" w:hAnsi="Times New Roman" w:cs="Times New Roman"/>
      <w:b/>
      <w:bCs/>
      <w:sz w:val="20"/>
      <w:szCs w:val="20"/>
      <w:lang w:eastAsia="en-US"/>
    </w:rPr>
  </w:style>
  <w:style w:type="character" w:customStyle="1" w:styleId="SingleTxtGChar">
    <w:name w:val="_ Single Txt_G Char"/>
    <w:basedOn w:val="Policepardfaut"/>
    <w:link w:val="SingleTxtG"/>
    <w:qFormat/>
    <w:rsid w:val="007C51B5"/>
    <w:rPr>
      <w:rFonts w:ascii="Times New Roman" w:hAnsi="Times New Roman" w:cs="Times New Roman"/>
      <w:sz w:val="20"/>
      <w:szCs w:val="20"/>
    </w:rPr>
  </w:style>
  <w:style w:type="character" w:styleId="Lienhypertexte">
    <w:name w:val="Hyperlink"/>
    <w:uiPriority w:val="99"/>
    <w:rsid w:val="001F2CBA"/>
    <w:rPr>
      <w:color w:val="0000FF"/>
      <w:u w:val="single"/>
    </w:rPr>
  </w:style>
  <w:style w:type="paragraph" w:styleId="Rvision">
    <w:name w:val="Revision"/>
    <w:hidden/>
    <w:uiPriority w:val="99"/>
    <w:semiHidden/>
    <w:rsid w:val="000A6CED"/>
    <w:pPr>
      <w:spacing w:after="0" w:line="240" w:lineRule="auto"/>
    </w:pPr>
    <w:rPr>
      <w:rFonts w:ascii="Times New Roman" w:eastAsia="Times New Roman" w:hAnsi="Times New Roman" w:cs="Times New Roman"/>
      <w:sz w:val="20"/>
      <w:szCs w:val="20"/>
      <w:lang w:eastAsia="en-US"/>
    </w:rPr>
  </w:style>
  <w:style w:type="paragraph" w:styleId="TM1">
    <w:name w:val="toc 1"/>
    <w:basedOn w:val="Normal"/>
    <w:next w:val="Normal"/>
    <w:autoRedefine/>
    <w:uiPriority w:val="39"/>
    <w:unhideWhenUsed/>
    <w:rsid w:val="00E766C5"/>
    <w:pPr>
      <w:spacing w:after="100"/>
    </w:pPr>
  </w:style>
  <w:style w:type="paragraph" w:styleId="TM2">
    <w:name w:val="toc 2"/>
    <w:basedOn w:val="Normal"/>
    <w:next w:val="Normal"/>
    <w:autoRedefine/>
    <w:uiPriority w:val="39"/>
    <w:unhideWhenUsed/>
    <w:rsid w:val="00E766C5"/>
    <w:pPr>
      <w:spacing w:after="100"/>
      <w:ind w:left="200"/>
    </w:pPr>
  </w:style>
  <w:style w:type="paragraph" w:styleId="TM3">
    <w:name w:val="toc 3"/>
    <w:basedOn w:val="Normal"/>
    <w:next w:val="Normal"/>
    <w:autoRedefine/>
    <w:uiPriority w:val="39"/>
    <w:unhideWhenUsed/>
    <w:rsid w:val="00E766C5"/>
    <w:pPr>
      <w:spacing w:after="100"/>
      <w:ind w:left="400"/>
    </w:pPr>
  </w:style>
  <w:style w:type="character" w:customStyle="1" w:styleId="H1GChar">
    <w:name w:val="_ H_1_G Char"/>
    <w:link w:val="H1G"/>
    <w:rsid w:val="008D79D0"/>
    <w:rPr>
      <w:rFonts w:ascii="Times New Roman" w:eastAsia="Times New Roman" w:hAnsi="Times New Roman" w:cs="Times New Roman"/>
      <w:b/>
      <w:sz w:val="24"/>
      <w:szCs w:val="20"/>
      <w:lang w:eastAsia="en-US"/>
    </w:rPr>
  </w:style>
  <w:style w:type="character" w:customStyle="1" w:styleId="H23GChar">
    <w:name w:val="_ H_2/3_G Char"/>
    <w:link w:val="H23G"/>
    <w:rsid w:val="008D79D0"/>
    <w:rPr>
      <w:rFonts w:ascii="Times New Roman" w:eastAsia="Times New Roman" w:hAnsi="Times New Roman" w:cs="Times New Roman"/>
      <w:b/>
      <w:sz w:val="20"/>
      <w:szCs w:val="20"/>
      <w:lang w:eastAsia="en-US"/>
    </w:rPr>
  </w:style>
  <w:style w:type="character" w:styleId="Mentionnonrsolue">
    <w:name w:val="Unresolved Mention"/>
    <w:basedOn w:val="Policepardfaut"/>
    <w:uiPriority w:val="99"/>
    <w:semiHidden/>
    <w:unhideWhenUsed/>
    <w:rsid w:val="009C1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312">
      <w:bodyDiv w:val="1"/>
      <w:marLeft w:val="0"/>
      <w:marRight w:val="0"/>
      <w:marTop w:val="0"/>
      <w:marBottom w:val="0"/>
      <w:divBdr>
        <w:top w:val="none" w:sz="0" w:space="0" w:color="auto"/>
        <w:left w:val="none" w:sz="0" w:space="0" w:color="auto"/>
        <w:bottom w:val="none" w:sz="0" w:space="0" w:color="auto"/>
        <w:right w:val="none" w:sz="0" w:space="0" w:color="auto"/>
      </w:divBdr>
    </w:div>
    <w:div w:id="2567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esn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FA31F-2900-4151-AA4F-F357061F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4933</Words>
  <Characters>27137</Characters>
  <Application>Microsoft Office Word</Application>
  <DocSecurity>0</DocSecurity>
  <Lines>226</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1700977</vt:lpstr>
      <vt:lpstr>1700977</vt:lpstr>
    </vt:vector>
  </TitlesOfParts>
  <Company>DCM</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1700977</dc:title>
  <dc:subject>ECE/TRANS/WP.15/AC.2/2017/CRP.1</dc:subject>
  <dc:creator>Giltsoff</dc:creator>
  <dc:description>Final</dc:description>
  <cp:lastModifiedBy>Martine Moench</cp:lastModifiedBy>
  <cp:revision>3</cp:revision>
  <cp:lastPrinted>2020-02-13T09:56:00Z</cp:lastPrinted>
  <dcterms:created xsi:type="dcterms:W3CDTF">2020-03-13T15:45:00Z</dcterms:created>
  <dcterms:modified xsi:type="dcterms:W3CDTF">2020-03-13T15:52:00Z</dcterms:modified>
</cp:coreProperties>
</file>