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41F2" w14:textId="43B1E4DB" w:rsidR="00277F70" w:rsidRPr="009C033F"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val="en-GB" w:eastAsia="de-DE" w:bidi="fr-FR"/>
        </w:rPr>
      </w:pPr>
      <w:bookmarkStart w:id="0" w:name="_GoBack"/>
      <w:bookmarkEnd w:id="0"/>
      <w:r w:rsidRPr="00B041A6">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9C033F">
        <w:rPr>
          <w:rFonts w:ascii="Arial" w:eastAsia="Arial" w:hAnsi="Arial" w:cs="Arial"/>
          <w:bCs/>
          <w:szCs w:val="24"/>
          <w:lang w:val="en-GB" w:eastAsia="de-DE"/>
        </w:rPr>
        <w:t>CCNR-ZKR/ADN/WP.15/AC.2/2020/</w:t>
      </w:r>
      <w:r w:rsidR="002E12D1">
        <w:rPr>
          <w:rFonts w:ascii="Arial" w:eastAsia="Arial" w:hAnsi="Arial" w:cs="Arial"/>
          <w:bCs/>
          <w:szCs w:val="24"/>
          <w:lang w:val="en-GB" w:eastAsia="de-DE"/>
        </w:rPr>
        <w:t>29</w:t>
      </w:r>
    </w:p>
    <w:p w14:paraId="20DAC2EC" w14:textId="77777777" w:rsidR="00277F70" w:rsidRPr="00B041A6"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041A6">
        <w:rPr>
          <w:rFonts w:ascii="Arial" w:hAnsi="Arial" w:cs="Arial"/>
          <w:sz w:val="16"/>
          <w:szCs w:val="24"/>
          <w:lang w:eastAsia="de-DE"/>
        </w:rPr>
        <w:t>Allgemeine Verteilung</w:t>
      </w:r>
    </w:p>
    <w:p w14:paraId="0374A1B1" w14:textId="753A45CA" w:rsidR="00277F70" w:rsidRPr="00B041A6" w:rsidRDefault="002E12D1"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29</w:t>
      </w:r>
      <w:r w:rsidR="00277F70">
        <w:rPr>
          <w:rFonts w:ascii="Arial" w:eastAsia="Arial" w:hAnsi="Arial" w:cs="Arial"/>
          <w:szCs w:val="24"/>
          <w:lang w:eastAsia="de-DE"/>
        </w:rPr>
        <w:t xml:space="preserve">. </w:t>
      </w:r>
      <w:r w:rsidR="003F4F7B">
        <w:rPr>
          <w:rFonts w:ascii="Arial" w:eastAsia="Arial" w:hAnsi="Arial" w:cs="Arial"/>
          <w:szCs w:val="24"/>
          <w:lang w:eastAsia="de-DE"/>
        </w:rPr>
        <w:t>Mai</w:t>
      </w:r>
      <w:r w:rsidR="00277F70">
        <w:rPr>
          <w:rFonts w:ascii="Arial" w:eastAsia="Arial" w:hAnsi="Arial" w:cs="Arial"/>
          <w:szCs w:val="24"/>
          <w:lang w:eastAsia="de-DE"/>
        </w:rPr>
        <w:t xml:space="preserve"> 20</w:t>
      </w:r>
      <w:r w:rsidR="003F5E68">
        <w:rPr>
          <w:rFonts w:ascii="Arial" w:eastAsia="Arial" w:hAnsi="Arial" w:cs="Arial"/>
          <w:szCs w:val="24"/>
          <w:lang w:eastAsia="de-DE"/>
        </w:rPr>
        <w:t>20</w:t>
      </w:r>
    </w:p>
    <w:p w14:paraId="2C6BC17E" w14:textId="77777777" w:rsidR="00277F70" w:rsidRPr="00B041A6"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041A6">
        <w:rPr>
          <w:rFonts w:ascii="Arial" w:eastAsia="Arial" w:hAnsi="Arial" w:cs="Arial"/>
          <w:sz w:val="16"/>
          <w:szCs w:val="24"/>
          <w:lang w:eastAsia="de-DE"/>
        </w:rPr>
        <w:t>Or</w:t>
      </w:r>
      <w:proofErr w:type="spellEnd"/>
      <w:r w:rsidRPr="00B041A6">
        <w:rPr>
          <w:rFonts w:ascii="Arial" w:eastAsia="Arial" w:hAnsi="Arial" w:cs="Arial"/>
          <w:sz w:val="16"/>
          <w:szCs w:val="24"/>
          <w:lang w:eastAsia="de-DE"/>
        </w:rPr>
        <w:t>. DEUTSCH</w:t>
      </w:r>
    </w:p>
    <w:p w14:paraId="3CEACF79"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66D5097" w14:textId="77777777" w:rsidR="009873A1" w:rsidRPr="00820ADF"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20ADF">
        <w:rPr>
          <w:rFonts w:ascii="Arial" w:hAnsi="Arial"/>
          <w:noProof/>
          <w:sz w:val="16"/>
          <w:szCs w:val="24"/>
        </w:rPr>
        <w:t xml:space="preserve">GEMEINSAME EXPERTENTAGUNG FÜR DIE DEM ÜBEREINKOMMEN ÜBER DIE INTERNATIONALE BEFÖRDERUNG VON GEFÄHRLICHEN GÜTERN AUF </w:t>
      </w:r>
      <w:r w:rsidRPr="00820ADF">
        <w:rPr>
          <w:rFonts w:ascii="Arial" w:eastAsia="Calibri" w:hAnsi="Arial" w:cs="Arial"/>
          <w:sz w:val="16"/>
          <w:szCs w:val="16"/>
          <w:lang w:eastAsia="en-US"/>
        </w:rPr>
        <w:t xml:space="preserve">BINNENWASSERSTRAẞEN (ADN) </w:t>
      </w:r>
      <w:r w:rsidRPr="00820ADF">
        <w:rPr>
          <w:rFonts w:ascii="Arial" w:hAnsi="Arial"/>
          <w:noProof/>
          <w:sz w:val="16"/>
          <w:szCs w:val="24"/>
        </w:rPr>
        <w:t>BEIGEFÜGTE VERORDNUNG (SICHERHEITSAUSSCHUSS)</w:t>
      </w:r>
    </w:p>
    <w:p w14:paraId="0013FCAC" w14:textId="7B0990D9" w:rsidR="00277F70" w:rsidRPr="00B041A6"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Pr>
          <w:rFonts w:ascii="Arial" w:hAnsi="Arial"/>
          <w:sz w:val="16"/>
          <w:szCs w:val="24"/>
        </w:rPr>
        <w:t>(3</w:t>
      </w:r>
      <w:r w:rsidR="003F5E68">
        <w:rPr>
          <w:rFonts w:ascii="Arial" w:hAnsi="Arial"/>
          <w:sz w:val="16"/>
          <w:szCs w:val="24"/>
        </w:rPr>
        <w:t>7</w:t>
      </w:r>
      <w:r w:rsidRPr="00B041A6">
        <w:rPr>
          <w:rFonts w:ascii="Arial" w:hAnsi="Arial"/>
          <w:sz w:val="16"/>
          <w:szCs w:val="24"/>
        </w:rPr>
        <w:t xml:space="preserve">. Tagung, Genf, </w:t>
      </w:r>
      <w:r>
        <w:rPr>
          <w:rFonts w:ascii="Arial" w:hAnsi="Arial"/>
          <w:sz w:val="16"/>
          <w:szCs w:val="24"/>
        </w:rPr>
        <w:t>2</w:t>
      </w:r>
      <w:r w:rsidR="00222245">
        <w:rPr>
          <w:rFonts w:ascii="Arial" w:hAnsi="Arial"/>
          <w:sz w:val="16"/>
          <w:szCs w:val="24"/>
        </w:rPr>
        <w:t>4</w:t>
      </w:r>
      <w:r>
        <w:rPr>
          <w:rFonts w:ascii="Arial" w:hAnsi="Arial"/>
          <w:sz w:val="16"/>
          <w:szCs w:val="24"/>
        </w:rPr>
        <w:t>.</w:t>
      </w:r>
      <w:r w:rsidR="000B2B01">
        <w:rPr>
          <w:rFonts w:ascii="Arial" w:hAnsi="Arial"/>
          <w:sz w:val="16"/>
          <w:szCs w:val="24"/>
        </w:rPr>
        <w:t xml:space="preserve"> </w:t>
      </w:r>
      <w:r>
        <w:rPr>
          <w:rFonts w:ascii="Arial" w:hAnsi="Arial"/>
          <w:sz w:val="16"/>
          <w:szCs w:val="24"/>
        </w:rPr>
        <w:t>-</w:t>
      </w:r>
      <w:r w:rsidR="000B2B01">
        <w:rPr>
          <w:rFonts w:ascii="Arial" w:hAnsi="Arial"/>
          <w:sz w:val="16"/>
          <w:szCs w:val="24"/>
        </w:rPr>
        <w:t xml:space="preserve"> </w:t>
      </w:r>
      <w:r w:rsidR="00222245">
        <w:rPr>
          <w:rFonts w:ascii="Arial" w:hAnsi="Arial"/>
          <w:sz w:val="16"/>
          <w:szCs w:val="24"/>
        </w:rPr>
        <w:t>28</w:t>
      </w:r>
      <w:r>
        <w:rPr>
          <w:rFonts w:ascii="Arial" w:hAnsi="Arial"/>
          <w:sz w:val="16"/>
          <w:szCs w:val="24"/>
        </w:rPr>
        <w:t xml:space="preserve">. </w:t>
      </w:r>
      <w:r w:rsidR="00222245">
        <w:rPr>
          <w:rFonts w:ascii="Arial" w:hAnsi="Arial"/>
          <w:sz w:val="16"/>
          <w:szCs w:val="24"/>
        </w:rPr>
        <w:t>August</w:t>
      </w:r>
      <w:r>
        <w:rPr>
          <w:rFonts w:ascii="Arial" w:hAnsi="Arial"/>
          <w:sz w:val="16"/>
          <w:szCs w:val="24"/>
        </w:rPr>
        <w:t xml:space="preserve"> 2020</w:t>
      </w:r>
      <w:r w:rsidRPr="00B041A6">
        <w:rPr>
          <w:rFonts w:ascii="Arial" w:hAnsi="Arial"/>
          <w:sz w:val="16"/>
          <w:szCs w:val="24"/>
        </w:rPr>
        <w:t>)</w:t>
      </w:r>
    </w:p>
    <w:p w14:paraId="19D0F3FB" w14:textId="4BCCB383" w:rsidR="00277F70"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041A6">
        <w:rPr>
          <w:rFonts w:ascii="Arial" w:hAnsi="Arial" w:cs="Arial"/>
          <w:sz w:val="16"/>
          <w:szCs w:val="16"/>
          <w:lang w:eastAsia="en-US"/>
        </w:rPr>
        <w:t xml:space="preserve">Punkt </w:t>
      </w:r>
      <w:r w:rsidR="002E12D1">
        <w:rPr>
          <w:rFonts w:ascii="Arial" w:hAnsi="Arial" w:cs="Arial"/>
          <w:sz w:val="16"/>
          <w:szCs w:val="16"/>
          <w:lang w:eastAsia="en-US"/>
        </w:rPr>
        <w:t>3 c)</w:t>
      </w:r>
      <w:r w:rsidRPr="00B041A6">
        <w:rPr>
          <w:rFonts w:ascii="Arial" w:hAnsi="Arial" w:cs="Arial"/>
          <w:sz w:val="16"/>
          <w:szCs w:val="16"/>
          <w:lang w:eastAsia="en-US"/>
        </w:rPr>
        <w:t xml:space="preserve"> zur vorläufigen Tagesordnung</w:t>
      </w:r>
    </w:p>
    <w:p w14:paraId="16969C4B" w14:textId="77777777" w:rsidR="00181D29" w:rsidRPr="00181D29" w:rsidRDefault="00181D29" w:rsidP="00181D29">
      <w:pPr>
        <w:widowControl/>
        <w:tabs>
          <w:tab w:val="left" w:pos="2977"/>
        </w:tabs>
        <w:overflowPunct/>
        <w:autoSpaceDE/>
        <w:autoSpaceDN/>
        <w:adjustRightInd/>
        <w:ind w:left="3969" w:firstLine="0"/>
        <w:jc w:val="left"/>
        <w:textAlignment w:val="auto"/>
        <w:rPr>
          <w:rFonts w:ascii="Arial" w:hAnsi="Arial" w:cs="Arial"/>
          <w:b/>
          <w:snapToGrid w:val="0"/>
          <w:sz w:val="16"/>
          <w:szCs w:val="16"/>
        </w:rPr>
      </w:pPr>
      <w:r w:rsidRPr="00181D29">
        <w:rPr>
          <w:rFonts w:ascii="Arial" w:hAnsi="Arial" w:cs="Arial"/>
          <w:b/>
          <w:snapToGrid w:val="0"/>
          <w:sz w:val="16"/>
          <w:szCs w:val="16"/>
        </w:rPr>
        <w:t>Durchführung des Europäischen Übereinkommens über die internationale Beförderung von gefährlichen Gütern auf Binnenwasserstraßen (ADN)</w:t>
      </w:r>
    </w:p>
    <w:p w14:paraId="2AF6A890" w14:textId="77777777" w:rsidR="00181D29" w:rsidRPr="00181D29" w:rsidRDefault="00181D29" w:rsidP="00181D29">
      <w:pPr>
        <w:widowControl/>
        <w:tabs>
          <w:tab w:val="left" w:pos="2977"/>
        </w:tabs>
        <w:overflowPunct/>
        <w:autoSpaceDE/>
        <w:autoSpaceDN/>
        <w:adjustRightInd/>
        <w:ind w:left="3969" w:firstLine="0"/>
        <w:jc w:val="left"/>
        <w:textAlignment w:val="auto"/>
        <w:rPr>
          <w:rFonts w:ascii="Arial" w:hAnsi="Arial" w:cs="Arial"/>
          <w:b/>
          <w:snapToGrid w:val="0"/>
          <w:sz w:val="16"/>
          <w:szCs w:val="16"/>
        </w:rPr>
      </w:pPr>
      <w:r w:rsidRPr="00181D29">
        <w:rPr>
          <w:rFonts w:ascii="Arial" w:hAnsi="Arial" w:cs="Arial"/>
          <w:b/>
          <w:snapToGrid w:val="0"/>
          <w:sz w:val="16"/>
          <w:szCs w:val="16"/>
        </w:rPr>
        <w:t>Auslegung der dem ADN beigefügten Verordnung</w:t>
      </w:r>
    </w:p>
    <w:p w14:paraId="553166BC" w14:textId="77777777" w:rsidR="00C308A6" w:rsidRDefault="00C308A6" w:rsidP="00C308A6">
      <w:pPr>
        <w:keepNext/>
        <w:keepLines/>
        <w:widowControl/>
        <w:suppressAutoHyphens/>
        <w:overflowPunct/>
        <w:autoSpaceDE/>
        <w:autoSpaceDN/>
        <w:adjustRightInd/>
        <w:snapToGrid w:val="0"/>
        <w:spacing w:line="240" w:lineRule="atLeast"/>
        <w:ind w:right="567" w:firstLine="0"/>
        <w:jc w:val="left"/>
        <w:textAlignment w:val="auto"/>
        <w:rPr>
          <w:b/>
          <w:sz w:val="24"/>
        </w:rPr>
      </w:pPr>
    </w:p>
    <w:p w14:paraId="128720C7" w14:textId="179B6B62" w:rsidR="00181D29" w:rsidRDefault="00181D29" w:rsidP="00181D29">
      <w:pPr>
        <w:widowControl/>
        <w:tabs>
          <w:tab w:val="right" w:pos="851"/>
        </w:tabs>
        <w:suppressAutoHyphens/>
        <w:overflowPunct/>
        <w:autoSpaceDE/>
        <w:autoSpaceDN/>
        <w:adjustRightInd/>
        <w:spacing w:before="360" w:line="300" w:lineRule="exact"/>
        <w:ind w:right="1134"/>
        <w:textAlignment w:val="auto"/>
        <w:rPr>
          <w:b/>
          <w:bCs/>
          <w:snapToGrid w:val="0"/>
          <w:sz w:val="28"/>
          <w:szCs w:val="24"/>
        </w:rPr>
      </w:pPr>
      <w:r w:rsidRPr="00181D29">
        <w:rPr>
          <w:b/>
          <w:bCs/>
          <w:snapToGrid w:val="0"/>
          <w:sz w:val="28"/>
          <w:szCs w:val="24"/>
        </w:rPr>
        <w:tab/>
      </w:r>
      <w:r w:rsidRPr="00181D29">
        <w:rPr>
          <w:b/>
          <w:bCs/>
          <w:snapToGrid w:val="0"/>
          <w:sz w:val="28"/>
          <w:szCs w:val="24"/>
        </w:rPr>
        <w:tab/>
        <w:t>Abschnitt 1.2.1 ADN Zoneneinteilung</w:t>
      </w:r>
    </w:p>
    <w:p w14:paraId="40734C6B" w14:textId="77777777" w:rsidR="00181D29" w:rsidRPr="00181D29" w:rsidRDefault="00181D29" w:rsidP="00181D29">
      <w:pPr>
        <w:widowControl/>
        <w:tabs>
          <w:tab w:val="right" w:pos="851"/>
        </w:tabs>
        <w:suppressAutoHyphens/>
        <w:overflowPunct/>
        <w:autoSpaceDE/>
        <w:autoSpaceDN/>
        <w:adjustRightInd/>
        <w:spacing w:before="360" w:line="300" w:lineRule="exact"/>
        <w:ind w:right="1134"/>
        <w:textAlignment w:val="auto"/>
        <w:rPr>
          <w:b/>
          <w:bCs/>
          <w:snapToGrid w:val="0"/>
          <w:sz w:val="28"/>
          <w:szCs w:val="24"/>
        </w:rPr>
      </w:pPr>
    </w:p>
    <w:p w14:paraId="44957EA9" w14:textId="77777777" w:rsidR="00181D29" w:rsidRPr="003F4F7B" w:rsidRDefault="00181D29" w:rsidP="00181D29">
      <w:pPr>
        <w:keepNext/>
        <w:keepLines/>
        <w:widowControl/>
        <w:suppressAutoHyphens/>
        <w:overflowPunct/>
        <w:autoSpaceDE/>
        <w:autoSpaceDN/>
        <w:adjustRightInd/>
        <w:snapToGrid w:val="0"/>
        <w:spacing w:line="240" w:lineRule="atLeast"/>
        <w:ind w:right="567" w:firstLine="0"/>
        <w:textAlignment w:val="auto"/>
        <w:rPr>
          <w:b/>
          <w:sz w:val="24"/>
        </w:rPr>
      </w:pPr>
      <w:r w:rsidRPr="00B041A6">
        <w:rPr>
          <w:b/>
          <w:sz w:val="24"/>
        </w:rPr>
        <w:t xml:space="preserve">Vorgelegt </w:t>
      </w:r>
      <w:r w:rsidRPr="003F4F7B">
        <w:rPr>
          <w:b/>
          <w:sz w:val="24"/>
        </w:rPr>
        <w:t>von Deutschland</w:t>
      </w:r>
      <w:r w:rsidRPr="003F4F7B">
        <w:rPr>
          <w:b/>
          <w:sz w:val="18"/>
          <w:vertAlign w:val="superscript"/>
        </w:rPr>
        <w:footnoteReference w:id="1"/>
      </w:r>
      <w:r w:rsidRPr="003F4F7B">
        <w:rPr>
          <w:b/>
          <w:sz w:val="18"/>
          <w:vertAlign w:val="superscript"/>
        </w:rPr>
        <w:t>,</w:t>
      </w:r>
      <w:r w:rsidRPr="003F4F7B">
        <w:rPr>
          <w:b/>
          <w:sz w:val="18"/>
          <w:vertAlign w:val="superscript"/>
        </w:rPr>
        <w:footnoteReference w:id="2"/>
      </w:r>
    </w:p>
    <w:p w14:paraId="7AE727A5" w14:textId="77777777" w:rsidR="00181D29" w:rsidRPr="00181D29" w:rsidRDefault="00181D29" w:rsidP="00181D29">
      <w:pPr>
        <w:widowControl/>
        <w:tabs>
          <w:tab w:val="left" w:pos="1701"/>
        </w:tabs>
        <w:suppressAutoHyphens/>
        <w:overflowPunct/>
        <w:autoSpaceDE/>
        <w:autoSpaceDN/>
        <w:adjustRightInd/>
        <w:spacing w:line="240" w:lineRule="atLeast"/>
        <w:ind w:firstLine="0"/>
        <w:jc w:val="left"/>
        <w:textAlignment w:val="auto"/>
        <w:rPr>
          <w:snapToGrid w:val="0"/>
        </w:rPr>
      </w:pPr>
    </w:p>
    <w:p w14:paraId="10E8E200" w14:textId="77777777" w:rsidR="00181D29" w:rsidRPr="00181D29" w:rsidRDefault="00181D29" w:rsidP="00181D29">
      <w:pPr>
        <w:widowControl/>
        <w:tabs>
          <w:tab w:val="left" w:pos="1701"/>
        </w:tabs>
        <w:suppressAutoHyphens/>
        <w:overflowPunct/>
        <w:autoSpaceDE/>
        <w:autoSpaceDN/>
        <w:adjustRightInd/>
        <w:spacing w:line="240" w:lineRule="atLeast"/>
        <w:ind w:firstLine="0"/>
        <w:jc w:val="left"/>
        <w:textAlignment w:val="auto"/>
        <w:rPr>
          <w:b/>
          <w:snapToGrid w:val="0"/>
          <w:sz w:val="24"/>
        </w:rPr>
      </w:pPr>
      <w:r w:rsidRPr="00181D29">
        <w:rPr>
          <w:b/>
          <w:snapToGrid w:val="0"/>
          <w:sz w:val="24"/>
        </w:rPr>
        <w:t>Auslegungsfrage</w:t>
      </w:r>
    </w:p>
    <w:p w14:paraId="5132D39E"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sz w:val="24"/>
        </w:rPr>
      </w:pPr>
    </w:p>
    <w:p w14:paraId="25ED4864"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rFonts w:cs="Arial"/>
          <w:bCs/>
          <w:snapToGrid w:val="0"/>
          <w:szCs w:val="24"/>
        </w:rPr>
      </w:pPr>
      <w:r w:rsidRPr="00181D29">
        <w:rPr>
          <w:rFonts w:cs="Arial"/>
          <w:bCs/>
          <w:snapToGrid w:val="0"/>
          <w:szCs w:val="24"/>
        </w:rPr>
        <w:t>1.</w:t>
      </w:r>
      <w:r w:rsidRPr="00181D29">
        <w:rPr>
          <w:rFonts w:cs="Arial"/>
          <w:bCs/>
          <w:snapToGrid w:val="0"/>
          <w:szCs w:val="24"/>
        </w:rPr>
        <w:tab/>
        <w:t>Dem deutschen Bundesministerium für Verkehr und digitale Infrastruktur wurde im Februar 2020 die folgende Problematik geschildert. Es handelt sich nicht um einen Einzelfall, sondern um eine Auslegungsfrage zu den Bauvorschriften für Tankschiffe von allgemeiner Bedeutung.</w:t>
      </w:r>
    </w:p>
    <w:p w14:paraId="1AFEDEB3"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rFonts w:cs="Arial"/>
          <w:bCs/>
          <w:snapToGrid w:val="0"/>
          <w:sz w:val="22"/>
          <w:szCs w:val="24"/>
        </w:rPr>
      </w:pPr>
    </w:p>
    <w:p w14:paraId="3EB23F9C"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r w:rsidRPr="00181D29">
        <w:rPr>
          <w:rFonts w:cs="Arial"/>
          <w:bCs/>
          <w:snapToGrid w:val="0"/>
          <w:sz w:val="22"/>
          <w:szCs w:val="24"/>
        </w:rPr>
        <w:t>2.</w:t>
      </w:r>
      <w:r w:rsidRPr="00181D29">
        <w:rPr>
          <w:rFonts w:cs="Arial"/>
          <w:bCs/>
          <w:snapToGrid w:val="0"/>
          <w:sz w:val="22"/>
          <w:szCs w:val="24"/>
        </w:rPr>
        <w:tab/>
        <w:t xml:space="preserve">Auf </w:t>
      </w:r>
      <w:r w:rsidRPr="00181D29">
        <w:rPr>
          <w:snapToGrid w:val="0"/>
        </w:rPr>
        <w:t>Tankschiffen des Typs G für den Transport von LPG (Propan, Butan, Propylen, Butadien, VCM, Propylenoxid) in Drucktanks seien alle Ladetanks mit Tauchpumpen (englisch „</w:t>
      </w:r>
      <w:proofErr w:type="spellStart"/>
      <w:r w:rsidRPr="00181D29">
        <w:rPr>
          <w:snapToGrid w:val="0"/>
        </w:rPr>
        <w:t>Deepwell</w:t>
      </w:r>
      <w:proofErr w:type="spellEnd"/>
      <w:r w:rsidRPr="00181D29">
        <w:rPr>
          <w:snapToGrid w:val="0"/>
        </w:rPr>
        <w:t xml:space="preserve"> Pumps“) ausgestattet, die nach ATEX-Richtlinie für Zone 1 mit Gerätegruppe II, Gerätekategorie 2G, Geräteschutzniveau </w:t>
      </w:r>
      <w:proofErr w:type="spellStart"/>
      <w:r w:rsidRPr="00181D29">
        <w:rPr>
          <w:snapToGrid w:val="0"/>
        </w:rPr>
        <w:t>Gb</w:t>
      </w:r>
      <w:proofErr w:type="spellEnd"/>
      <w:r w:rsidRPr="00181D29">
        <w:rPr>
          <w:snapToGrid w:val="0"/>
        </w:rPr>
        <w:t xml:space="preserve"> hergestellt und zugelassen seien.</w:t>
      </w:r>
    </w:p>
    <w:p w14:paraId="573F218E"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2BF73548"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r w:rsidRPr="00181D29">
        <w:rPr>
          <w:snapToGrid w:val="0"/>
        </w:rPr>
        <w:t>3.</w:t>
      </w:r>
      <w:r w:rsidRPr="00181D29">
        <w:rPr>
          <w:snapToGrid w:val="0"/>
        </w:rPr>
        <w:tab/>
        <w:t>Nach der Begriffsbestimmung „Zoneneinteilung“ in Abschnitt 1.2.1 ADN 2019 gehöre das Innere von Ladetanks erstmalig zur Zone 0.</w:t>
      </w:r>
    </w:p>
    <w:p w14:paraId="45C3C5D3"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0289121D" w14:textId="030BDD31" w:rsidR="00181D29" w:rsidRPr="00181D29" w:rsidRDefault="00496444" w:rsidP="00181D29">
      <w:pPr>
        <w:widowControl/>
        <w:tabs>
          <w:tab w:val="left" w:pos="1701"/>
        </w:tabs>
        <w:suppressAutoHyphens/>
        <w:overflowPunct/>
        <w:autoSpaceDE/>
        <w:autoSpaceDN/>
        <w:adjustRightInd/>
        <w:spacing w:line="240" w:lineRule="atLeast"/>
        <w:ind w:firstLine="0"/>
        <w:textAlignment w:val="auto"/>
        <w:rPr>
          <w:snapToGrid w:val="0"/>
        </w:rPr>
      </w:pPr>
      <w:r>
        <w:rPr>
          <w:snapToGrid w:val="0"/>
        </w:rPr>
        <w:t>4</w:t>
      </w:r>
      <w:r w:rsidR="00181D29" w:rsidRPr="00181D29">
        <w:rPr>
          <w:snapToGrid w:val="0"/>
        </w:rPr>
        <w:t>.</w:t>
      </w:r>
      <w:r w:rsidR="00181D29" w:rsidRPr="00181D29">
        <w:rPr>
          <w:snapToGrid w:val="0"/>
        </w:rPr>
        <w:tab/>
        <w:t>Gegenüber dem ADN 2017 sei eine Verschärfung vorgenommen worden.</w:t>
      </w:r>
    </w:p>
    <w:p w14:paraId="3FFCFB85" w14:textId="77777777" w:rsidR="002560DD" w:rsidRDefault="002560DD" w:rsidP="00181D29">
      <w:pPr>
        <w:widowControl/>
        <w:tabs>
          <w:tab w:val="left" w:pos="1701"/>
        </w:tabs>
        <w:suppressAutoHyphens/>
        <w:overflowPunct/>
        <w:autoSpaceDE/>
        <w:autoSpaceDN/>
        <w:adjustRightInd/>
        <w:spacing w:line="240" w:lineRule="atLeast"/>
        <w:ind w:firstLine="0"/>
        <w:textAlignment w:val="auto"/>
        <w:rPr>
          <w:snapToGrid w:val="0"/>
        </w:rPr>
      </w:pPr>
    </w:p>
    <w:p w14:paraId="69CD58D3" w14:textId="77777777" w:rsidR="00F15516" w:rsidRDefault="00F15516">
      <w:pPr>
        <w:widowControl/>
        <w:overflowPunct/>
        <w:autoSpaceDE/>
        <w:autoSpaceDN/>
        <w:adjustRightInd/>
        <w:ind w:left="0" w:firstLine="0"/>
        <w:jc w:val="left"/>
        <w:textAlignment w:val="auto"/>
        <w:rPr>
          <w:snapToGrid w:val="0"/>
        </w:rPr>
      </w:pPr>
      <w:r>
        <w:rPr>
          <w:snapToGrid w:val="0"/>
        </w:rPr>
        <w:br w:type="page"/>
      </w:r>
    </w:p>
    <w:p w14:paraId="5F888992" w14:textId="40070EBE" w:rsidR="00181D29" w:rsidRPr="00181D29" w:rsidRDefault="002560DD" w:rsidP="00181D29">
      <w:pPr>
        <w:widowControl/>
        <w:tabs>
          <w:tab w:val="left" w:pos="1701"/>
        </w:tabs>
        <w:suppressAutoHyphens/>
        <w:overflowPunct/>
        <w:autoSpaceDE/>
        <w:autoSpaceDN/>
        <w:adjustRightInd/>
        <w:spacing w:line="240" w:lineRule="atLeast"/>
        <w:ind w:firstLine="0"/>
        <w:textAlignment w:val="auto"/>
        <w:rPr>
          <w:snapToGrid w:val="0"/>
          <w:szCs w:val="18"/>
        </w:rPr>
      </w:pPr>
      <w:r>
        <w:rPr>
          <w:snapToGrid w:val="0"/>
        </w:rPr>
        <w:lastRenderedPageBreak/>
        <w:t>5.</w:t>
      </w:r>
      <w:r>
        <w:rPr>
          <w:snapToGrid w:val="0"/>
        </w:rPr>
        <w:tab/>
      </w:r>
      <w:r w:rsidR="00181D29" w:rsidRPr="00181D29">
        <w:rPr>
          <w:snapToGrid w:val="0"/>
        </w:rPr>
        <w:t xml:space="preserve">Vor dem ADN 2019 sei es nach Abschnitt 1.2.1, Begriffsbestimmung </w:t>
      </w:r>
      <w:r w:rsidR="00181D29" w:rsidRPr="00181D29">
        <w:rPr>
          <w:snapToGrid w:val="0"/>
          <w:sz w:val="22"/>
        </w:rPr>
        <w:t>„</w:t>
      </w:r>
      <w:r w:rsidR="00181D29" w:rsidRPr="00181D29">
        <w:rPr>
          <w:b/>
          <w:i/>
          <w:snapToGrid w:val="0"/>
          <w:szCs w:val="18"/>
        </w:rPr>
        <w:t>Zoneneinteilung:</w:t>
      </w:r>
      <w:r w:rsidR="00181D29" w:rsidRPr="00181D29">
        <w:rPr>
          <w:snapToGrid w:val="0"/>
          <w:szCs w:val="18"/>
        </w:rPr>
        <w:t xml:space="preserve"> (siehe Richtlinie 1999/92/EG</w:t>
      </w:r>
      <w:r w:rsidR="00181D29" w:rsidRPr="00181D29">
        <w:rPr>
          <w:snapToGrid w:val="0"/>
          <w:szCs w:val="18"/>
          <w:vertAlign w:val="superscript"/>
          <w:lang w:val="fr-CH"/>
        </w:rPr>
        <w:footnoteReference w:id="3"/>
      </w:r>
      <w:r w:rsidR="00181D29" w:rsidRPr="00181D29">
        <w:rPr>
          <w:snapToGrid w:val="0"/>
          <w:szCs w:val="18"/>
          <w:vertAlign w:val="superscript"/>
        </w:rPr>
        <w:t>)</w:t>
      </w:r>
      <w:r w:rsidR="00181D29" w:rsidRPr="00181D29">
        <w:rPr>
          <w:snapToGrid w:val="0"/>
          <w:szCs w:val="18"/>
        </w:rPr>
        <w:t>) unstreitig gewesen, das Innere von Ladetanks für die Beförderung von LPG der Explosionsschutz-Zone 1 zuzuordnen.</w:t>
      </w:r>
    </w:p>
    <w:p w14:paraId="1412983C"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2866F962" w14:textId="5A641184" w:rsidR="00181D29" w:rsidRPr="00181D29" w:rsidRDefault="002560DD" w:rsidP="00181D29">
      <w:pPr>
        <w:widowControl/>
        <w:tabs>
          <w:tab w:val="left" w:pos="1701"/>
        </w:tabs>
        <w:suppressAutoHyphens/>
        <w:overflowPunct/>
        <w:autoSpaceDE/>
        <w:autoSpaceDN/>
        <w:adjustRightInd/>
        <w:spacing w:line="240" w:lineRule="atLeast"/>
        <w:ind w:firstLine="0"/>
        <w:textAlignment w:val="auto"/>
        <w:rPr>
          <w:snapToGrid w:val="0"/>
        </w:rPr>
      </w:pPr>
      <w:r>
        <w:rPr>
          <w:snapToGrid w:val="0"/>
        </w:rPr>
        <w:t>6</w:t>
      </w:r>
      <w:r w:rsidR="00181D29" w:rsidRPr="00181D29">
        <w:rPr>
          <w:snapToGrid w:val="0"/>
        </w:rPr>
        <w:t>.</w:t>
      </w:r>
      <w:r w:rsidR="00181D29" w:rsidRPr="00181D29">
        <w:rPr>
          <w:snapToGrid w:val="0"/>
        </w:rPr>
        <w:tab/>
        <w:t xml:space="preserve">Die „technische“ Definition der Zonen nach der bis 2018 geltenden Begriffsbestimmung </w:t>
      </w:r>
      <w:r w:rsidR="00181D29" w:rsidRPr="00181D29">
        <w:rPr>
          <w:b/>
          <w:i/>
          <w:snapToGrid w:val="0"/>
          <w:szCs w:val="18"/>
        </w:rPr>
        <w:t>„Zoneneinteilung“</w:t>
      </w:r>
      <w:r w:rsidR="00181D29" w:rsidRPr="00181D29">
        <w:rPr>
          <w:snapToGrid w:val="0"/>
        </w:rPr>
        <w:t xml:space="preserve"> solle weiterhin führend im Zusammenhang mit der geforderten Einstufung der Geräteklassen und deren lokalen Anordnungen und Betriebsregime sein, anstatt wie in der ab 2019 gültigen Begriffsbestimmung „Zoneneinteilung“ eine pauschale Zuweisung vorzunehmen. Dabei würden die Klassifikationsgesellschaften dringend Unterstützung benötigen.</w:t>
      </w:r>
    </w:p>
    <w:p w14:paraId="1179F84D"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0F375155" w14:textId="5A45C2A9" w:rsidR="00181D29" w:rsidRPr="00181D29" w:rsidRDefault="002560DD" w:rsidP="00181D29">
      <w:pPr>
        <w:widowControl/>
        <w:tabs>
          <w:tab w:val="left" w:pos="1701"/>
        </w:tabs>
        <w:suppressAutoHyphens/>
        <w:overflowPunct/>
        <w:autoSpaceDE/>
        <w:autoSpaceDN/>
        <w:adjustRightInd/>
        <w:spacing w:line="240" w:lineRule="atLeast"/>
        <w:ind w:firstLine="0"/>
        <w:textAlignment w:val="auto"/>
        <w:rPr>
          <w:snapToGrid w:val="0"/>
          <w:szCs w:val="18"/>
        </w:rPr>
      </w:pPr>
      <w:r>
        <w:rPr>
          <w:snapToGrid w:val="0"/>
        </w:rPr>
        <w:t>7</w:t>
      </w:r>
      <w:r w:rsidR="00181D29" w:rsidRPr="00181D29">
        <w:rPr>
          <w:snapToGrid w:val="0"/>
        </w:rPr>
        <w:t>.</w:t>
      </w:r>
      <w:r w:rsidR="00181D29" w:rsidRPr="00181D29">
        <w:rPr>
          <w:snapToGrid w:val="0"/>
        </w:rPr>
        <w:tab/>
        <w:t>Tauchpumpen mit einer ATEX-Zulassung für Zone 0 seien nicht verfügbar.</w:t>
      </w:r>
    </w:p>
    <w:p w14:paraId="5837D590"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7108CB2D" w14:textId="4472FA02" w:rsidR="00181D29" w:rsidRPr="00181D29" w:rsidRDefault="002560DD" w:rsidP="00181D29">
      <w:pPr>
        <w:widowControl/>
        <w:tabs>
          <w:tab w:val="left" w:pos="1701"/>
        </w:tabs>
        <w:suppressAutoHyphens/>
        <w:overflowPunct/>
        <w:autoSpaceDE/>
        <w:autoSpaceDN/>
        <w:adjustRightInd/>
        <w:spacing w:line="240" w:lineRule="atLeast"/>
        <w:ind w:firstLine="0"/>
        <w:textAlignment w:val="auto"/>
        <w:rPr>
          <w:snapToGrid w:val="0"/>
        </w:rPr>
      </w:pPr>
      <w:r>
        <w:rPr>
          <w:snapToGrid w:val="0"/>
        </w:rPr>
        <w:t>8</w:t>
      </w:r>
      <w:r w:rsidR="00181D29" w:rsidRPr="00181D29">
        <w:rPr>
          <w:snapToGrid w:val="0"/>
        </w:rPr>
        <w:t>.</w:t>
      </w:r>
      <w:r w:rsidR="00181D29" w:rsidRPr="00181D29">
        <w:rPr>
          <w:snapToGrid w:val="0"/>
        </w:rPr>
        <w:tab/>
        <w:t xml:space="preserve">Am 7. Mai 2020 richtete das dänische Unternehmen Global </w:t>
      </w:r>
      <w:proofErr w:type="spellStart"/>
      <w:r w:rsidR="00181D29" w:rsidRPr="00181D29">
        <w:rPr>
          <w:snapToGrid w:val="0"/>
        </w:rPr>
        <w:t>Functional</w:t>
      </w:r>
      <w:proofErr w:type="spellEnd"/>
      <w:r w:rsidR="00181D29" w:rsidRPr="00181D29">
        <w:rPr>
          <w:snapToGrid w:val="0"/>
        </w:rPr>
        <w:t xml:space="preserve"> </w:t>
      </w:r>
      <w:proofErr w:type="spellStart"/>
      <w:r w:rsidR="00181D29" w:rsidRPr="00181D29">
        <w:rPr>
          <w:snapToGrid w:val="0"/>
        </w:rPr>
        <w:t>Safety</w:t>
      </w:r>
      <w:proofErr w:type="spellEnd"/>
      <w:r w:rsidR="00181D29" w:rsidRPr="00181D29">
        <w:rPr>
          <w:snapToGrid w:val="0"/>
        </w:rPr>
        <w:t xml:space="preserve"> </w:t>
      </w:r>
      <w:proofErr w:type="spellStart"/>
      <w:r w:rsidR="00181D29" w:rsidRPr="00181D29">
        <w:rPr>
          <w:snapToGrid w:val="0"/>
        </w:rPr>
        <w:t>ApS</w:t>
      </w:r>
      <w:proofErr w:type="spellEnd"/>
      <w:r w:rsidR="00181D29" w:rsidRPr="00181D29">
        <w:rPr>
          <w:snapToGrid w:val="0"/>
        </w:rPr>
        <w:t xml:space="preserve"> per E-Mail eine ähnlich lautende Anfrage an die Delegationsleiter mehrerer im ADN-Sicherheitsausschuss vertretener Vertragsparteien. Die Zuschrift war in Englisch verfasst.</w:t>
      </w:r>
    </w:p>
    <w:p w14:paraId="796783B1" w14:textId="05D593A3" w:rsidR="00181D29" w:rsidRDefault="00181D29">
      <w:pPr>
        <w:widowControl/>
        <w:overflowPunct/>
        <w:autoSpaceDE/>
        <w:autoSpaceDN/>
        <w:adjustRightInd/>
        <w:ind w:left="0" w:firstLine="0"/>
        <w:jc w:val="left"/>
        <w:textAlignment w:val="auto"/>
        <w:rPr>
          <w:snapToGrid w:val="0"/>
        </w:rPr>
      </w:pPr>
    </w:p>
    <w:p w14:paraId="1334115E" w14:textId="02691C28" w:rsidR="00181D29" w:rsidRPr="00181D29" w:rsidRDefault="002560DD" w:rsidP="00181D29">
      <w:pPr>
        <w:widowControl/>
        <w:tabs>
          <w:tab w:val="left" w:pos="1701"/>
        </w:tabs>
        <w:suppressAutoHyphens/>
        <w:overflowPunct/>
        <w:autoSpaceDE/>
        <w:autoSpaceDN/>
        <w:adjustRightInd/>
        <w:spacing w:line="240" w:lineRule="atLeast"/>
        <w:ind w:firstLine="0"/>
        <w:textAlignment w:val="auto"/>
        <w:rPr>
          <w:snapToGrid w:val="0"/>
        </w:rPr>
      </w:pPr>
      <w:r>
        <w:rPr>
          <w:snapToGrid w:val="0"/>
        </w:rPr>
        <w:t>9</w:t>
      </w:r>
      <w:r w:rsidR="00181D29" w:rsidRPr="00181D29">
        <w:rPr>
          <w:snapToGrid w:val="0"/>
        </w:rPr>
        <w:t xml:space="preserve">. </w:t>
      </w:r>
      <w:r w:rsidR="00181D29" w:rsidRPr="00181D29">
        <w:rPr>
          <w:snapToGrid w:val="0"/>
        </w:rPr>
        <w:tab/>
        <w:t xml:space="preserve">Es wurde ergänzend vorgetragen, dass die Ladetanks vor einer Beförderung von LPG und LNG mit Stickstoff </w:t>
      </w:r>
      <w:proofErr w:type="spellStart"/>
      <w:r w:rsidR="00181D29" w:rsidRPr="00181D29">
        <w:rPr>
          <w:snapToGrid w:val="0"/>
        </w:rPr>
        <w:t>inertisiert</w:t>
      </w:r>
      <w:proofErr w:type="spellEnd"/>
      <w:r w:rsidR="00181D29" w:rsidRPr="00181D29">
        <w:rPr>
          <w:snapToGrid w:val="0"/>
        </w:rPr>
        <w:t xml:space="preserve"> würden und unter normalen Beförderungsbedingungen unter Druck stünden. Weil die Ladetanks dadurch keinen Sauerstoff und keine explosionsgefährdete Atmosphäre enthielten, seien sie nach ATEX-Richtlinie und den zugehörigen EN Normen </w:t>
      </w:r>
      <w:r w:rsidR="00B83171" w:rsidRPr="00B83171">
        <w:rPr>
          <w:snapToGrid w:val="0"/>
        </w:rPr>
        <w:t>sowie abgeleitet von Lagertanks an Land</w:t>
      </w:r>
      <w:r w:rsidR="00B83171">
        <w:rPr>
          <w:snapToGrid w:val="0"/>
        </w:rPr>
        <w:t xml:space="preserve"> </w:t>
      </w:r>
      <w:r w:rsidR="00181D29" w:rsidRPr="00181D29">
        <w:rPr>
          <w:snapToGrid w:val="0"/>
        </w:rPr>
        <w:t>vor dem ADN 2019 überhaupt nicht als Explosionsschutz-Zone klassifiziert worden.</w:t>
      </w:r>
    </w:p>
    <w:p w14:paraId="4F8B048F"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233AD1BF" w14:textId="436983E0" w:rsidR="00181D29" w:rsidRPr="00181D29" w:rsidRDefault="002560DD" w:rsidP="00181D29">
      <w:pPr>
        <w:widowControl/>
        <w:tabs>
          <w:tab w:val="left" w:pos="1701"/>
        </w:tabs>
        <w:suppressAutoHyphens/>
        <w:overflowPunct/>
        <w:autoSpaceDE/>
        <w:autoSpaceDN/>
        <w:adjustRightInd/>
        <w:spacing w:line="240" w:lineRule="atLeast"/>
        <w:ind w:firstLine="0"/>
        <w:textAlignment w:val="auto"/>
        <w:rPr>
          <w:snapToGrid w:val="0"/>
        </w:rPr>
      </w:pPr>
      <w:r>
        <w:rPr>
          <w:snapToGrid w:val="0"/>
        </w:rPr>
        <w:t>10</w:t>
      </w:r>
      <w:r w:rsidR="00181D29" w:rsidRPr="00181D29">
        <w:rPr>
          <w:snapToGrid w:val="0"/>
        </w:rPr>
        <w:t>.</w:t>
      </w:r>
      <w:r w:rsidR="00181D29" w:rsidRPr="00181D29">
        <w:rPr>
          <w:snapToGrid w:val="0"/>
        </w:rPr>
        <w:tab/>
        <w:t>Deswegen sei die Bewertung des „Hold“ als Zone 0 unabhängig vom beförderten Produkt verwirrend. Im ADN 2013 sei „Hold“ als Zone 1 benannt, wenn brennbare Güter befördert werden.</w:t>
      </w:r>
    </w:p>
    <w:p w14:paraId="228D402A"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1FE35271" w14:textId="6D68E069"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r w:rsidRPr="00181D29">
        <w:rPr>
          <w:snapToGrid w:val="0"/>
        </w:rPr>
        <w:t>1</w:t>
      </w:r>
      <w:r w:rsidR="002560DD">
        <w:rPr>
          <w:snapToGrid w:val="0"/>
        </w:rPr>
        <w:t>1</w:t>
      </w:r>
      <w:r w:rsidRPr="00181D29">
        <w:rPr>
          <w:snapToGrid w:val="0"/>
        </w:rPr>
        <w:t xml:space="preserve">. </w:t>
      </w:r>
      <w:r w:rsidRPr="00181D29">
        <w:rPr>
          <w:snapToGrid w:val="0"/>
        </w:rPr>
        <w:tab/>
        <w:t>Es sei unmöglich, Tauchpumpen für LPG und LNG mit einer Eignung für Zone 0 herzustellen.</w:t>
      </w:r>
    </w:p>
    <w:p w14:paraId="6EDE81F4"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692C63BA" w14:textId="49ED4C13"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r w:rsidRPr="00181D29">
        <w:rPr>
          <w:snapToGrid w:val="0"/>
        </w:rPr>
        <w:t>1</w:t>
      </w:r>
      <w:r w:rsidR="002560DD">
        <w:rPr>
          <w:snapToGrid w:val="0"/>
        </w:rPr>
        <w:t>2</w:t>
      </w:r>
      <w:r w:rsidRPr="00181D29">
        <w:rPr>
          <w:snapToGrid w:val="0"/>
        </w:rPr>
        <w:t>.</w:t>
      </w:r>
      <w:r w:rsidRPr="00181D29">
        <w:rPr>
          <w:snapToGrid w:val="0"/>
        </w:rPr>
        <w:tab/>
        <w:t xml:space="preserve">Das Unternehmen möchte deshalb die Frage an den ADN-Sicherheitsausschuss richten, ob die Ladetanks von Tankschiffen nach der Begriffsbestimmung </w:t>
      </w:r>
      <w:r w:rsidR="00F15516">
        <w:rPr>
          <w:snapToGrid w:val="0"/>
        </w:rPr>
        <w:t>„</w:t>
      </w:r>
      <w:r w:rsidRPr="00181D29">
        <w:rPr>
          <w:b/>
          <w:i/>
          <w:snapToGrid w:val="0"/>
        </w:rPr>
        <w:t>Einteilung von explosionsgefährdeten Bereichen (siehe Richtlinie 1999/92/EG</w:t>
      </w:r>
      <w:r w:rsidR="00F15516">
        <w:rPr>
          <w:b/>
          <w:i/>
          <w:snapToGrid w:val="0"/>
        </w:rPr>
        <w:t>“</w:t>
      </w:r>
      <w:r w:rsidRPr="00181D29">
        <w:rPr>
          <w:b/>
          <w:i/>
          <w:snapToGrid w:val="0"/>
        </w:rPr>
        <w:t>)</w:t>
      </w:r>
      <w:r w:rsidRPr="00181D29">
        <w:rPr>
          <w:snapToGrid w:val="0"/>
        </w:rPr>
        <w:t xml:space="preserve"> oder „ohne Argumente“ nach der Begriffsbestimmung </w:t>
      </w:r>
      <w:r w:rsidR="00F15516">
        <w:rPr>
          <w:snapToGrid w:val="0"/>
        </w:rPr>
        <w:t>„</w:t>
      </w:r>
      <w:r w:rsidRPr="00181D29">
        <w:rPr>
          <w:b/>
          <w:i/>
          <w:snapToGrid w:val="0"/>
        </w:rPr>
        <w:t>Zoneneinteilung</w:t>
      </w:r>
      <w:r w:rsidR="00F15516">
        <w:rPr>
          <w:b/>
          <w:i/>
          <w:snapToGrid w:val="0"/>
        </w:rPr>
        <w:t>“</w:t>
      </w:r>
      <w:r w:rsidRPr="00181D29">
        <w:rPr>
          <w:snapToGrid w:val="0"/>
        </w:rPr>
        <w:t xml:space="preserve"> eingestuft werden sollen.</w:t>
      </w:r>
    </w:p>
    <w:p w14:paraId="66FABA99"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3BD56C3B"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05A5D573"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b/>
          <w:snapToGrid w:val="0"/>
          <w:sz w:val="24"/>
        </w:rPr>
      </w:pPr>
      <w:r w:rsidRPr="00181D29">
        <w:rPr>
          <w:b/>
          <w:snapToGrid w:val="0"/>
          <w:sz w:val="24"/>
        </w:rPr>
        <w:t>Vorschlag</w:t>
      </w:r>
    </w:p>
    <w:p w14:paraId="45FA513A"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2F0AFD9B" w14:textId="7B2CB026"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rFonts w:cs="Arial"/>
          <w:snapToGrid w:val="0"/>
        </w:rPr>
      </w:pPr>
      <w:r w:rsidRPr="00181D29">
        <w:rPr>
          <w:rFonts w:cs="Arial"/>
          <w:snapToGrid w:val="0"/>
        </w:rPr>
        <w:t>1</w:t>
      </w:r>
      <w:r w:rsidR="002560DD">
        <w:rPr>
          <w:rFonts w:cs="Arial"/>
          <w:snapToGrid w:val="0"/>
        </w:rPr>
        <w:t>3</w:t>
      </w:r>
      <w:r w:rsidRPr="00181D29">
        <w:rPr>
          <w:rFonts w:cs="Arial"/>
          <w:snapToGrid w:val="0"/>
        </w:rPr>
        <w:t>.</w:t>
      </w:r>
      <w:r w:rsidRPr="00181D29">
        <w:rPr>
          <w:rFonts w:cs="Arial"/>
          <w:snapToGrid w:val="0"/>
        </w:rPr>
        <w:tab/>
        <w:t xml:space="preserve">Deutschland schlägt vor, der Anregung des Unternehmens </w:t>
      </w:r>
      <w:r w:rsidRPr="00181D29">
        <w:rPr>
          <w:snapToGrid w:val="0"/>
        </w:rPr>
        <w:t xml:space="preserve">Global </w:t>
      </w:r>
      <w:proofErr w:type="spellStart"/>
      <w:r w:rsidRPr="00181D29">
        <w:rPr>
          <w:snapToGrid w:val="0"/>
        </w:rPr>
        <w:t>Functional</w:t>
      </w:r>
      <w:proofErr w:type="spellEnd"/>
      <w:r w:rsidRPr="00181D29">
        <w:rPr>
          <w:snapToGrid w:val="0"/>
        </w:rPr>
        <w:t xml:space="preserve"> </w:t>
      </w:r>
      <w:proofErr w:type="spellStart"/>
      <w:r w:rsidRPr="00181D29">
        <w:rPr>
          <w:snapToGrid w:val="0"/>
        </w:rPr>
        <w:t>Safety</w:t>
      </w:r>
      <w:proofErr w:type="spellEnd"/>
      <w:r w:rsidRPr="00181D29">
        <w:rPr>
          <w:snapToGrid w:val="0"/>
        </w:rPr>
        <w:t xml:space="preserve"> </w:t>
      </w:r>
      <w:proofErr w:type="spellStart"/>
      <w:r w:rsidRPr="00181D29">
        <w:rPr>
          <w:snapToGrid w:val="0"/>
        </w:rPr>
        <w:t>ApS</w:t>
      </w:r>
      <w:proofErr w:type="spellEnd"/>
      <w:r w:rsidRPr="00181D29">
        <w:rPr>
          <w:snapToGrid w:val="0"/>
        </w:rPr>
        <w:t xml:space="preserve"> zu folgen und darüber zu beraten, ob die pauschale Zuordnung des Inneren von Ladetanks zur Explosionsschutz-Zone 0 zutreffend und sachgerecht ist</w:t>
      </w:r>
      <w:r w:rsidRPr="00181D29">
        <w:rPr>
          <w:rFonts w:cs="Arial"/>
          <w:snapToGrid w:val="0"/>
        </w:rPr>
        <w:t>.</w:t>
      </w:r>
    </w:p>
    <w:p w14:paraId="53AFED7D"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1F36A782"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0EC4EA91"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b/>
          <w:snapToGrid w:val="0"/>
          <w:sz w:val="24"/>
        </w:rPr>
      </w:pPr>
      <w:r w:rsidRPr="00181D29">
        <w:rPr>
          <w:b/>
          <w:snapToGrid w:val="0"/>
          <w:sz w:val="24"/>
        </w:rPr>
        <w:t>Diskussionsbeitrag</w:t>
      </w:r>
    </w:p>
    <w:p w14:paraId="336762F7"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204C709A" w14:textId="385E9A19"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rFonts w:cs="Arial"/>
          <w:snapToGrid w:val="0"/>
        </w:rPr>
      </w:pPr>
      <w:r w:rsidRPr="00181D29">
        <w:rPr>
          <w:rFonts w:cs="Arial"/>
          <w:snapToGrid w:val="0"/>
        </w:rPr>
        <w:t>1</w:t>
      </w:r>
      <w:r w:rsidR="002560DD">
        <w:rPr>
          <w:rFonts w:cs="Arial"/>
          <w:snapToGrid w:val="0"/>
        </w:rPr>
        <w:t>4</w:t>
      </w:r>
      <w:r w:rsidRPr="00181D29">
        <w:rPr>
          <w:rFonts w:cs="Arial"/>
          <w:snapToGrid w:val="0"/>
        </w:rPr>
        <w:t>.</w:t>
      </w:r>
      <w:r w:rsidRPr="00181D29">
        <w:rPr>
          <w:rFonts w:cs="Arial"/>
          <w:snapToGrid w:val="0"/>
        </w:rPr>
        <w:tab/>
        <w:t xml:space="preserve">Bei der von dem Unternehmen </w:t>
      </w:r>
      <w:r w:rsidRPr="00181D29">
        <w:rPr>
          <w:snapToGrid w:val="0"/>
        </w:rPr>
        <w:t xml:space="preserve">Global </w:t>
      </w:r>
      <w:proofErr w:type="spellStart"/>
      <w:r w:rsidRPr="00181D29">
        <w:rPr>
          <w:snapToGrid w:val="0"/>
        </w:rPr>
        <w:t>Functional</w:t>
      </w:r>
      <w:proofErr w:type="spellEnd"/>
      <w:r w:rsidRPr="00181D29">
        <w:rPr>
          <w:snapToGrid w:val="0"/>
        </w:rPr>
        <w:t xml:space="preserve"> </w:t>
      </w:r>
      <w:proofErr w:type="spellStart"/>
      <w:r w:rsidRPr="00181D29">
        <w:rPr>
          <w:snapToGrid w:val="0"/>
        </w:rPr>
        <w:t>Safety</w:t>
      </w:r>
      <w:proofErr w:type="spellEnd"/>
      <w:r w:rsidRPr="00181D29">
        <w:rPr>
          <w:snapToGrid w:val="0"/>
        </w:rPr>
        <w:t xml:space="preserve"> </w:t>
      </w:r>
      <w:proofErr w:type="spellStart"/>
      <w:r w:rsidRPr="00181D29">
        <w:rPr>
          <w:snapToGrid w:val="0"/>
        </w:rPr>
        <w:t>ApS</w:t>
      </w:r>
      <w:proofErr w:type="spellEnd"/>
      <w:r w:rsidRPr="00181D29">
        <w:rPr>
          <w:rFonts w:cs="Arial"/>
          <w:snapToGrid w:val="0"/>
        </w:rPr>
        <w:t xml:space="preserve"> zitierten Begriffsbestimmung für „Hold“ dürfte es sich handeln um:</w:t>
      </w:r>
    </w:p>
    <w:p w14:paraId="2F8899BD"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i/>
          <w:iCs/>
          <w:snapToGrid w:val="0"/>
        </w:rPr>
      </w:pPr>
    </w:p>
    <w:p w14:paraId="267EC0AD" w14:textId="77777777" w:rsidR="00181D29" w:rsidRPr="00181D29" w:rsidRDefault="00181D29" w:rsidP="000E50EB">
      <w:pPr>
        <w:widowControl/>
        <w:suppressAutoHyphens/>
        <w:overflowPunct/>
        <w:autoSpaceDE/>
        <w:autoSpaceDN/>
        <w:adjustRightInd/>
        <w:spacing w:line="240" w:lineRule="atLeast"/>
        <w:ind w:left="1701" w:firstLine="0"/>
        <w:textAlignment w:val="auto"/>
        <w:rPr>
          <w:snapToGrid w:val="0"/>
          <w:lang w:val="en-GB"/>
        </w:rPr>
      </w:pPr>
      <w:r w:rsidRPr="00181D29">
        <w:rPr>
          <w:i/>
          <w:iCs/>
          <w:snapToGrid w:val="0"/>
          <w:lang w:val="en-GB"/>
        </w:rPr>
        <w:t>Hold</w:t>
      </w:r>
      <w:r w:rsidRPr="00181D29">
        <w:rPr>
          <w:snapToGrid w:val="0"/>
          <w:lang w:val="en-GB"/>
        </w:rPr>
        <w:t xml:space="preserve"> (when anti-explosion protection is required, comparable to zone 1 - see </w:t>
      </w:r>
      <w:r w:rsidRPr="00181D29">
        <w:rPr>
          <w:i/>
          <w:iCs/>
          <w:snapToGrid w:val="0"/>
          <w:lang w:val="en-GB"/>
        </w:rPr>
        <w:t>Classification of zones</w:t>
      </w:r>
      <w:r w:rsidRPr="00181D29">
        <w:rPr>
          <w:snapToGrid w:val="0"/>
          <w:lang w:val="en-GB"/>
        </w:rPr>
        <w:t>)</w:t>
      </w:r>
      <w:r w:rsidRPr="00181D29">
        <w:rPr>
          <w:i/>
          <w:iCs/>
          <w:snapToGrid w:val="0"/>
          <w:lang w:val="en-GB"/>
        </w:rPr>
        <w:t xml:space="preserve"> </w:t>
      </w:r>
      <w:r w:rsidRPr="00181D29">
        <w:rPr>
          <w:snapToGrid w:val="0"/>
          <w:lang w:val="en-GB"/>
        </w:rPr>
        <w:t>means a part of the vessel which, whether covered by hatchway covers or not, is bounded fore and aft by bulkheads and which is intended to carry goods in packages or in bulk. The upper boundary of the hold is the upper edge of the hatchway coaming. Cargo extending above the hatchway coaming shall be considered as loaded on deck;</w:t>
      </w:r>
    </w:p>
    <w:p w14:paraId="16682593" w14:textId="77777777" w:rsidR="00181D29" w:rsidRPr="000E4D3A" w:rsidRDefault="00181D29" w:rsidP="00181D29">
      <w:pPr>
        <w:widowControl/>
        <w:tabs>
          <w:tab w:val="left" w:pos="1701"/>
        </w:tabs>
        <w:suppressAutoHyphens/>
        <w:overflowPunct/>
        <w:autoSpaceDE/>
        <w:autoSpaceDN/>
        <w:adjustRightInd/>
        <w:spacing w:line="240" w:lineRule="atLeast"/>
        <w:ind w:firstLine="0"/>
        <w:textAlignment w:val="auto"/>
        <w:rPr>
          <w:b/>
          <w:i/>
          <w:snapToGrid w:val="0"/>
          <w:szCs w:val="18"/>
          <w:lang w:val="en-US"/>
        </w:rPr>
      </w:pPr>
    </w:p>
    <w:p w14:paraId="3E3FFC18" w14:textId="77777777" w:rsidR="00F15516" w:rsidRDefault="00F15516">
      <w:pPr>
        <w:widowControl/>
        <w:overflowPunct/>
        <w:autoSpaceDE/>
        <w:autoSpaceDN/>
        <w:adjustRightInd/>
        <w:ind w:left="0" w:firstLine="0"/>
        <w:jc w:val="left"/>
        <w:textAlignment w:val="auto"/>
        <w:rPr>
          <w:b/>
          <w:i/>
          <w:snapToGrid w:val="0"/>
          <w:szCs w:val="18"/>
        </w:rPr>
      </w:pPr>
      <w:r>
        <w:rPr>
          <w:b/>
          <w:i/>
          <w:snapToGrid w:val="0"/>
          <w:szCs w:val="18"/>
        </w:rPr>
        <w:br w:type="page"/>
      </w:r>
    </w:p>
    <w:p w14:paraId="67B27E98" w14:textId="37C93D43" w:rsidR="00181D29" w:rsidRPr="00181D29" w:rsidRDefault="00181D29" w:rsidP="000E50EB">
      <w:pPr>
        <w:widowControl/>
        <w:tabs>
          <w:tab w:val="left" w:pos="1701"/>
        </w:tabs>
        <w:suppressAutoHyphens/>
        <w:overflowPunct/>
        <w:autoSpaceDE/>
        <w:autoSpaceDN/>
        <w:adjustRightInd/>
        <w:spacing w:line="240" w:lineRule="atLeast"/>
        <w:ind w:left="1701" w:firstLine="0"/>
        <w:textAlignment w:val="auto"/>
        <w:rPr>
          <w:snapToGrid w:val="0"/>
          <w:szCs w:val="18"/>
        </w:rPr>
      </w:pPr>
      <w:r w:rsidRPr="00181D29">
        <w:rPr>
          <w:b/>
          <w:i/>
          <w:snapToGrid w:val="0"/>
          <w:szCs w:val="18"/>
        </w:rPr>
        <w:lastRenderedPageBreak/>
        <w:t>Laderaum</w:t>
      </w:r>
      <w:r w:rsidRPr="00181D29">
        <w:rPr>
          <w:snapToGrid w:val="0"/>
          <w:szCs w:val="18"/>
        </w:rPr>
        <w:t xml:space="preserve"> (wenn Explosionsschutz gefordert wird, vergleichbar Zone 1)</w:t>
      </w:r>
      <w:r w:rsidRPr="00181D29">
        <w:rPr>
          <w:b/>
          <w:i/>
          <w:snapToGrid w:val="0"/>
          <w:szCs w:val="18"/>
        </w:rPr>
        <w:t>:</w:t>
      </w:r>
      <w:r w:rsidRPr="00181D29">
        <w:rPr>
          <w:snapToGrid w:val="0"/>
          <w:szCs w:val="18"/>
        </w:rPr>
        <w:t xml:space="preserve"> Ein nach vorne und hinten durch Schotte begrenzter, offener oder durch Lukendeckel geschlossener Teil des Schiffes, der für die Beförderung von Gütern in Versandstücken oder in loser Schüttung bestimmt ist. Die obere Begrenzung des Laderaums ist die Oberkante des </w:t>
      </w:r>
      <w:proofErr w:type="spellStart"/>
      <w:r w:rsidRPr="00181D29">
        <w:rPr>
          <w:snapToGrid w:val="0"/>
          <w:szCs w:val="18"/>
        </w:rPr>
        <w:t>Lukensülls</w:t>
      </w:r>
      <w:proofErr w:type="spellEnd"/>
      <w:r w:rsidRPr="00181D29">
        <w:rPr>
          <w:snapToGrid w:val="0"/>
          <w:szCs w:val="18"/>
        </w:rPr>
        <w:t xml:space="preserve">. Ladegüter, die über die Oberkante des </w:t>
      </w:r>
      <w:proofErr w:type="spellStart"/>
      <w:r w:rsidRPr="00181D29">
        <w:rPr>
          <w:snapToGrid w:val="0"/>
          <w:szCs w:val="18"/>
        </w:rPr>
        <w:t>Lukensülls</w:t>
      </w:r>
      <w:proofErr w:type="spellEnd"/>
      <w:r w:rsidRPr="00181D29">
        <w:rPr>
          <w:snapToGrid w:val="0"/>
          <w:szCs w:val="18"/>
        </w:rPr>
        <w:t xml:space="preserve"> hinausragen, gelten als an Deck gestaut.</w:t>
      </w:r>
    </w:p>
    <w:p w14:paraId="45AF6D94"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rFonts w:cs="Arial"/>
          <w:snapToGrid w:val="0"/>
          <w:szCs w:val="18"/>
        </w:rPr>
      </w:pPr>
    </w:p>
    <w:p w14:paraId="760B90DE" w14:textId="6755CAAE"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rFonts w:cs="Arial"/>
          <w:snapToGrid w:val="0"/>
          <w:szCs w:val="18"/>
        </w:rPr>
      </w:pPr>
      <w:r w:rsidRPr="00181D29">
        <w:rPr>
          <w:rFonts w:cs="Arial"/>
          <w:snapToGrid w:val="0"/>
          <w:szCs w:val="18"/>
        </w:rPr>
        <w:t>1</w:t>
      </w:r>
      <w:r w:rsidR="002560DD">
        <w:rPr>
          <w:rFonts w:cs="Arial"/>
          <w:snapToGrid w:val="0"/>
          <w:szCs w:val="18"/>
        </w:rPr>
        <w:t>5</w:t>
      </w:r>
      <w:r w:rsidRPr="00181D29">
        <w:rPr>
          <w:rFonts w:cs="Arial"/>
          <w:snapToGrid w:val="0"/>
          <w:szCs w:val="18"/>
        </w:rPr>
        <w:t>.</w:t>
      </w:r>
      <w:r w:rsidRPr="00181D29">
        <w:rPr>
          <w:rFonts w:cs="Arial"/>
          <w:snapToGrid w:val="0"/>
          <w:szCs w:val="18"/>
        </w:rPr>
        <w:tab/>
        <w:t>Für eine Beratung zu diesem Problem möchte Deutschland die folgenden Vorschriften des ADN in der bis zum 31. Dezember 2018 geltenden Fassung in Erinnerung rufen.</w:t>
      </w:r>
    </w:p>
    <w:p w14:paraId="34C18724"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7F6A3888" w14:textId="77777777" w:rsidR="00181D29" w:rsidRPr="002560DD" w:rsidRDefault="00181D29" w:rsidP="00181D29">
      <w:pPr>
        <w:widowControl/>
        <w:tabs>
          <w:tab w:val="left" w:pos="1701"/>
        </w:tabs>
        <w:suppressAutoHyphens/>
        <w:overflowPunct/>
        <w:autoSpaceDE/>
        <w:autoSpaceDN/>
        <w:adjustRightInd/>
        <w:spacing w:line="240" w:lineRule="atLeast"/>
        <w:ind w:firstLine="0"/>
        <w:textAlignment w:val="auto"/>
        <w:rPr>
          <w:rFonts w:cs="Arial"/>
          <w:snapToGrid w:val="0"/>
          <w:szCs w:val="18"/>
        </w:rPr>
      </w:pPr>
      <w:r w:rsidRPr="002560DD">
        <w:rPr>
          <w:rFonts w:cs="Arial"/>
          <w:snapToGrid w:val="0"/>
          <w:szCs w:val="18"/>
        </w:rPr>
        <w:t>Abschnitt 1.2.1, Begriffsbestimmungen</w:t>
      </w:r>
    </w:p>
    <w:p w14:paraId="502710E0" w14:textId="77777777" w:rsidR="003D4374" w:rsidRDefault="003D4374" w:rsidP="00181D29">
      <w:pPr>
        <w:widowControl/>
        <w:tabs>
          <w:tab w:val="left" w:pos="1701"/>
        </w:tabs>
        <w:suppressAutoHyphens/>
        <w:overflowPunct/>
        <w:autoSpaceDE/>
        <w:autoSpaceDN/>
        <w:adjustRightInd/>
        <w:spacing w:line="240" w:lineRule="atLeast"/>
        <w:ind w:firstLine="0"/>
        <w:textAlignment w:val="auto"/>
        <w:rPr>
          <w:b/>
          <w:i/>
          <w:snapToGrid w:val="0"/>
          <w:szCs w:val="18"/>
        </w:rPr>
      </w:pPr>
    </w:p>
    <w:p w14:paraId="2907AC0C" w14:textId="282C8CEC" w:rsidR="00181D29" w:rsidRPr="00181D29" w:rsidRDefault="00181D29" w:rsidP="00F15516">
      <w:pPr>
        <w:widowControl/>
        <w:tabs>
          <w:tab w:val="left" w:pos="1701"/>
        </w:tabs>
        <w:suppressAutoHyphens/>
        <w:overflowPunct/>
        <w:autoSpaceDE/>
        <w:autoSpaceDN/>
        <w:adjustRightInd/>
        <w:spacing w:line="240" w:lineRule="atLeast"/>
        <w:ind w:left="1701" w:firstLine="0"/>
        <w:textAlignment w:val="auto"/>
        <w:rPr>
          <w:snapToGrid w:val="0"/>
          <w:szCs w:val="18"/>
        </w:rPr>
      </w:pPr>
      <w:proofErr w:type="spellStart"/>
      <w:r w:rsidRPr="00181D29">
        <w:rPr>
          <w:b/>
          <w:i/>
          <w:snapToGrid w:val="0"/>
          <w:szCs w:val="18"/>
        </w:rPr>
        <w:t>Ladetank</w:t>
      </w:r>
      <w:proofErr w:type="spellEnd"/>
      <w:r w:rsidRPr="00181D29">
        <w:rPr>
          <w:snapToGrid w:val="0"/>
          <w:szCs w:val="18"/>
        </w:rPr>
        <w:t xml:space="preserve"> (wenn Explosionsschutz gefordert wird, vergleichbar Zone 0)</w:t>
      </w:r>
      <w:r w:rsidRPr="00181D29">
        <w:rPr>
          <w:b/>
          <w:i/>
          <w:snapToGrid w:val="0"/>
          <w:szCs w:val="18"/>
        </w:rPr>
        <w:t>:</w:t>
      </w:r>
      <w:r w:rsidRPr="00181D29">
        <w:rPr>
          <w:snapToGrid w:val="0"/>
          <w:szCs w:val="18"/>
        </w:rPr>
        <w:t xml:space="preserve"> Ein mit dem Schiff fest verbundener Tank, der für die Beförderung gefährlicher Güter bestimmt ist.</w:t>
      </w:r>
    </w:p>
    <w:p w14:paraId="06EC6D18" w14:textId="77777777" w:rsidR="003D4374" w:rsidRDefault="003D4374" w:rsidP="00181D29">
      <w:pPr>
        <w:widowControl/>
        <w:tabs>
          <w:tab w:val="left" w:pos="1701"/>
        </w:tabs>
        <w:suppressAutoHyphens/>
        <w:overflowPunct/>
        <w:autoSpaceDE/>
        <w:autoSpaceDN/>
        <w:adjustRightInd/>
        <w:spacing w:line="240" w:lineRule="atLeast"/>
        <w:ind w:firstLine="0"/>
        <w:textAlignment w:val="auto"/>
        <w:rPr>
          <w:rFonts w:cs="Arial"/>
          <w:snapToGrid w:val="0"/>
          <w:szCs w:val="18"/>
          <w:u w:val="single"/>
        </w:rPr>
      </w:pPr>
    </w:p>
    <w:p w14:paraId="26601EE7" w14:textId="4C27C48E" w:rsidR="00181D29" w:rsidRPr="00F15516" w:rsidRDefault="00181D29" w:rsidP="00181D29">
      <w:pPr>
        <w:widowControl/>
        <w:tabs>
          <w:tab w:val="left" w:pos="1701"/>
        </w:tabs>
        <w:suppressAutoHyphens/>
        <w:overflowPunct/>
        <w:autoSpaceDE/>
        <w:autoSpaceDN/>
        <w:adjustRightInd/>
        <w:spacing w:line="240" w:lineRule="atLeast"/>
        <w:ind w:firstLine="0"/>
        <w:textAlignment w:val="auto"/>
        <w:rPr>
          <w:rFonts w:cs="Arial"/>
          <w:snapToGrid w:val="0"/>
          <w:szCs w:val="18"/>
        </w:rPr>
      </w:pPr>
      <w:r w:rsidRPr="00F15516">
        <w:rPr>
          <w:rFonts w:cs="Arial"/>
          <w:snapToGrid w:val="0"/>
          <w:szCs w:val="18"/>
        </w:rPr>
        <w:t>9.3.x.52 Art und Aufstellungsort der elektrischen Einrichtungen</w:t>
      </w:r>
    </w:p>
    <w:p w14:paraId="285A383F" w14:textId="77777777" w:rsidR="003D4374" w:rsidRDefault="003D4374" w:rsidP="00181D29">
      <w:pPr>
        <w:widowControl/>
        <w:tabs>
          <w:tab w:val="left" w:pos="1134"/>
          <w:tab w:val="left" w:pos="1701"/>
        </w:tabs>
        <w:suppressAutoHyphens/>
        <w:overflowPunct/>
        <w:autoSpaceDE/>
        <w:autoSpaceDN/>
        <w:adjustRightInd/>
        <w:spacing w:line="240" w:lineRule="atLeast"/>
        <w:ind w:firstLine="0"/>
        <w:textAlignment w:val="auto"/>
        <w:rPr>
          <w:b/>
          <w:snapToGrid w:val="0"/>
          <w:szCs w:val="18"/>
        </w:rPr>
      </w:pPr>
    </w:p>
    <w:p w14:paraId="508E55E4" w14:textId="3721D7A2" w:rsidR="00181D29" w:rsidRPr="00181D29" w:rsidRDefault="00181D29" w:rsidP="00F15516">
      <w:pPr>
        <w:widowControl/>
        <w:tabs>
          <w:tab w:val="left" w:pos="1701"/>
          <w:tab w:val="left" w:pos="2127"/>
        </w:tabs>
        <w:suppressAutoHyphens/>
        <w:overflowPunct/>
        <w:autoSpaceDE/>
        <w:autoSpaceDN/>
        <w:adjustRightInd/>
        <w:spacing w:line="240" w:lineRule="atLeast"/>
        <w:ind w:left="2977" w:hanging="1276"/>
        <w:textAlignment w:val="auto"/>
        <w:rPr>
          <w:snapToGrid w:val="0"/>
          <w:szCs w:val="18"/>
        </w:rPr>
      </w:pPr>
      <w:r w:rsidRPr="002560DD">
        <w:rPr>
          <w:bCs/>
          <w:snapToGrid w:val="0"/>
          <w:szCs w:val="18"/>
        </w:rPr>
        <w:t>9.3.x.52.1</w:t>
      </w:r>
      <w:r w:rsidRPr="002560DD">
        <w:rPr>
          <w:bCs/>
          <w:snapToGrid w:val="0"/>
          <w:szCs w:val="18"/>
        </w:rPr>
        <w:tab/>
        <w:t>a</w:t>
      </w:r>
      <w:r w:rsidRPr="00181D29">
        <w:rPr>
          <w:snapToGrid w:val="0"/>
          <w:szCs w:val="18"/>
        </w:rPr>
        <w:t>)</w:t>
      </w:r>
      <w:r w:rsidRPr="00181D29">
        <w:rPr>
          <w:snapToGrid w:val="0"/>
          <w:szCs w:val="18"/>
        </w:rPr>
        <w:tab/>
        <w:t>In Ladetanks sowie in Lade- und Löschleitungen sind nur zugelassen (vergleichbar Zone 0):</w:t>
      </w:r>
    </w:p>
    <w:p w14:paraId="7F81DAB9" w14:textId="77777777" w:rsidR="00181D29" w:rsidRPr="00181D29" w:rsidRDefault="00181D29" w:rsidP="00F15516">
      <w:pPr>
        <w:widowControl/>
        <w:tabs>
          <w:tab w:val="left" w:pos="1418"/>
          <w:tab w:val="left" w:pos="2127"/>
        </w:tabs>
        <w:suppressAutoHyphens/>
        <w:overflowPunct/>
        <w:autoSpaceDE/>
        <w:autoSpaceDN/>
        <w:adjustRightInd/>
        <w:spacing w:line="240" w:lineRule="atLeast"/>
        <w:ind w:left="2977" w:firstLine="0"/>
        <w:textAlignment w:val="auto"/>
        <w:rPr>
          <w:snapToGrid w:val="0"/>
          <w:szCs w:val="18"/>
        </w:rPr>
      </w:pPr>
      <w:r w:rsidRPr="00181D29">
        <w:rPr>
          <w:snapToGrid w:val="0"/>
          <w:szCs w:val="18"/>
        </w:rPr>
        <w:t>-</w:t>
      </w:r>
      <w:r w:rsidRPr="00181D29">
        <w:rPr>
          <w:snapToGrid w:val="0"/>
          <w:szCs w:val="18"/>
        </w:rPr>
        <w:tab/>
        <w:t xml:space="preserve">Mess-, Regel- und Alarmeinrichtungen in Ausführung </w:t>
      </w:r>
      <w:proofErr w:type="spellStart"/>
      <w:r w:rsidRPr="00181D29">
        <w:rPr>
          <w:snapToGrid w:val="0"/>
          <w:szCs w:val="18"/>
        </w:rPr>
        <w:t>EEx</w:t>
      </w:r>
      <w:proofErr w:type="spellEnd"/>
      <w:r w:rsidRPr="00181D29">
        <w:rPr>
          <w:snapToGrid w:val="0"/>
          <w:szCs w:val="18"/>
        </w:rPr>
        <w:t xml:space="preserve"> (</w:t>
      </w:r>
      <w:proofErr w:type="spellStart"/>
      <w:r w:rsidRPr="00181D29">
        <w:rPr>
          <w:snapToGrid w:val="0"/>
          <w:szCs w:val="18"/>
        </w:rPr>
        <w:t>ia</w:t>
      </w:r>
      <w:proofErr w:type="spellEnd"/>
      <w:r w:rsidRPr="00181D29">
        <w:rPr>
          <w:snapToGrid w:val="0"/>
          <w:szCs w:val="18"/>
        </w:rPr>
        <w:t>).</w:t>
      </w:r>
    </w:p>
    <w:p w14:paraId="24EC83AB" w14:textId="45B209F9" w:rsidR="00181D29" w:rsidRDefault="00181D29">
      <w:pPr>
        <w:widowControl/>
        <w:overflowPunct/>
        <w:autoSpaceDE/>
        <w:autoSpaceDN/>
        <w:adjustRightInd/>
        <w:ind w:left="0" w:firstLine="0"/>
        <w:jc w:val="left"/>
        <w:textAlignment w:val="auto"/>
        <w:rPr>
          <w:rFonts w:cs="Arial"/>
          <w:snapToGrid w:val="0"/>
          <w:szCs w:val="18"/>
        </w:rPr>
      </w:pPr>
    </w:p>
    <w:p w14:paraId="26CDBB1A" w14:textId="702E9CC0" w:rsidR="00181D29" w:rsidRDefault="00181D29" w:rsidP="00181D29">
      <w:pPr>
        <w:widowControl/>
        <w:tabs>
          <w:tab w:val="left" w:pos="708"/>
          <w:tab w:val="left" w:pos="1701"/>
        </w:tabs>
        <w:suppressAutoHyphens/>
        <w:overflowPunct/>
        <w:autoSpaceDE/>
        <w:autoSpaceDN/>
        <w:adjustRightInd/>
        <w:spacing w:line="240" w:lineRule="atLeast"/>
        <w:ind w:firstLine="0"/>
        <w:textAlignment w:val="auto"/>
        <w:rPr>
          <w:rFonts w:cs="Arial"/>
          <w:snapToGrid w:val="0"/>
          <w:szCs w:val="18"/>
        </w:rPr>
      </w:pPr>
      <w:r w:rsidRPr="00181D29">
        <w:rPr>
          <w:rFonts w:cs="Arial"/>
          <w:snapToGrid w:val="0"/>
          <w:szCs w:val="18"/>
        </w:rPr>
        <w:t>1</w:t>
      </w:r>
      <w:r w:rsidR="002560DD">
        <w:rPr>
          <w:rFonts w:cs="Arial"/>
          <w:snapToGrid w:val="0"/>
          <w:szCs w:val="18"/>
        </w:rPr>
        <w:t>6</w:t>
      </w:r>
      <w:r w:rsidRPr="00181D29">
        <w:rPr>
          <w:rFonts w:cs="Arial"/>
          <w:snapToGrid w:val="0"/>
          <w:szCs w:val="18"/>
        </w:rPr>
        <w:t>.</w:t>
      </w:r>
      <w:r w:rsidRPr="00181D29">
        <w:rPr>
          <w:rFonts w:cs="Arial"/>
          <w:snapToGrid w:val="0"/>
          <w:szCs w:val="18"/>
        </w:rPr>
        <w:tab/>
        <w:t>Weiterhin sollte die seit dem 1. Januar 2019 gültige Übergangsvorschrift in Absatz 1.6.7.2.2 ADN zu den Absätzen 9.3.1.53.1, 9.3.2.53.1, 9.3.3.53.1 / Art und Aufstellungsort der elektrischen Anlagen und Geräte zum Einsatz in explosionsgefährdeten Bereichen Zone 0, Zone 1 beachtet werden.</w:t>
      </w:r>
    </w:p>
    <w:p w14:paraId="039D1549" w14:textId="77777777" w:rsidR="00181D29" w:rsidRPr="00181D29" w:rsidRDefault="00181D29" w:rsidP="00181D29">
      <w:pPr>
        <w:widowControl/>
        <w:tabs>
          <w:tab w:val="left" w:pos="708"/>
          <w:tab w:val="left" w:pos="1701"/>
        </w:tabs>
        <w:suppressAutoHyphens/>
        <w:overflowPunct/>
        <w:autoSpaceDE/>
        <w:autoSpaceDN/>
        <w:adjustRightInd/>
        <w:spacing w:line="240" w:lineRule="atLeast"/>
        <w:ind w:firstLine="0"/>
        <w:textAlignment w:val="auto"/>
        <w:rPr>
          <w:rFonts w:cs="Arial"/>
          <w:snapToGrid w:val="0"/>
          <w:szCs w:val="18"/>
        </w:rPr>
      </w:pPr>
    </w:p>
    <w:p w14:paraId="3D8F9256" w14:textId="77777777" w:rsidR="00181D29" w:rsidRPr="00181D29" w:rsidRDefault="00181D29" w:rsidP="00F15516">
      <w:pPr>
        <w:widowControl/>
        <w:tabs>
          <w:tab w:val="left" w:pos="708"/>
          <w:tab w:val="left" w:pos="1701"/>
        </w:tabs>
        <w:suppressAutoHyphens/>
        <w:overflowPunct/>
        <w:autoSpaceDE/>
        <w:autoSpaceDN/>
        <w:adjustRightInd/>
        <w:spacing w:line="240" w:lineRule="atLeast"/>
        <w:ind w:left="1418" w:firstLine="0"/>
        <w:textAlignment w:val="auto"/>
        <w:rPr>
          <w:rFonts w:cs="Arial"/>
          <w:snapToGrid w:val="0"/>
          <w:szCs w:val="22"/>
        </w:rPr>
      </w:pPr>
      <w:r w:rsidRPr="00181D29">
        <w:rPr>
          <w:rFonts w:cs="Arial"/>
          <w:snapToGrid w:val="0"/>
          <w:szCs w:val="22"/>
        </w:rPr>
        <w:t>„N.E.U. ab 1. Januar 2019 / Erneuerung des Zulassungszeugnisses nach dem 31. Dezember 2034</w:t>
      </w:r>
    </w:p>
    <w:p w14:paraId="47EDC86E" w14:textId="3C4656D4" w:rsidR="00181D29" w:rsidRDefault="00181D29" w:rsidP="00F15516">
      <w:pPr>
        <w:widowControl/>
        <w:tabs>
          <w:tab w:val="left" w:pos="1701"/>
        </w:tabs>
        <w:suppressAutoHyphens/>
        <w:overflowPunct/>
        <w:autoSpaceDE/>
        <w:autoSpaceDN/>
        <w:adjustRightInd/>
        <w:spacing w:line="240" w:lineRule="atLeast"/>
        <w:ind w:left="1418" w:firstLine="0"/>
        <w:textAlignment w:val="auto"/>
        <w:rPr>
          <w:rFonts w:cs="Arial"/>
          <w:snapToGrid w:val="0"/>
          <w:szCs w:val="22"/>
        </w:rPr>
      </w:pPr>
      <w:r w:rsidRPr="00181D29">
        <w:rPr>
          <w:rFonts w:cs="Arial"/>
          <w:snapToGrid w:val="0"/>
          <w:szCs w:val="22"/>
        </w:rPr>
        <w:t>Bis dahin müssen folgende Vorschriften eingehalten werden:</w:t>
      </w:r>
    </w:p>
    <w:p w14:paraId="717DDD87"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rFonts w:cs="Arial"/>
          <w:snapToGrid w:val="0"/>
          <w:szCs w:val="22"/>
        </w:rPr>
      </w:pPr>
    </w:p>
    <w:p w14:paraId="082EFFFA" w14:textId="77777777" w:rsidR="00181D29" w:rsidRPr="00181D29" w:rsidRDefault="00181D29" w:rsidP="002560DD">
      <w:pPr>
        <w:widowControl/>
        <w:tabs>
          <w:tab w:val="left" w:pos="1418"/>
        </w:tabs>
        <w:suppressAutoHyphens/>
        <w:overflowPunct/>
        <w:autoSpaceDE/>
        <w:autoSpaceDN/>
        <w:adjustRightInd/>
        <w:spacing w:line="240" w:lineRule="atLeast"/>
        <w:ind w:left="1418" w:firstLine="0"/>
        <w:textAlignment w:val="auto"/>
        <w:rPr>
          <w:rFonts w:cs="Arial"/>
          <w:snapToGrid w:val="0"/>
          <w:szCs w:val="22"/>
        </w:rPr>
      </w:pPr>
      <w:r w:rsidRPr="00181D29">
        <w:rPr>
          <w:rFonts w:cs="Arial"/>
          <w:snapToGrid w:val="0"/>
          <w:szCs w:val="22"/>
        </w:rPr>
        <w:t xml:space="preserve">In Ladetanks sowie in Lade- und Löschleitungen sind nur Mess-, Regel- und Alarmeinrichtungen in Ausführung </w:t>
      </w:r>
      <w:proofErr w:type="spellStart"/>
      <w:r w:rsidRPr="00181D29">
        <w:rPr>
          <w:rFonts w:cs="Arial"/>
          <w:snapToGrid w:val="0"/>
          <w:szCs w:val="22"/>
        </w:rPr>
        <w:t>EEx</w:t>
      </w:r>
      <w:proofErr w:type="spellEnd"/>
      <w:r w:rsidRPr="00181D29">
        <w:rPr>
          <w:rFonts w:cs="Arial"/>
          <w:snapToGrid w:val="0"/>
          <w:szCs w:val="22"/>
        </w:rPr>
        <w:t xml:space="preserve"> (</w:t>
      </w:r>
      <w:proofErr w:type="spellStart"/>
      <w:r w:rsidRPr="00181D29">
        <w:rPr>
          <w:rFonts w:cs="Arial"/>
          <w:snapToGrid w:val="0"/>
          <w:szCs w:val="22"/>
        </w:rPr>
        <w:t>ia</w:t>
      </w:r>
      <w:proofErr w:type="spellEnd"/>
      <w:r w:rsidRPr="00181D29">
        <w:rPr>
          <w:rFonts w:cs="Arial"/>
          <w:snapToGrid w:val="0"/>
          <w:szCs w:val="22"/>
        </w:rPr>
        <w:t>) zugelassen.“.</w:t>
      </w:r>
    </w:p>
    <w:p w14:paraId="0E1ECF66" w14:textId="77777777" w:rsidR="00181D29" w:rsidRPr="00181D29" w:rsidRDefault="00181D29" w:rsidP="00181D29">
      <w:pPr>
        <w:widowControl/>
        <w:tabs>
          <w:tab w:val="left" w:pos="1701"/>
        </w:tabs>
        <w:suppressAutoHyphens/>
        <w:overflowPunct/>
        <w:autoSpaceDE/>
        <w:autoSpaceDN/>
        <w:adjustRightInd/>
        <w:spacing w:line="240" w:lineRule="atLeast"/>
        <w:ind w:firstLine="0"/>
        <w:textAlignment w:val="auto"/>
        <w:rPr>
          <w:snapToGrid w:val="0"/>
        </w:rPr>
      </w:pPr>
    </w:p>
    <w:p w14:paraId="232DA378" w14:textId="77777777" w:rsidR="00722B3E" w:rsidRPr="003F4F7B" w:rsidRDefault="00722B3E" w:rsidP="00181D29">
      <w:pPr>
        <w:widowControl/>
        <w:tabs>
          <w:tab w:val="left" w:pos="1701"/>
        </w:tabs>
        <w:suppressAutoHyphens/>
        <w:overflowPunct/>
        <w:autoSpaceDE/>
        <w:autoSpaceDN/>
        <w:adjustRightInd/>
        <w:spacing w:line="240" w:lineRule="atLeast"/>
        <w:ind w:firstLine="0"/>
        <w:jc w:val="center"/>
        <w:textAlignment w:val="auto"/>
        <w:rPr>
          <w:snapToGrid w:val="0"/>
        </w:rPr>
      </w:pPr>
      <w:r w:rsidRPr="003F4F7B">
        <w:rPr>
          <w:snapToGrid w:val="0"/>
        </w:rPr>
        <w:t>***</w:t>
      </w:r>
    </w:p>
    <w:sectPr w:rsidR="00722B3E" w:rsidRPr="003F4F7B" w:rsidSect="00D36741">
      <w:headerReference w:type="even" r:id="rId8"/>
      <w:headerReference w:type="default" r:id="rId9"/>
      <w:footerReference w:type="even"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CC7E" w14:textId="77777777" w:rsidR="00277F70" w:rsidRDefault="00277F70" w:rsidP="00277F70">
      <w:r>
        <w:separator/>
      </w:r>
    </w:p>
  </w:endnote>
  <w:endnote w:type="continuationSeparator" w:id="0">
    <w:p w14:paraId="15BF02D3" w14:textId="77777777" w:rsidR="00277F70" w:rsidRDefault="00277F70"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AA26" w14:textId="0212CFFD"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20</w:t>
    </w:r>
    <w:r w:rsidRPr="004F60A5">
      <w:rPr>
        <w:rFonts w:ascii="Arial" w:hAnsi="Arial"/>
        <w:noProof/>
        <w:snapToGrid w:val="0"/>
        <w:sz w:val="12"/>
        <w:szCs w:val="24"/>
        <w:lang w:val="en-US"/>
      </w:rPr>
      <w:t>_</w:t>
    </w:r>
    <w:r w:rsidR="002560DD">
      <w:rPr>
        <w:rFonts w:ascii="Arial" w:hAnsi="Arial"/>
        <w:noProof/>
        <w:snapToGrid w:val="0"/>
        <w:sz w:val="12"/>
        <w:szCs w:val="24"/>
        <w:lang w:val="en-US"/>
      </w:rPr>
      <w:t>29</w:t>
    </w:r>
    <w:r w:rsidRPr="004F60A5">
      <w:rPr>
        <w:rFonts w:ascii="Arial" w:hAnsi="Arial"/>
        <w:noProof/>
        <w:snapToGrid w:val="0"/>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2762" w14:textId="46DF9DA3"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20</w:t>
    </w:r>
    <w:r w:rsidRPr="004F60A5">
      <w:rPr>
        <w:rFonts w:ascii="Arial" w:hAnsi="Arial"/>
        <w:noProof/>
        <w:snapToGrid w:val="0"/>
        <w:sz w:val="12"/>
        <w:szCs w:val="24"/>
        <w:lang w:val="en-US"/>
      </w:rPr>
      <w:t>_</w:t>
    </w:r>
    <w:r w:rsidR="002560DD">
      <w:rPr>
        <w:rFonts w:ascii="Arial" w:hAnsi="Arial"/>
        <w:noProof/>
        <w:snapToGrid w:val="0"/>
        <w:sz w:val="12"/>
        <w:szCs w:val="24"/>
        <w:lang w:val="en-US"/>
      </w:rPr>
      <w:t>29</w:t>
    </w:r>
    <w:r w:rsidRPr="004F60A5">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111B" w14:textId="77777777" w:rsidR="00277F70" w:rsidRDefault="00277F70" w:rsidP="00277F70">
      <w:r>
        <w:separator/>
      </w:r>
    </w:p>
  </w:footnote>
  <w:footnote w:type="continuationSeparator" w:id="0">
    <w:p w14:paraId="5AA4B363" w14:textId="77777777" w:rsidR="00277F70" w:rsidRDefault="00277F70" w:rsidP="00277F70">
      <w:r>
        <w:continuationSeparator/>
      </w:r>
    </w:p>
  </w:footnote>
  <w:footnote w:id="1">
    <w:p w14:paraId="3628FF4C" w14:textId="2050059D" w:rsidR="00181D29" w:rsidRPr="00B041A6" w:rsidRDefault="00181D29" w:rsidP="00181D29">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ECE/TRANS/WP.15/AC.2/20</w:t>
      </w:r>
      <w:r>
        <w:rPr>
          <w:sz w:val="16"/>
          <w:szCs w:val="16"/>
        </w:rPr>
        <w:t>20</w:t>
      </w:r>
      <w:r w:rsidRPr="00B041A6">
        <w:rPr>
          <w:sz w:val="16"/>
          <w:szCs w:val="16"/>
        </w:rPr>
        <w:t>/</w:t>
      </w:r>
      <w:r w:rsidR="002E12D1">
        <w:rPr>
          <w:sz w:val="16"/>
          <w:szCs w:val="16"/>
        </w:rPr>
        <w:t>29</w:t>
      </w:r>
      <w:r w:rsidRPr="00B041A6">
        <w:rPr>
          <w:sz w:val="16"/>
          <w:szCs w:val="16"/>
        </w:rPr>
        <w:t xml:space="preserve"> verteilt.</w:t>
      </w:r>
    </w:p>
  </w:footnote>
  <w:footnote w:id="2">
    <w:p w14:paraId="5DD6E1A5" w14:textId="5028D112" w:rsidR="00181D29" w:rsidRPr="00B041A6" w:rsidRDefault="00181D29" w:rsidP="00181D29">
      <w:pPr>
        <w:pStyle w:val="FootnoteText"/>
        <w:tabs>
          <w:tab w:val="left" w:pos="284"/>
        </w:tabs>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r>
      <w:r w:rsidR="002E12D1" w:rsidRPr="002E12D1">
        <w:rPr>
          <w:sz w:val="16"/>
          <w:szCs w:val="16"/>
        </w:rPr>
        <w:t>Entsprechend dem Arbeitsprogramm des Binnenverkehrsausschusses für 2020 gemäß dem Entwurf des Programmhaushalts für 2020 (A/74/6 (Titel V, Kapitel 20), Abs. 20.37).</w:t>
      </w:r>
    </w:p>
  </w:footnote>
  <w:footnote w:id="3">
    <w:p w14:paraId="60FC6E7C" w14:textId="77777777" w:rsidR="00181D29" w:rsidRPr="008A0758" w:rsidRDefault="00181D29" w:rsidP="00181D29">
      <w:pPr>
        <w:pStyle w:val="FootnoteText"/>
        <w:ind w:left="284" w:hanging="284"/>
        <w:rPr>
          <w:sz w:val="16"/>
          <w:szCs w:val="16"/>
        </w:rPr>
      </w:pPr>
      <w:r w:rsidRPr="00E85AE0">
        <w:rPr>
          <w:rStyle w:val="FootnoteReference"/>
        </w:rPr>
        <w:footnoteRef/>
      </w:r>
      <w:r w:rsidRPr="00C664F6">
        <w:rPr>
          <w:szCs w:val="18"/>
          <w:vertAlign w:val="superscript"/>
        </w:rPr>
        <w:t>)</w:t>
      </w:r>
      <w:r w:rsidRPr="00C664F6">
        <w:rPr>
          <w:szCs w:val="18"/>
          <w:vertAlign w:val="superscript"/>
        </w:rPr>
        <w:tab/>
      </w:r>
      <w:r w:rsidRPr="00C664F6">
        <w:rPr>
          <w:sz w:val="16"/>
          <w:szCs w:val="16"/>
        </w:rPr>
        <w:t>Amtsblatt der Europäischen Gemeinschaften Nr.</w:t>
      </w:r>
      <w:r w:rsidRPr="00C664F6">
        <w:rPr>
          <w:rFonts w:cs="Arial"/>
          <w:sz w:val="16"/>
          <w:szCs w:val="16"/>
          <w:lang w:eastAsia="de-DE"/>
        </w:rPr>
        <w:t xml:space="preserve"> </w:t>
      </w:r>
      <w:r w:rsidRPr="008A0758">
        <w:rPr>
          <w:rFonts w:cs="Arial"/>
          <w:sz w:val="16"/>
          <w:szCs w:val="16"/>
          <w:lang w:eastAsia="de-DE"/>
        </w:rPr>
        <w:t>L 23 vom 28. Januar 2000, S.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395E" w14:textId="7E65EEEA"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20</w:t>
    </w:r>
    <w:r w:rsidRPr="00FF3208">
      <w:rPr>
        <w:rFonts w:ascii="Arial" w:hAnsi="Arial"/>
        <w:snapToGrid w:val="0"/>
        <w:sz w:val="16"/>
        <w:szCs w:val="16"/>
        <w:lang w:val="en-US"/>
      </w:rPr>
      <w:t>/</w:t>
    </w:r>
    <w:r w:rsidR="002E12D1">
      <w:rPr>
        <w:rFonts w:ascii="Arial" w:hAnsi="Arial"/>
        <w:snapToGrid w:val="0"/>
        <w:sz w:val="16"/>
        <w:szCs w:val="16"/>
        <w:lang w:val="en-US"/>
      </w:rPr>
      <w:t>29</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7E64" w14:textId="7E3D918F"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1" w:name="_Hlk19605293"/>
    <w:bookmarkStart w:id="2" w:name="_Hlk19605294"/>
    <w:r w:rsidRPr="00FF3208">
      <w:rPr>
        <w:rFonts w:ascii="Arial" w:hAnsi="Arial"/>
        <w:snapToGrid w:val="0"/>
        <w:sz w:val="16"/>
        <w:szCs w:val="16"/>
        <w:lang w:val="en-US"/>
      </w:rPr>
      <w:t>CCNR-ZKR/ADN/WP.15/AC.2/20</w:t>
    </w:r>
    <w:r>
      <w:rPr>
        <w:rFonts w:ascii="Arial" w:hAnsi="Arial"/>
        <w:snapToGrid w:val="0"/>
        <w:sz w:val="16"/>
        <w:szCs w:val="16"/>
        <w:lang w:val="en-US"/>
      </w:rPr>
      <w:t>20</w:t>
    </w:r>
    <w:r w:rsidRPr="00FF3208">
      <w:rPr>
        <w:rFonts w:ascii="Arial" w:hAnsi="Arial"/>
        <w:snapToGrid w:val="0"/>
        <w:sz w:val="16"/>
        <w:szCs w:val="16"/>
        <w:lang w:val="en-US"/>
      </w:rPr>
      <w:t>/</w:t>
    </w:r>
    <w:r w:rsidR="002560DD">
      <w:rPr>
        <w:rFonts w:ascii="Arial" w:hAnsi="Arial"/>
        <w:snapToGrid w:val="0"/>
        <w:sz w:val="16"/>
        <w:szCs w:val="16"/>
        <w:lang w:val="en-US"/>
      </w:rPr>
      <w:t>29</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0B37"/>
    <w:multiLevelType w:val="hybridMultilevel"/>
    <w:tmpl w:val="82382EB4"/>
    <w:lvl w:ilvl="0" w:tplc="013EE3D8">
      <w:start w:val="1"/>
      <w:numFmt w:val="upperRoman"/>
      <w:lvlText w:val="%1."/>
      <w:lvlJc w:val="left"/>
      <w:pPr>
        <w:ind w:left="4406" w:hanging="720"/>
      </w:pPr>
      <w:rPr>
        <w:rFonts w:hint="default"/>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1" w15:restartNumberingAfterBreak="0">
    <w:nsid w:val="2527143C"/>
    <w:multiLevelType w:val="hybridMultilevel"/>
    <w:tmpl w:val="F0EC56B0"/>
    <w:lvl w:ilvl="0" w:tplc="04070017">
      <w:start w:val="1"/>
      <w:numFmt w:val="lowerLetter"/>
      <w:lvlText w:val="%1)"/>
      <w:lvlJc w:val="left"/>
      <w:pPr>
        <w:ind w:left="1919" w:hanging="360"/>
      </w:pPr>
    </w:lvl>
    <w:lvl w:ilvl="1" w:tplc="04070019">
      <w:start w:val="1"/>
      <w:numFmt w:val="lowerLetter"/>
      <w:lvlText w:val="%2."/>
      <w:lvlJc w:val="left"/>
      <w:pPr>
        <w:ind w:left="2639" w:hanging="360"/>
      </w:pPr>
    </w:lvl>
    <w:lvl w:ilvl="2" w:tplc="0407001B">
      <w:start w:val="1"/>
      <w:numFmt w:val="lowerRoman"/>
      <w:lvlText w:val="%3."/>
      <w:lvlJc w:val="right"/>
      <w:pPr>
        <w:ind w:left="3359" w:hanging="180"/>
      </w:pPr>
    </w:lvl>
    <w:lvl w:ilvl="3" w:tplc="0407000F">
      <w:start w:val="1"/>
      <w:numFmt w:val="decimal"/>
      <w:lvlText w:val="%4."/>
      <w:lvlJc w:val="left"/>
      <w:pPr>
        <w:ind w:left="4079" w:hanging="360"/>
      </w:pPr>
    </w:lvl>
    <w:lvl w:ilvl="4" w:tplc="04070019">
      <w:start w:val="1"/>
      <w:numFmt w:val="lowerLetter"/>
      <w:lvlText w:val="%5."/>
      <w:lvlJc w:val="left"/>
      <w:pPr>
        <w:ind w:left="4799" w:hanging="360"/>
      </w:pPr>
    </w:lvl>
    <w:lvl w:ilvl="5" w:tplc="0407001B">
      <w:start w:val="1"/>
      <w:numFmt w:val="lowerRoman"/>
      <w:lvlText w:val="%6."/>
      <w:lvlJc w:val="right"/>
      <w:pPr>
        <w:ind w:left="5519" w:hanging="180"/>
      </w:pPr>
    </w:lvl>
    <w:lvl w:ilvl="6" w:tplc="0407000F">
      <w:start w:val="1"/>
      <w:numFmt w:val="decimal"/>
      <w:lvlText w:val="%7."/>
      <w:lvlJc w:val="left"/>
      <w:pPr>
        <w:ind w:left="6239" w:hanging="360"/>
      </w:pPr>
    </w:lvl>
    <w:lvl w:ilvl="7" w:tplc="04070019">
      <w:start w:val="1"/>
      <w:numFmt w:val="lowerLetter"/>
      <w:lvlText w:val="%8."/>
      <w:lvlJc w:val="left"/>
      <w:pPr>
        <w:ind w:left="6959" w:hanging="360"/>
      </w:pPr>
    </w:lvl>
    <w:lvl w:ilvl="8" w:tplc="0407001B">
      <w:start w:val="1"/>
      <w:numFmt w:val="lowerRoman"/>
      <w:lvlText w:val="%9."/>
      <w:lvlJc w:val="right"/>
      <w:pPr>
        <w:ind w:left="7679" w:hanging="180"/>
      </w:pPr>
    </w:lvl>
  </w:abstractNum>
  <w:abstractNum w:abstractNumId="2"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9215A"/>
    <w:rsid w:val="00094A98"/>
    <w:rsid w:val="000A563B"/>
    <w:rsid w:val="000B2B01"/>
    <w:rsid w:val="000C6E63"/>
    <w:rsid w:val="000D2BBD"/>
    <w:rsid w:val="000D45A5"/>
    <w:rsid w:val="000E12CF"/>
    <w:rsid w:val="000E4D3A"/>
    <w:rsid w:val="000E50EB"/>
    <w:rsid w:val="001324CB"/>
    <w:rsid w:val="00155C7C"/>
    <w:rsid w:val="00160AF1"/>
    <w:rsid w:val="00181D29"/>
    <w:rsid w:val="001C60D6"/>
    <w:rsid w:val="001C7AEC"/>
    <w:rsid w:val="001F57B6"/>
    <w:rsid w:val="00222245"/>
    <w:rsid w:val="00225E1F"/>
    <w:rsid w:val="002560DD"/>
    <w:rsid w:val="00277F70"/>
    <w:rsid w:val="002E12D1"/>
    <w:rsid w:val="002E6F67"/>
    <w:rsid w:val="00387BCB"/>
    <w:rsid w:val="003B3B76"/>
    <w:rsid w:val="003C05C5"/>
    <w:rsid w:val="003D4374"/>
    <w:rsid w:val="003E12AD"/>
    <w:rsid w:val="003E6913"/>
    <w:rsid w:val="003F4F7B"/>
    <w:rsid w:val="003F5E68"/>
    <w:rsid w:val="004076CE"/>
    <w:rsid w:val="00454F9B"/>
    <w:rsid w:val="00483782"/>
    <w:rsid w:val="00496444"/>
    <w:rsid w:val="004A7663"/>
    <w:rsid w:val="004E2AEF"/>
    <w:rsid w:val="004F06F2"/>
    <w:rsid w:val="00576558"/>
    <w:rsid w:val="00591A7D"/>
    <w:rsid w:val="005C2135"/>
    <w:rsid w:val="005D4553"/>
    <w:rsid w:val="005E48E4"/>
    <w:rsid w:val="0063076E"/>
    <w:rsid w:val="00635226"/>
    <w:rsid w:val="00640689"/>
    <w:rsid w:val="00643AEA"/>
    <w:rsid w:val="00681464"/>
    <w:rsid w:val="0069704F"/>
    <w:rsid w:val="006C4B7F"/>
    <w:rsid w:val="006E493E"/>
    <w:rsid w:val="00720516"/>
    <w:rsid w:val="00722B3E"/>
    <w:rsid w:val="00724E6F"/>
    <w:rsid w:val="00751575"/>
    <w:rsid w:val="007C4366"/>
    <w:rsid w:val="007E23F8"/>
    <w:rsid w:val="00821B17"/>
    <w:rsid w:val="00827D8E"/>
    <w:rsid w:val="00895F87"/>
    <w:rsid w:val="008E0E25"/>
    <w:rsid w:val="008F4F6A"/>
    <w:rsid w:val="00905C07"/>
    <w:rsid w:val="009545CD"/>
    <w:rsid w:val="009624BC"/>
    <w:rsid w:val="009873A1"/>
    <w:rsid w:val="009A5ADD"/>
    <w:rsid w:val="009C033F"/>
    <w:rsid w:val="00A0258A"/>
    <w:rsid w:val="00A23A41"/>
    <w:rsid w:val="00A52F3E"/>
    <w:rsid w:val="00A857CC"/>
    <w:rsid w:val="00A97CEA"/>
    <w:rsid w:val="00B4533C"/>
    <w:rsid w:val="00B83171"/>
    <w:rsid w:val="00BB0DBC"/>
    <w:rsid w:val="00C125FE"/>
    <w:rsid w:val="00C308A6"/>
    <w:rsid w:val="00C47D75"/>
    <w:rsid w:val="00C94048"/>
    <w:rsid w:val="00CF1246"/>
    <w:rsid w:val="00D12776"/>
    <w:rsid w:val="00D15348"/>
    <w:rsid w:val="00D25F16"/>
    <w:rsid w:val="00D36741"/>
    <w:rsid w:val="00D45DD4"/>
    <w:rsid w:val="00D4726C"/>
    <w:rsid w:val="00D63E14"/>
    <w:rsid w:val="00DB57E7"/>
    <w:rsid w:val="00E04049"/>
    <w:rsid w:val="00E37FFD"/>
    <w:rsid w:val="00E41049"/>
    <w:rsid w:val="00E565DE"/>
    <w:rsid w:val="00E569AC"/>
    <w:rsid w:val="00E6763F"/>
    <w:rsid w:val="00E727CB"/>
    <w:rsid w:val="00E83D57"/>
    <w:rsid w:val="00ED557F"/>
    <w:rsid w:val="00EE66ED"/>
    <w:rsid w:val="00F15516"/>
    <w:rsid w:val="00FA20A1"/>
    <w:rsid w:val="00FF7D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076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basedOn w:val="Normal"/>
    <w:link w:val="FootnoteTextChar"/>
    <w:rsid w:val="00277F70"/>
  </w:style>
  <w:style w:type="character" w:customStyle="1" w:styleId="FootnoteTextChar">
    <w:name w:val="Footnote Text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5083</Characters>
  <Application>Microsoft Office Word</Application>
  <DocSecurity>4</DocSecurity>
  <Lines>42</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June revision</cp:lastModifiedBy>
  <cp:revision>2</cp:revision>
  <cp:lastPrinted>2019-11-12T10:07:00Z</cp:lastPrinted>
  <dcterms:created xsi:type="dcterms:W3CDTF">2020-06-25T07:12:00Z</dcterms:created>
  <dcterms:modified xsi:type="dcterms:W3CDTF">2020-06-25T07:12:00Z</dcterms:modified>
</cp:coreProperties>
</file>