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081749F" w14:textId="77777777" w:rsidTr="005316B0">
        <w:trPr>
          <w:trHeight w:hRule="exact" w:val="851"/>
        </w:trPr>
        <w:tc>
          <w:tcPr>
            <w:tcW w:w="1276" w:type="dxa"/>
            <w:tcBorders>
              <w:bottom w:val="single" w:sz="4" w:space="0" w:color="auto"/>
            </w:tcBorders>
          </w:tcPr>
          <w:p w14:paraId="27B8DA36" w14:textId="7F3EE73C" w:rsidR="001433FD" w:rsidRPr="00DB58B5" w:rsidRDefault="001433FD" w:rsidP="0001207F"/>
        </w:tc>
        <w:tc>
          <w:tcPr>
            <w:tcW w:w="2268" w:type="dxa"/>
            <w:tcBorders>
              <w:bottom w:val="single" w:sz="4" w:space="0" w:color="auto"/>
            </w:tcBorders>
            <w:vAlign w:val="bottom"/>
          </w:tcPr>
          <w:p w14:paraId="7998040F"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7E0A75D" w14:textId="40C116FF" w:rsidR="001433FD" w:rsidRPr="00DB58B5" w:rsidRDefault="00B3309A" w:rsidP="00B3309A">
            <w:pPr>
              <w:jc w:val="right"/>
            </w:pPr>
            <w:r w:rsidRPr="00B3309A">
              <w:rPr>
                <w:sz w:val="40"/>
              </w:rPr>
              <w:t>ECE</w:t>
            </w:r>
            <w:r>
              <w:t>/TRANS/WP.15/AC.2/2020/</w:t>
            </w:r>
            <w:r w:rsidR="00733A99">
              <w:t>2</w:t>
            </w:r>
            <w:r w:rsidR="00FC143C">
              <w:t>7</w:t>
            </w:r>
          </w:p>
        </w:tc>
      </w:tr>
      <w:tr w:rsidR="001433FD" w:rsidRPr="00DB58B5" w14:paraId="15D2886D" w14:textId="77777777" w:rsidTr="007D3236">
        <w:trPr>
          <w:trHeight w:hRule="exact" w:val="2835"/>
        </w:trPr>
        <w:tc>
          <w:tcPr>
            <w:tcW w:w="1276" w:type="dxa"/>
            <w:tcBorders>
              <w:top w:val="single" w:sz="4" w:space="0" w:color="auto"/>
              <w:bottom w:val="single" w:sz="12" w:space="0" w:color="auto"/>
            </w:tcBorders>
          </w:tcPr>
          <w:p w14:paraId="6163EFCC" w14:textId="77777777" w:rsidR="001433FD" w:rsidRPr="00DB58B5" w:rsidRDefault="001433FD" w:rsidP="007D3236">
            <w:pPr>
              <w:spacing w:before="120"/>
              <w:jc w:val="center"/>
            </w:pPr>
            <w:r>
              <w:rPr>
                <w:noProof/>
                <w:lang w:eastAsia="fr-CH"/>
              </w:rPr>
              <w:drawing>
                <wp:inline distT="0" distB="0" distL="0" distR="0" wp14:anchorId="75CE3AF0" wp14:editId="03B7FC8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F33E80"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BB182B9" w14:textId="77777777" w:rsidR="0001207F" w:rsidRDefault="00B3309A" w:rsidP="00B3309A">
            <w:pPr>
              <w:spacing w:before="240" w:line="240" w:lineRule="exact"/>
            </w:pPr>
            <w:proofErr w:type="spellStart"/>
            <w:r>
              <w:t>Distr</w:t>
            </w:r>
            <w:proofErr w:type="spellEnd"/>
            <w:r>
              <w:t xml:space="preserve">. </w:t>
            </w:r>
            <w:proofErr w:type="gramStart"/>
            <w:r>
              <w:t>générale</w:t>
            </w:r>
            <w:proofErr w:type="gramEnd"/>
          </w:p>
          <w:p w14:paraId="63F0E552" w14:textId="77556D5B" w:rsidR="00B3309A" w:rsidRDefault="00524AEA" w:rsidP="00B3309A">
            <w:pPr>
              <w:spacing w:line="240" w:lineRule="exact"/>
            </w:pPr>
            <w:r>
              <w:t xml:space="preserve">29 </w:t>
            </w:r>
            <w:r w:rsidR="00C84FB6">
              <w:t>mai</w:t>
            </w:r>
            <w:r w:rsidR="00B3309A">
              <w:t xml:space="preserve"> 20</w:t>
            </w:r>
            <w:r w:rsidR="00733A99">
              <w:t>20</w:t>
            </w:r>
          </w:p>
          <w:p w14:paraId="2B9A6D35" w14:textId="77777777" w:rsidR="00B3309A" w:rsidRDefault="00B3309A" w:rsidP="00B3309A">
            <w:pPr>
              <w:spacing w:line="240" w:lineRule="exact"/>
            </w:pPr>
          </w:p>
          <w:p w14:paraId="5E5C4BBD" w14:textId="77777777" w:rsidR="00B3309A" w:rsidRPr="00DB58B5" w:rsidRDefault="00B3309A" w:rsidP="00B3309A">
            <w:pPr>
              <w:spacing w:line="240" w:lineRule="exact"/>
            </w:pPr>
            <w:r>
              <w:t>Original : français</w:t>
            </w:r>
          </w:p>
        </w:tc>
      </w:tr>
    </w:tbl>
    <w:p w14:paraId="48C86D40" w14:textId="0B9093B6" w:rsidR="00996B54" w:rsidRDefault="00996B54" w:rsidP="00FD1581">
      <w:pPr>
        <w:spacing w:before="120"/>
        <w:rPr>
          <w:b/>
          <w:sz w:val="28"/>
          <w:szCs w:val="28"/>
        </w:rPr>
      </w:pPr>
      <w:r w:rsidRPr="00883605">
        <w:rPr>
          <w:b/>
          <w:sz w:val="28"/>
          <w:szCs w:val="28"/>
        </w:rPr>
        <w:t>Commission économique pour l</w:t>
      </w:r>
      <w:r w:rsidR="00B6085B">
        <w:rPr>
          <w:rFonts w:hint="eastAsia"/>
          <w:b/>
          <w:sz w:val="28"/>
          <w:szCs w:val="28"/>
        </w:rPr>
        <w:t>'</w:t>
      </w:r>
      <w:r w:rsidRPr="00883605">
        <w:rPr>
          <w:b/>
          <w:sz w:val="28"/>
          <w:szCs w:val="28"/>
        </w:rPr>
        <w:t>Europe</w:t>
      </w:r>
    </w:p>
    <w:p w14:paraId="4C141E2B" w14:textId="339AD400" w:rsidR="00996B54" w:rsidRDefault="00996B54" w:rsidP="0081170A">
      <w:pPr>
        <w:tabs>
          <w:tab w:val="left" w:pos="5691"/>
        </w:tabs>
        <w:spacing w:before="120"/>
        <w:rPr>
          <w:sz w:val="28"/>
          <w:szCs w:val="28"/>
        </w:rPr>
      </w:pPr>
      <w:r w:rsidRPr="00685843">
        <w:rPr>
          <w:sz w:val="28"/>
          <w:szCs w:val="28"/>
        </w:rPr>
        <w:t>Comité des transports intérieurs</w:t>
      </w:r>
    </w:p>
    <w:p w14:paraId="3AD6435E" w14:textId="77777777" w:rsidR="00996B54" w:rsidRPr="009E01B8" w:rsidRDefault="00996B54"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48E34EA1" w14:textId="77777777" w:rsidR="00996B54" w:rsidRPr="004812F5" w:rsidRDefault="00996B54" w:rsidP="00FD1581">
      <w:pPr>
        <w:spacing w:before="120"/>
        <w:rPr>
          <w:b/>
        </w:rPr>
      </w:pPr>
      <w:r w:rsidRPr="004812F5">
        <w:rPr>
          <w:b/>
          <w:lang w:val="fr-FR"/>
        </w:rPr>
        <w:t>Réunion commune d</w:t>
      </w:r>
      <w:r w:rsidR="001D5D0E">
        <w:rPr>
          <w:b/>
          <w:lang w:val="fr-FR"/>
        </w:rPr>
        <w:t>’</w:t>
      </w:r>
      <w:r w:rsidRPr="004812F5">
        <w:rPr>
          <w:b/>
          <w:lang w:val="fr-FR"/>
        </w:rPr>
        <w:t>experts sur le Règlement a</w:t>
      </w:r>
      <w:bookmarkStart w:id="0" w:name="_GoBack"/>
      <w:bookmarkEnd w:id="0"/>
      <w:r w:rsidRPr="004812F5">
        <w:rPr>
          <w:b/>
          <w:lang w:val="fr-FR"/>
        </w:rPr>
        <w:t>nnexé</w:t>
      </w:r>
      <w:r>
        <w:rPr>
          <w:b/>
          <w:lang w:val="fr-FR"/>
        </w:rPr>
        <w:t xml:space="preserve"> </w:t>
      </w:r>
      <w:r>
        <w:rPr>
          <w:b/>
          <w:lang w:val="fr-FR"/>
        </w:rPr>
        <w:br/>
      </w:r>
      <w:r w:rsidRPr="004812F5">
        <w:rPr>
          <w:b/>
          <w:lang w:val="fr-FR"/>
        </w:rPr>
        <w:t>à l</w:t>
      </w:r>
      <w:r w:rsidR="00BE75AE">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w:t>
      </w:r>
      <w:r w:rsidR="00BE75AE">
        <w:rPr>
          <w:b/>
          <w:bCs/>
          <w:lang w:val="fr-FR"/>
        </w:rPr>
        <w:t>’</w:t>
      </w:r>
      <w:r w:rsidRPr="004812F5">
        <w:rPr>
          <w:b/>
          <w:bCs/>
          <w:lang w:val="fr-FR"/>
        </w:rPr>
        <w:t>ADN)</w:t>
      </w:r>
    </w:p>
    <w:p w14:paraId="534C5C64" w14:textId="43DB2CC6" w:rsidR="00996B54" w:rsidRPr="00234E40" w:rsidRDefault="00996B54" w:rsidP="00FD1581">
      <w:pPr>
        <w:spacing w:before="120"/>
        <w:rPr>
          <w:b/>
        </w:rPr>
      </w:pPr>
      <w:r>
        <w:rPr>
          <w:b/>
        </w:rPr>
        <w:t>Trente-</w:t>
      </w:r>
      <w:r w:rsidR="00733A99">
        <w:rPr>
          <w:b/>
        </w:rPr>
        <w:t>septi</w:t>
      </w:r>
      <w:r>
        <w:rPr>
          <w:b/>
        </w:rPr>
        <w:t xml:space="preserve">ème </w:t>
      </w:r>
      <w:r w:rsidRPr="00234E40">
        <w:rPr>
          <w:b/>
        </w:rPr>
        <w:t>session</w:t>
      </w:r>
    </w:p>
    <w:p w14:paraId="3381435E" w14:textId="6F489325" w:rsidR="00996B54" w:rsidRDefault="00996B54" w:rsidP="00FD1581">
      <w:r>
        <w:t>Genève, 2</w:t>
      </w:r>
      <w:r w:rsidR="00733A99">
        <w:t>4</w:t>
      </w:r>
      <w:r>
        <w:t>-</w:t>
      </w:r>
      <w:r w:rsidR="00733A99">
        <w:t>28</w:t>
      </w:r>
      <w:r>
        <w:t xml:space="preserve"> </w:t>
      </w:r>
      <w:r w:rsidR="00733A99">
        <w:t>août</w:t>
      </w:r>
      <w:r w:rsidR="00BD650C">
        <w:t xml:space="preserve"> 2020</w:t>
      </w:r>
    </w:p>
    <w:p w14:paraId="01023B3A" w14:textId="3C900C23" w:rsidR="00996B54" w:rsidRDefault="00996B54" w:rsidP="00FD1581">
      <w:r w:rsidRPr="00B93E72">
        <w:t xml:space="preserve">Point </w:t>
      </w:r>
      <w:r w:rsidR="00605A23">
        <w:t>4</w:t>
      </w:r>
      <w:r w:rsidR="00BD650C">
        <w:t xml:space="preserve"> b)</w:t>
      </w:r>
      <w:r>
        <w:t xml:space="preserve"> </w:t>
      </w:r>
      <w:r w:rsidRPr="00B93E72">
        <w:t>de l</w:t>
      </w:r>
      <w:r w:rsidR="00BE75AE">
        <w:t>’</w:t>
      </w:r>
      <w:r w:rsidRPr="00B93E72">
        <w:t>ordre du jour provisoire</w:t>
      </w:r>
    </w:p>
    <w:p w14:paraId="4DA6DDE3" w14:textId="77777777" w:rsidR="00C1626B" w:rsidRDefault="00BD650C" w:rsidP="00F06ED4">
      <w:pPr>
        <w:rPr>
          <w:b/>
          <w:bCs/>
        </w:rPr>
      </w:pPr>
      <w:r w:rsidRPr="00BD650C">
        <w:rPr>
          <w:b/>
          <w:bCs/>
        </w:rPr>
        <w:t>Propositions d</w:t>
      </w:r>
      <w:r w:rsidR="00BE75AE">
        <w:rPr>
          <w:b/>
          <w:bCs/>
        </w:rPr>
        <w:t>’</w:t>
      </w:r>
      <w:r w:rsidRPr="00BD650C">
        <w:rPr>
          <w:b/>
          <w:bCs/>
        </w:rPr>
        <w:t>amendements au Règlement annexé à l</w:t>
      </w:r>
      <w:r w:rsidR="00BE75AE">
        <w:rPr>
          <w:b/>
          <w:bCs/>
        </w:rPr>
        <w:t>’</w:t>
      </w:r>
      <w:r w:rsidRPr="00BD650C">
        <w:rPr>
          <w:b/>
          <w:bCs/>
        </w:rPr>
        <w:t>ADN :</w:t>
      </w:r>
      <w:r w:rsidRPr="00BD650C">
        <w:rPr>
          <w:b/>
          <w:bCs/>
        </w:rPr>
        <w:br/>
        <w:t>autres propositions</w:t>
      </w:r>
    </w:p>
    <w:p w14:paraId="34EEDE14" w14:textId="74CD5476" w:rsidR="00160F85" w:rsidRPr="00160F85" w:rsidRDefault="00BD650C" w:rsidP="00932AD2">
      <w:pPr>
        <w:pStyle w:val="HChG"/>
        <w:rPr>
          <w:bCs/>
          <w:lang w:val="fr-FR"/>
        </w:rPr>
      </w:pPr>
      <w:r>
        <w:rPr>
          <w:lang w:val="fr-FR"/>
        </w:rPr>
        <w:tab/>
      </w:r>
      <w:r>
        <w:rPr>
          <w:lang w:val="fr-FR"/>
        </w:rPr>
        <w:tab/>
      </w:r>
      <w:r w:rsidR="00932AD2" w:rsidRPr="00932AD2">
        <w:rPr>
          <w:bCs/>
          <w:lang w:val="fr-FR"/>
        </w:rPr>
        <w:t>Registre des attestations d'experts, registre des certificats d'agrément, 1.10.1.6 et 1.16.15.1 de l'ADN</w:t>
      </w:r>
    </w:p>
    <w:p w14:paraId="7B68222B" w14:textId="53C71774" w:rsidR="00BD650C" w:rsidRPr="00F262D2" w:rsidRDefault="00160F85" w:rsidP="00C84FB6">
      <w:pPr>
        <w:pStyle w:val="H1G"/>
        <w:rPr>
          <w:snapToGrid w:val="0"/>
          <w:vertAlign w:val="superscript"/>
          <w:lang w:val="fr-FR"/>
        </w:rPr>
      </w:pPr>
      <w:r>
        <w:rPr>
          <w:bCs/>
          <w:lang w:val="fr-FR"/>
        </w:rPr>
        <w:tab/>
      </w:r>
      <w:r>
        <w:rPr>
          <w:bCs/>
          <w:lang w:val="fr-FR"/>
        </w:rPr>
        <w:tab/>
      </w:r>
      <w:r w:rsidR="00BD650C">
        <w:rPr>
          <w:snapToGrid w:val="0"/>
          <w:lang w:val="fr-FR"/>
        </w:rPr>
        <w:tab/>
      </w:r>
      <w:r w:rsidR="003F7675" w:rsidRPr="003F7675">
        <w:rPr>
          <w:snapToGrid w:val="0"/>
          <w:lang w:val="fr-FR"/>
        </w:rPr>
        <w:t>Communication du Gouvernement de l’</w:t>
      </w:r>
      <w:r w:rsidR="0081170A" w:rsidRPr="0081170A">
        <w:rPr>
          <w:snapToGrid w:val="0"/>
          <w:lang w:val="fr-FR"/>
        </w:rPr>
        <w:t>Allemagne</w:t>
      </w:r>
      <w:r w:rsidR="003F7675" w:rsidRPr="003F7675">
        <w:rPr>
          <w:snapToGrid w:val="0"/>
        </w:rPr>
        <w:t xml:space="preserve"> </w:t>
      </w:r>
      <w:r w:rsidR="00BD650C" w:rsidRPr="00946636">
        <w:rPr>
          <w:rStyle w:val="FootnoteReference"/>
          <w:snapToGrid w:val="0"/>
          <w:sz w:val="20"/>
        </w:rPr>
        <w:footnoteReference w:customMarkFollows="1" w:id="2"/>
        <w:t>*</w:t>
      </w:r>
      <w:r w:rsidR="00BD650C" w:rsidRPr="00946636">
        <w:rPr>
          <w:snapToGrid w:val="0"/>
          <w:sz w:val="20"/>
          <w:vertAlign w:val="superscript"/>
        </w:rPr>
        <w:t>,</w:t>
      </w:r>
      <w:r w:rsidR="00C60354" w:rsidRPr="00946636">
        <w:rPr>
          <w:rStyle w:val="FootnoteReference"/>
          <w:snapToGrid w:val="0"/>
          <w:sz w:val="20"/>
        </w:rPr>
        <w:footnoteReference w:customMarkFollows="1" w:id="3"/>
        <w:t>**</w:t>
      </w:r>
    </w:p>
    <w:p w14:paraId="642B123D" w14:textId="43FE2396" w:rsidR="00932AD2" w:rsidRPr="00932AD2" w:rsidRDefault="00277E3D" w:rsidP="00277E3D">
      <w:pPr>
        <w:pStyle w:val="HChG"/>
        <w:rPr>
          <w:lang w:val="fr-FR"/>
        </w:rPr>
      </w:pPr>
      <w:r>
        <w:rPr>
          <w:lang w:val="fr-FR"/>
        </w:rPr>
        <w:tab/>
      </w:r>
      <w:r>
        <w:rPr>
          <w:lang w:val="fr-FR"/>
        </w:rPr>
        <w:tab/>
      </w:r>
      <w:r w:rsidR="00932AD2" w:rsidRPr="00932AD2">
        <w:rPr>
          <w:lang w:val="fr-FR"/>
        </w:rPr>
        <w:t>Introduction</w:t>
      </w:r>
    </w:p>
    <w:p w14:paraId="17A2451D" w14:textId="77777777" w:rsidR="00932AD2" w:rsidRPr="00932AD2" w:rsidRDefault="00932AD2" w:rsidP="00932AD2">
      <w:pPr>
        <w:pStyle w:val="SingleTxtG"/>
        <w:rPr>
          <w:lang w:val="fr-FR"/>
        </w:rPr>
      </w:pPr>
      <w:r w:rsidRPr="00932AD2">
        <w:rPr>
          <w:lang w:val="fr-FR"/>
        </w:rPr>
        <w:t>1.</w:t>
      </w:r>
      <w:r w:rsidRPr="00932AD2">
        <w:rPr>
          <w:lang w:val="fr-FR"/>
        </w:rPr>
        <w:tab/>
        <w:t xml:space="preserve">Dans le cadre des </w:t>
      </w:r>
      <w:r w:rsidRPr="00932AD2">
        <w:rPr>
          <w:bCs/>
          <w:i/>
          <w:iCs/>
          <w:lang w:val="fr-FR"/>
        </w:rPr>
        <w:t>Mesures de contrôle et autres mesures de soutien visant à l'observation des prescriptions de sécurité visées au 1.8.1 de l'ADN</w:t>
      </w:r>
      <w:r w:rsidRPr="00932AD2">
        <w:rPr>
          <w:lang w:val="fr-FR"/>
        </w:rPr>
        <w:t>, il est souvent nécessaire de vérifier l'exactitude des documents présents à bord, en particulier celle de l'attestation d'expert du conducteur et du certificat d'agrément ADN. Cette vérification est difficile lorsque ces documents ont été délivrés par une autre partie contractante à l'ADN.</w:t>
      </w:r>
    </w:p>
    <w:p w14:paraId="4DD8B3D7" w14:textId="77777777" w:rsidR="00932AD2" w:rsidRPr="00932AD2" w:rsidRDefault="00932AD2" w:rsidP="00932AD2">
      <w:pPr>
        <w:pStyle w:val="SingleTxtG"/>
        <w:rPr>
          <w:bCs/>
          <w:lang w:val="fr-FR"/>
        </w:rPr>
      </w:pPr>
      <w:r w:rsidRPr="00932AD2">
        <w:rPr>
          <w:lang w:val="fr-FR"/>
        </w:rPr>
        <w:t>2.</w:t>
      </w:r>
      <w:r w:rsidRPr="00932AD2">
        <w:rPr>
          <w:lang w:val="fr-FR"/>
        </w:rPr>
        <w:tab/>
        <w:t>Les registres des attestations d'experts, 1.10.1.6 de l’ADN, et des certificats d'agrément, 1.16.15.1 de l’ADN, tenus par chaque partie contractante ne sont guère utiles aujourd'hui parce qu'il n'existe aucune disposition prévoyant la communication mutuelle d'informations provenant de ces registres nationaux.</w:t>
      </w:r>
    </w:p>
    <w:p w14:paraId="53986B21" w14:textId="77777777" w:rsidR="00932AD2" w:rsidRPr="00932AD2" w:rsidRDefault="00932AD2" w:rsidP="00932AD2">
      <w:pPr>
        <w:pStyle w:val="SingleTxtG"/>
        <w:rPr>
          <w:lang w:val="fr-FR"/>
        </w:rPr>
      </w:pPr>
      <w:r w:rsidRPr="00932AD2">
        <w:rPr>
          <w:bCs/>
          <w:lang w:val="fr-FR"/>
        </w:rPr>
        <w:t>3.</w:t>
      </w:r>
      <w:r w:rsidRPr="00932AD2">
        <w:rPr>
          <w:bCs/>
          <w:lang w:val="fr-FR"/>
        </w:rPr>
        <w:tab/>
        <w:t>Le registre des attestations d'expert contient des données personnelles des titulaires, de sorte que la collecte, la gestion et la protection de ces données doivent être soumises à des exigences élevées, lesquelles doivent être fixées dans une réglementation.</w:t>
      </w:r>
    </w:p>
    <w:p w14:paraId="1322BC2F" w14:textId="56BE96EB" w:rsidR="00932AD2" w:rsidRPr="00932AD2" w:rsidRDefault="00277E3D" w:rsidP="00277E3D">
      <w:pPr>
        <w:pStyle w:val="HChG"/>
        <w:rPr>
          <w:lang w:val="fr-FR"/>
        </w:rPr>
      </w:pPr>
      <w:r>
        <w:rPr>
          <w:lang w:val="fr-FR"/>
        </w:rPr>
        <w:lastRenderedPageBreak/>
        <w:tab/>
      </w:r>
      <w:r>
        <w:rPr>
          <w:lang w:val="fr-FR"/>
        </w:rPr>
        <w:tab/>
      </w:r>
      <w:r w:rsidR="00932AD2" w:rsidRPr="00932AD2">
        <w:rPr>
          <w:lang w:val="fr-FR"/>
        </w:rPr>
        <w:t>Proposition</w:t>
      </w:r>
    </w:p>
    <w:p w14:paraId="4DEFBC44" w14:textId="77777777" w:rsidR="00932AD2" w:rsidRPr="00932AD2" w:rsidRDefault="00932AD2" w:rsidP="00932AD2">
      <w:pPr>
        <w:pStyle w:val="SingleTxtG"/>
        <w:rPr>
          <w:bCs/>
          <w:lang w:val="fr-FR"/>
        </w:rPr>
      </w:pPr>
      <w:r w:rsidRPr="00932AD2">
        <w:rPr>
          <w:bCs/>
          <w:lang w:val="fr-FR"/>
        </w:rPr>
        <w:t>4.</w:t>
      </w:r>
      <w:r w:rsidRPr="00932AD2">
        <w:rPr>
          <w:bCs/>
          <w:lang w:val="fr-FR"/>
        </w:rPr>
        <w:tab/>
        <w:t>Au 1.10.1.6 de l'ADN, ajouter les phrases suivantes :</w:t>
      </w:r>
    </w:p>
    <w:p w14:paraId="51A6BCCC" w14:textId="77777777" w:rsidR="00932AD2" w:rsidRPr="00932AD2" w:rsidRDefault="00932AD2" w:rsidP="00932AD2">
      <w:pPr>
        <w:pStyle w:val="SingleTxtG"/>
        <w:rPr>
          <w:lang w:val="fr-FR"/>
        </w:rPr>
      </w:pPr>
      <w:r w:rsidRPr="00932AD2">
        <w:rPr>
          <w:lang w:val="fr-FR"/>
        </w:rPr>
        <w:t>« Ce registre doit contenir au moins les informations prescrites dans le modèle d'attestation figurant au 8.6.2 (sans la signature et la photographie de l'expert). Les autorités compétentes des parties contractantes se communiquent mutuellement les informations issues de leurs registres respectifs dans le cadre de l'assistance mutuelle prévue au 1.8.1.4.4.1.</w:t>
      </w:r>
    </w:p>
    <w:p w14:paraId="63C86B56" w14:textId="77777777" w:rsidR="00932AD2" w:rsidRPr="00932AD2" w:rsidRDefault="00932AD2" w:rsidP="00932AD2">
      <w:pPr>
        <w:pStyle w:val="SingleTxtG"/>
        <w:rPr>
          <w:lang w:val="fr-FR"/>
        </w:rPr>
      </w:pPr>
      <w:r w:rsidRPr="00932AD2">
        <w:rPr>
          <w:lang w:val="fr-FR"/>
        </w:rPr>
        <w:t>Les Parties contractantes communiquent au secrétariat de la Commission économique des Nations Unies pour l'Europe (CEE-ONU) les coordonnées des autorités désignées par elles qui sont compétentes selon le droit national pour la tenue du registre. Le secrétariat de la CEE-ONU les porte à la connaissance des Parties contractantes par le biais de son site web. ».</w:t>
      </w:r>
    </w:p>
    <w:p w14:paraId="6AEC56A0" w14:textId="77777777" w:rsidR="00932AD2" w:rsidRPr="00932AD2" w:rsidRDefault="00932AD2" w:rsidP="00932AD2">
      <w:pPr>
        <w:pStyle w:val="SingleTxtG"/>
        <w:rPr>
          <w:bCs/>
          <w:lang w:val="fr-FR"/>
        </w:rPr>
      </w:pPr>
      <w:r w:rsidRPr="00932AD2">
        <w:rPr>
          <w:bCs/>
          <w:lang w:val="fr-FR"/>
        </w:rPr>
        <w:t>5.</w:t>
      </w:r>
      <w:r w:rsidRPr="00932AD2">
        <w:rPr>
          <w:bCs/>
          <w:lang w:val="fr-FR"/>
        </w:rPr>
        <w:tab/>
        <w:t>Le 1.16.15.1 de l'ADN est modifié pour lire comme suit :</w:t>
      </w:r>
    </w:p>
    <w:p w14:paraId="0A9863F6" w14:textId="77777777" w:rsidR="00932AD2" w:rsidRPr="00932AD2" w:rsidRDefault="00932AD2" w:rsidP="00932AD2">
      <w:pPr>
        <w:pStyle w:val="SingleTxtG"/>
        <w:rPr>
          <w:lang w:val="fr-FR"/>
        </w:rPr>
      </w:pPr>
      <w:r w:rsidRPr="00932AD2">
        <w:rPr>
          <w:lang w:val="fr-FR"/>
        </w:rPr>
        <w:t>«</w:t>
      </w:r>
      <w:r w:rsidRPr="00932AD2">
        <w:rPr>
          <w:b/>
          <w:lang w:val="fr-FR"/>
        </w:rPr>
        <w:t> </w:t>
      </w:r>
      <w:r w:rsidRPr="00932AD2">
        <w:rPr>
          <w:bCs/>
          <w:lang w:val="fr-FR"/>
        </w:rPr>
        <w:t>1.16.15.1</w:t>
      </w:r>
      <w:r w:rsidRPr="00932AD2">
        <w:rPr>
          <w:bCs/>
          <w:lang w:val="fr-FR"/>
        </w:rPr>
        <w:tab/>
        <w:t>L'autorité</w:t>
      </w:r>
      <w:r w:rsidRPr="00932AD2">
        <w:rPr>
          <w:lang w:val="fr-FR"/>
        </w:rPr>
        <w:t xml:space="preserve"> compétente tient un registre de tous les certificats d'agrément et certificats d'agrément provisoires qu'elle délivre.</w:t>
      </w:r>
    </w:p>
    <w:p w14:paraId="063FE72C" w14:textId="77777777" w:rsidR="00932AD2" w:rsidRPr="00932AD2" w:rsidRDefault="00932AD2" w:rsidP="00932AD2">
      <w:pPr>
        <w:pStyle w:val="SingleTxtG"/>
        <w:rPr>
          <w:lang w:val="fr-FR"/>
        </w:rPr>
      </w:pPr>
      <w:r w:rsidRPr="00932AD2">
        <w:rPr>
          <w:lang w:val="fr-FR"/>
        </w:rPr>
        <w:t>Ce registre doit contenir au moins les indications suivantes :</w:t>
      </w:r>
    </w:p>
    <w:p w14:paraId="5C9435A2" w14:textId="77777777" w:rsidR="00932AD2" w:rsidRPr="00932AD2" w:rsidRDefault="00932AD2" w:rsidP="00932AD2">
      <w:pPr>
        <w:pStyle w:val="SingleTxtG"/>
        <w:rPr>
          <w:lang w:val="fr-FR"/>
        </w:rPr>
      </w:pPr>
      <w:r w:rsidRPr="00932AD2">
        <w:rPr>
          <w:lang w:val="fr-FR"/>
        </w:rPr>
        <w:t>1.</w:t>
      </w:r>
      <w:r w:rsidRPr="00932AD2">
        <w:rPr>
          <w:lang w:val="fr-FR"/>
        </w:rPr>
        <w:tab/>
        <w:t>Numéro du certificat d'agrément (provisoire),</w:t>
      </w:r>
    </w:p>
    <w:p w14:paraId="3CDA7FF6" w14:textId="77777777" w:rsidR="00932AD2" w:rsidRPr="00932AD2" w:rsidRDefault="00932AD2" w:rsidP="00932AD2">
      <w:pPr>
        <w:pStyle w:val="SingleTxtG"/>
        <w:rPr>
          <w:lang w:val="fr-FR"/>
        </w:rPr>
      </w:pPr>
      <w:r w:rsidRPr="00932AD2">
        <w:rPr>
          <w:lang w:val="fr-FR"/>
        </w:rPr>
        <w:t>2.</w:t>
      </w:r>
      <w:r w:rsidRPr="00932AD2">
        <w:rPr>
          <w:lang w:val="fr-FR"/>
        </w:rPr>
        <w:tab/>
        <w:t>Nom du bateau,</w:t>
      </w:r>
    </w:p>
    <w:p w14:paraId="256BE0BA" w14:textId="77777777" w:rsidR="00932AD2" w:rsidRPr="00932AD2" w:rsidRDefault="00932AD2" w:rsidP="00932AD2">
      <w:pPr>
        <w:pStyle w:val="SingleTxtG"/>
        <w:rPr>
          <w:lang w:val="fr-FR"/>
        </w:rPr>
      </w:pPr>
      <w:r w:rsidRPr="00932AD2">
        <w:rPr>
          <w:lang w:val="fr-FR"/>
        </w:rPr>
        <w:t>3.</w:t>
      </w:r>
      <w:r w:rsidRPr="00932AD2">
        <w:rPr>
          <w:lang w:val="fr-FR"/>
        </w:rPr>
        <w:tab/>
        <w:t>Numéro officiel,</w:t>
      </w:r>
    </w:p>
    <w:p w14:paraId="369909AD" w14:textId="77777777" w:rsidR="00932AD2" w:rsidRPr="00932AD2" w:rsidRDefault="00932AD2" w:rsidP="00932AD2">
      <w:pPr>
        <w:pStyle w:val="SingleTxtG"/>
        <w:rPr>
          <w:lang w:val="fr-FR"/>
        </w:rPr>
      </w:pPr>
      <w:r w:rsidRPr="00932AD2">
        <w:rPr>
          <w:lang w:val="fr-FR"/>
        </w:rPr>
        <w:t xml:space="preserve">4. </w:t>
      </w:r>
      <w:r w:rsidRPr="00932AD2">
        <w:rPr>
          <w:lang w:val="fr-FR"/>
        </w:rPr>
        <w:tab/>
        <w:t>Type de bateau,</w:t>
      </w:r>
    </w:p>
    <w:p w14:paraId="2814FDFA" w14:textId="77777777" w:rsidR="00932AD2" w:rsidRPr="00932AD2" w:rsidRDefault="00932AD2" w:rsidP="00932AD2">
      <w:pPr>
        <w:pStyle w:val="SingleTxtG"/>
        <w:rPr>
          <w:lang w:val="fr-FR"/>
        </w:rPr>
      </w:pPr>
      <w:r w:rsidRPr="00932AD2">
        <w:rPr>
          <w:lang w:val="fr-FR"/>
        </w:rPr>
        <w:t>5.</w:t>
      </w:r>
      <w:r w:rsidRPr="00932AD2">
        <w:rPr>
          <w:lang w:val="fr-FR"/>
        </w:rPr>
        <w:tab/>
        <w:t>Date de délivrance,</w:t>
      </w:r>
    </w:p>
    <w:p w14:paraId="48602847" w14:textId="77777777" w:rsidR="00932AD2" w:rsidRPr="00932AD2" w:rsidRDefault="00932AD2" w:rsidP="00932AD2">
      <w:pPr>
        <w:pStyle w:val="SingleTxtG"/>
        <w:rPr>
          <w:lang w:val="fr-FR"/>
        </w:rPr>
      </w:pPr>
      <w:r w:rsidRPr="00932AD2">
        <w:rPr>
          <w:lang w:val="fr-FR"/>
        </w:rPr>
        <w:t>6.</w:t>
      </w:r>
      <w:r w:rsidRPr="00932AD2">
        <w:rPr>
          <w:lang w:val="fr-FR"/>
        </w:rPr>
        <w:tab/>
        <w:t>Date d'expiration du délai de validité,</w:t>
      </w:r>
    </w:p>
    <w:p w14:paraId="2BF5F812" w14:textId="77777777" w:rsidR="00932AD2" w:rsidRPr="00932AD2" w:rsidRDefault="00932AD2" w:rsidP="00932AD2">
      <w:pPr>
        <w:pStyle w:val="SingleTxtG"/>
        <w:rPr>
          <w:lang w:val="fr-FR"/>
        </w:rPr>
      </w:pPr>
      <w:r w:rsidRPr="00932AD2">
        <w:rPr>
          <w:lang w:val="fr-FR"/>
        </w:rPr>
        <w:t>7.</w:t>
      </w:r>
      <w:r w:rsidRPr="00932AD2">
        <w:rPr>
          <w:lang w:val="fr-FR"/>
        </w:rPr>
        <w:tab/>
        <w:t>Nom et adresse du propriétaire et de l'exploitant.</w:t>
      </w:r>
    </w:p>
    <w:p w14:paraId="623CB4DB" w14:textId="77777777" w:rsidR="00932AD2" w:rsidRPr="00932AD2" w:rsidRDefault="00932AD2" w:rsidP="00932AD2">
      <w:pPr>
        <w:pStyle w:val="SingleTxtG"/>
        <w:rPr>
          <w:lang w:val="fr-FR"/>
        </w:rPr>
      </w:pPr>
      <w:r w:rsidRPr="00932AD2">
        <w:rPr>
          <w:lang w:val="fr-FR"/>
        </w:rPr>
        <w:t>Le cas échéant, la date de délivrance d'un duplicata visé au 1.16.14 doit être inscrite dans le registre.</w:t>
      </w:r>
    </w:p>
    <w:p w14:paraId="05FAD02C" w14:textId="77777777" w:rsidR="00932AD2" w:rsidRPr="00932AD2" w:rsidRDefault="00932AD2" w:rsidP="00932AD2">
      <w:pPr>
        <w:pStyle w:val="SingleTxtG"/>
        <w:rPr>
          <w:lang w:val="fr-FR"/>
        </w:rPr>
      </w:pPr>
      <w:r w:rsidRPr="00932AD2">
        <w:rPr>
          <w:lang w:val="fr-FR"/>
        </w:rPr>
        <w:t>Les autorités compétentes des parties contractantes se communiquent mutuellement des informations issues de leurs registres dans le cadre de l'assistance visée au 1.8.1.4.4.1 ainsi que dans les cas visés aux 1.16.12.1 et 1.16.13.</w:t>
      </w:r>
    </w:p>
    <w:p w14:paraId="5AEB591C" w14:textId="77777777" w:rsidR="00932AD2" w:rsidRPr="00932AD2" w:rsidRDefault="00932AD2" w:rsidP="00932AD2">
      <w:pPr>
        <w:pStyle w:val="SingleTxtG"/>
        <w:rPr>
          <w:lang w:val="fr-FR"/>
        </w:rPr>
      </w:pPr>
      <w:r w:rsidRPr="00932AD2">
        <w:rPr>
          <w:lang w:val="fr-FR"/>
        </w:rPr>
        <w:t>Les Parties contractantes communiquent au secrétariat de la Commission économique des Nations Unies pour l'Europe (CEE-ONU) les coordonnées des autorités désignées par elles qui sont compétentes selon le droit national pour la tenue du registre. Le secrétariat de la CEE-ONU les porte à la connaissance des Parties contractantes par le biais de son site web. ».</w:t>
      </w:r>
    </w:p>
    <w:p w14:paraId="6B182B06" w14:textId="5989AFBE" w:rsidR="00932AD2" w:rsidRPr="00932AD2" w:rsidRDefault="00277E3D" w:rsidP="00277E3D">
      <w:pPr>
        <w:pStyle w:val="HChG"/>
        <w:rPr>
          <w:lang w:val="fr-FR"/>
        </w:rPr>
      </w:pPr>
      <w:r>
        <w:rPr>
          <w:lang w:val="fr-FR"/>
        </w:rPr>
        <w:tab/>
      </w:r>
      <w:r>
        <w:rPr>
          <w:lang w:val="fr-FR"/>
        </w:rPr>
        <w:tab/>
      </w:r>
      <w:r w:rsidR="00932AD2" w:rsidRPr="00932AD2">
        <w:rPr>
          <w:lang w:val="fr-FR"/>
        </w:rPr>
        <w:t>Motifs</w:t>
      </w:r>
    </w:p>
    <w:p w14:paraId="7E9B1097" w14:textId="2A067FD0" w:rsidR="00932AD2" w:rsidRPr="00932AD2" w:rsidRDefault="00C96D6E" w:rsidP="00C96D6E">
      <w:pPr>
        <w:pStyle w:val="H1G"/>
        <w:rPr>
          <w:lang w:val="fr-FR"/>
        </w:rPr>
      </w:pPr>
      <w:r>
        <w:rPr>
          <w:lang w:val="fr-FR"/>
        </w:rPr>
        <w:tab/>
      </w:r>
      <w:r w:rsidR="00932AD2" w:rsidRPr="00932AD2">
        <w:rPr>
          <w:lang w:val="fr-FR"/>
        </w:rPr>
        <w:tab/>
        <w:t>Ad 1.10.1.6 :</w:t>
      </w:r>
    </w:p>
    <w:p w14:paraId="100F254F" w14:textId="4B34E373" w:rsidR="00932AD2" w:rsidRPr="00932AD2" w:rsidRDefault="00C96D6E" w:rsidP="00932AD2">
      <w:pPr>
        <w:pStyle w:val="SingleTxtG"/>
        <w:rPr>
          <w:bCs/>
          <w:lang w:val="fr-FR"/>
        </w:rPr>
      </w:pPr>
      <w:r>
        <w:rPr>
          <w:bCs/>
          <w:lang w:val="fr-FR"/>
        </w:rPr>
        <w:t>6.</w:t>
      </w:r>
      <w:r>
        <w:rPr>
          <w:bCs/>
          <w:lang w:val="fr-FR"/>
        </w:rPr>
        <w:tab/>
      </w:r>
      <w:r w:rsidR="00932AD2" w:rsidRPr="00932AD2">
        <w:rPr>
          <w:bCs/>
          <w:lang w:val="fr-FR"/>
        </w:rPr>
        <w:t>Les données à caractère personnel recueillies et enregistrées dans les registres et la possibilité de communiquer des informations provenant des registres devraient être fixées dans une loi ou une réglementation comparable, conformément aux dispositions juridiques européennes générales en matière de protection des données. Une prescription de l'ADN peut éviter aux parties contractantes à l'ADN de devoir adopter des prescriptions nationales supplémentaires.</w:t>
      </w:r>
    </w:p>
    <w:p w14:paraId="30170FC8" w14:textId="6B807B7A" w:rsidR="00932AD2" w:rsidRPr="00932AD2" w:rsidRDefault="00C96D6E" w:rsidP="00932AD2">
      <w:pPr>
        <w:pStyle w:val="SingleTxtG"/>
        <w:rPr>
          <w:bCs/>
          <w:lang w:val="fr-FR"/>
        </w:rPr>
      </w:pPr>
      <w:r>
        <w:rPr>
          <w:bCs/>
          <w:lang w:val="fr-FR"/>
        </w:rPr>
        <w:t>7.</w:t>
      </w:r>
      <w:r>
        <w:rPr>
          <w:bCs/>
          <w:lang w:val="fr-FR"/>
        </w:rPr>
        <w:tab/>
      </w:r>
      <w:r w:rsidR="00932AD2" w:rsidRPr="00932AD2">
        <w:rPr>
          <w:bCs/>
          <w:lang w:val="fr-FR"/>
        </w:rPr>
        <w:t>Une base de données uniforme facilite l'échange rapide entre les autorités de contrôle des Parties contractantes de l'ADN et leur permet ainsi de vérifier rapidement l'authenticité des documents présentés lors des contrôles.</w:t>
      </w:r>
    </w:p>
    <w:p w14:paraId="4C86BC23" w14:textId="683930A4" w:rsidR="00932AD2" w:rsidRPr="00932AD2" w:rsidRDefault="00C96D6E" w:rsidP="00932AD2">
      <w:pPr>
        <w:pStyle w:val="SingleTxtG"/>
        <w:rPr>
          <w:bCs/>
          <w:lang w:val="fr-FR"/>
        </w:rPr>
      </w:pPr>
      <w:r>
        <w:rPr>
          <w:bCs/>
          <w:lang w:val="fr-FR"/>
        </w:rPr>
        <w:t>8.</w:t>
      </w:r>
      <w:r>
        <w:rPr>
          <w:bCs/>
          <w:lang w:val="fr-FR"/>
        </w:rPr>
        <w:tab/>
      </w:r>
      <w:r w:rsidR="00932AD2" w:rsidRPr="00932AD2">
        <w:rPr>
          <w:bCs/>
          <w:lang w:val="fr-FR"/>
        </w:rPr>
        <w:t>Un tel échange de données n'était pas encore prévu. De ce fait, les registres nationaux n'étaient guère utiles lors des contrôles du trafic international.</w:t>
      </w:r>
    </w:p>
    <w:p w14:paraId="750DD3E8" w14:textId="5FFFC44B" w:rsidR="00932AD2" w:rsidRPr="00932AD2" w:rsidRDefault="00C96D6E" w:rsidP="00C96D6E">
      <w:pPr>
        <w:pStyle w:val="H1G"/>
        <w:rPr>
          <w:lang w:val="fr-FR"/>
        </w:rPr>
      </w:pPr>
      <w:r>
        <w:rPr>
          <w:lang w:val="fr-FR"/>
        </w:rPr>
        <w:lastRenderedPageBreak/>
        <w:tab/>
      </w:r>
      <w:r>
        <w:rPr>
          <w:lang w:val="fr-FR"/>
        </w:rPr>
        <w:tab/>
      </w:r>
      <w:r w:rsidR="00932AD2" w:rsidRPr="00932AD2">
        <w:rPr>
          <w:lang w:val="fr-FR"/>
        </w:rPr>
        <w:t>Ad 1.16.15.1 :</w:t>
      </w:r>
    </w:p>
    <w:p w14:paraId="1BD18A31" w14:textId="7A737F35" w:rsidR="00932AD2" w:rsidRPr="00932AD2" w:rsidRDefault="00C96D6E" w:rsidP="00932AD2">
      <w:pPr>
        <w:pStyle w:val="SingleTxtG"/>
        <w:rPr>
          <w:lang w:val="fr-FR"/>
        </w:rPr>
      </w:pPr>
      <w:r>
        <w:rPr>
          <w:lang w:val="fr-FR"/>
        </w:rPr>
        <w:t>9.</w:t>
      </w:r>
      <w:r>
        <w:rPr>
          <w:lang w:val="fr-FR"/>
        </w:rPr>
        <w:tab/>
      </w:r>
      <w:r w:rsidR="00932AD2" w:rsidRPr="00932AD2">
        <w:rPr>
          <w:lang w:val="fr-FR"/>
        </w:rPr>
        <w:t>Selon le 1.16.1.2.1 de l'ADN, le certificat d’agrément doit être conforme au modèle prévu au 8.6.1.1 ou 8.6.1.3 quant au fond, à la forme et à la présentation. Il doit porter les indications qui y sont requises.</w:t>
      </w:r>
    </w:p>
    <w:p w14:paraId="7022F804" w14:textId="217D175B" w:rsidR="00932AD2" w:rsidRPr="00932AD2" w:rsidRDefault="00C96D6E" w:rsidP="00932AD2">
      <w:pPr>
        <w:pStyle w:val="SingleTxtG"/>
        <w:rPr>
          <w:lang w:val="fr-FR"/>
        </w:rPr>
      </w:pPr>
      <w:r>
        <w:rPr>
          <w:lang w:val="fr-FR"/>
        </w:rPr>
        <w:t>10.</w:t>
      </w:r>
      <w:r>
        <w:rPr>
          <w:lang w:val="fr-FR"/>
        </w:rPr>
        <w:tab/>
      </w:r>
      <w:r w:rsidR="00932AD2" w:rsidRPr="00932AD2">
        <w:rPr>
          <w:lang w:val="fr-FR"/>
        </w:rPr>
        <w:t>Un numéro d'ordre individuel est déjà prescrit pour le certificat d'agrément à la troisième ligne de ces modèles. De ce fait, il n'est pas nécessaire de répéter cela dans la sous-section consacrée aux registres.</w:t>
      </w:r>
    </w:p>
    <w:p w14:paraId="56FD7B80" w14:textId="3B97BB47" w:rsidR="00932AD2" w:rsidRPr="00932AD2" w:rsidRDefault="00C96D6E" w:rsidP="00932AD2">
      <w:pPr>
        <w:pStyle w:val="SingleTxtG"/>
        <w:rPr>
          <w:lang w:val="fr-FR"/>
        </w:rPr>
      </w:pPr>
      <w:r>
        <w:rPr>
          <w:lang w:val="fr-FR"/>
        </w:rPr>
        <w:t>11.</w:t>
      </w:r>
      <w:r>
        <w:rPr>
          <w:lang w:val="fr-FR"/>
        </w:rPr>
        <w:tab/>
      </w:r>
      <w:r w:rsidR="00932AD2" w:rsidRPr="00932AD2">
        <w:rPr>
          <w:lang w:val="fr-FR"/>
        </w:rPr>
        <w:t>L'ADN comporte des sous-sections distinctes (1.16.1.2 et 1.16.1.3) pour les certificats d'agrément et les certificats d'agrément provisoires, qui font également l'objet de modèles distincts. Il conviendrait par conséquent de mentionner les deux en ce qui concerne la tenue du registre.</w:t>
      </w:r>
    </w:p>
    <w:p w14:paraId="6EC3DF20" w14:textId="036104A6" w:rsidR="00932AD2" w:rsidRPr="00932AD2" w:rsidRDefault="00C96D6E" w:rsidP="00932AD2">
      <w:pPr>
        <w:pStyle w:val="SingleTxtG"/>
        <w:rPr>
          <w:lang w:val="fr-FR"/>
        </w:rPr>
      </w:pPr>
      <w:r>
        <w:rPr>
          <w:lang w:val="fr-FR"/>
        </w:rPr>
        <w:t>12.</w:t>
      </w:r>
      <w:r>
        <w:rPr>
          <w:lang w:val="fr-FR"/>
        </w:rPr>
        <w:tab/>
      </w:r>
      <w:r w:rsidR="00932AD2" w:rsidRPr="00932AD2">
        <w:rPr>
          <w:lang w:val="fr-FR"/>
        </w:rPr>
        <w:t>Les indications 1 à 5 sont reprises des modèles de certificat d'agrément et de certificat d'agrément provisoire figurant aux 8.6.1.1 et 8.6.1.3 de l'ADN.</w:t>
      </w:r>
    </w:p>
    <w:p w14:paraId="07D0DC99" w14:textId="79541726" w:rsidR="00932AD2" w:rsidRPr="00932AD2" w:rsidRDefault="00C96D6E" w:rsidP="00932AD2">
      <w:pPr>
        <w:pStyle w:val="SingleTxtG"/>
        <w:rPr>
          <w:lang w:val="fr-FR"/>
        </w:rPr>
      </w:pPr>
      <w:r>
        <w:rPr>
          <w:lang w:val="fr-FR"/>
        </w:rPr>
        <w:t>13.</w:t>
      </w:r>
      <w:r>
        <w:rPr>
          <w:lang w:val="fr-FR"/>
        </w:rPr>
        <w:tab/>
      </w:r>
      <w:r w:rsidR="00932AD2" w:rsidRPr="00932AD2">
        <w:rPr>
          <w:lang w:val="fr-FR"/>
        </w:rPr>
        <w:t>L'indication 6 est reprise du 1.16.1.2.1 de l'ADN, qui exige une limitation de la durée de validité des certificats d'agrément. La limitation de la durée de validité des certificats d'agrément provisoires est précisée au 1.16.1.3.1 de l'ADN.</w:t>
      </w:r>
    </w:p>
    <w:p w14:paraId="3B7A3CAC" w14:textId="7ADC1F01" w:rsidR="00932AD2" w:rsidRPr="00932AD2" w:rsidRDefault="00C96D6E" w:rsidP="00932AD2">
      <w:pPr>
        <w:pStyle w:val="SingleTxtG"/>
        <w:rPr>
          <w:lang w:val="fr-FR"/>
        </w:rPr>
      </w:pPr>
      <w:r>
        <w:rPr>
          <w:lang w:val="fr-FR"/>
        </w:rPr>
        <w:t>14.</w:t>
      </w:r>
      <w:r>
        <w:rPr>
          <w:lang w:val="fr-FR"/>
        </w:rPr>
        <w:tab/>
      </w:r>
      <w:r w:rsidR="00932AD2" w:rsidRPr="00932AD2">
        <w:rPr>
          <w:lang w:val="fr-FR"/>
        </w:rPr>
        <w:t>L'indication 7 est ajoutée pour la raison suivante : conformément au 1.16, le propriétaire ou l'exploitant du bateau est tenu de prendre certaines mesures et peut être le destinataire d'injonctions administratives. À cet effet, les autorités compétentes doivent disposer de ses coordonnées.</w:t>
      </w:r>
    </w:p>
    <w:p w14:paraId="681E09B8" w14:textId="62AC41CB" w:rsidR="00932AD2" w:rsidRPr="00932AD2" w:rsidRDefault="00C96D6E" w:rsidP="00932AD2">
      <w:pPr>
        <w:pStyle w:val="SingleTxtG"/>
        <w:rPr>
          <w:bCs/>
          <w:lang w:val="fr-FR"/>
        </w:rPr>
      </w:pPr>
      <w:r>
        <w:rPr>
          <w:lang w:val="fr-FR"/>
        </w:rPr>
        <w:t>15.</w:t>
      </w:r>
      <w:r>
        <w:rPr>
          <w:lang w:val="fr-FR"/>
        </w:rPr>
        <w:tab/>
      </w:r>
      <w:r w:rsidR="00932AD2" w:rsidRPr="00932AD2">
        <w:rPr>
          <w:lang w:val="fr-FR"/>
        </w:rPr>
        <w:t>L'indication relative à la délivrance d'un duplicata est nécessaire afin d'éviter l'utilisation abusive d'un certificat d'agrément dont a été déclarée la perte, le vol ou la destruction.</w:t>
      </w:r>
    </w:p>
    <w:p w14:paraId="0BAABD84" w14:textId="0C2CD0F5" w:rsidR="00932AD2" w:rsidRPr="00932AD2" w:rsidRDefault="00C96D6E" w:rsidP="00C96D6E">
      <w:pPr>
        <w:pStyle w:val="HChG"/>
        <w:rPr>
          <w:lang w:val="fr-FR"/>
        </w:rPr>
      </w:pPr>
      <w:r>
        <w:rPr>
          <w:lang w:val="fr-FR"/>
        </w:rPr>
        <w:tab/>
      </w:r>
      <w:r>
        <w:rPr>
          <w:lang w:val="fr-FR"/>
        </w:rPr>
        <w:tab/>
      </w:r>
      <w:r w:rsidR="00932AD2" w:rsidRPr="00932AD2">
        <w:rPr>
          <w:lang w:val="fr-FR"/>
        </w:rPr>
        <w:t>Sécurité</w:t>
      </w:r>
    </w:p>
    <w:p w14:paraId="0210FE25" w14:textId="6B9EBE87" w:rsidR="00932AD2" w:rsidRPr="00932AD2" w:rsidRDefault="00C96D6E" w:rsidP="00932AD2">
      <w:pPr>
        <w:pStyle w:val="SingleTxtG"/>
        <w:rPr>
          <w:bCs/>
          <w:lang w:val="fr-FR"/>
        </w:rPr>
      </w:pPr>
      <w:r>
        <w:rPr>
          <w:bCs/>
          <w:lang w:val="fr-FR"/>
        </w:rPr>
        <w:t>16.</w:t>
      </w:r>
      <w:r>
        <w:rPr>
          <w:bCs/>
          <w:lang w:val="fr-FR"/>
        </w:rPr>
        <w:tab/>
      </w:r>
      <w:r w:rsidR="00932AD2" w:rsidRPr="00932AD2">
        <w:rPr>
          <w:bCs/>
          <w:lang w:val="fr-FR"/>
        </w:rPr>
        <w:t xml:space="preserve">La modification n'affecte pas la sécurité du transport. Les tâches des autorités de </w:t>
      </w:r>
      <w:proofErr w:type="gramStart"/>
      <w:r w:rsidR="00932AD2" w:rsidRPr="00932AD2">
        <w:rPr>
          <w:bCs/>
          <w:lang w:val="fr-FR"/>
        </w:rPr>
        <w:t>contrôle</w:t>
      </w:r>
      <w:proofErr w:type="gramEnd"/>
      <w:r w:rsidR="00932AD2" w:rsidRPr="00932AD2">
        <w:rPr>
          <w:bCs/>
          <w:lang w:val="fr-FR"/>
        </w:rPr>
        <w:t xml:space="preserve"> sont facilitées.</w:t>
      </w:r>
    </w:p>
    <w:p w14:paraId="25161C78" w14:textId="542DD52C" w:rsidR="00932AD2" w:rsidRPr="00932AD2" w:rsidRDefault="00C96D6E" w:rsidP="00C96D6E">
      <w:pPr>
        <w:pStyle w:val="HChG"/>
        <w:rPr>
          <w:lang w:val="fr-FR"/>
        </w:rPr>
      </w:pPr>
      <w:r>
        <w:rPr>
          <w:lang w:val="fr-FR"/>
        </w:rPr>
        <w:tab/>
      </w:r>
      <w:r>
        <w:rPr>
          <w:lang w:val="fr-FR"/>
        </w:rPr>
        <w:tab/>
      </w:r>
      <w:r w:rsidR="00932AD2" w:rsidRPr="00932AD2">
        <w:rPr>
          <w:lang w:val="fr-FR"/>
        </w:rPr>
        <w:t>Mise en œuvre</w:t>
      </w:r>
    </w:p>
    <w:p w14:paraId="5D643797" w14:textId="4A98244D" w:rsidR="00932AD2" w:rsidRPr="00932AD2" w:rsidRDefault="00C96D6E" w:rsidP="00932AD2">
      <w:pPr>
        <w:pStyle w:val="SingleTxtG"/>
        <w:rPr>
          <w:lang w:val="fr-FR"/>
        </w:rPr>
      </w:pPr>
      <w:r>
        <w:rPr>
          <w:lang w:val="fr-FR"/>
        </w:rPr>
        <w:t>17.</w:t>
      </w:r>
      <w:r>
        <w:rPr>
          <w:lang w:val="fr-FR"/>
        </w:rPr>
        <w:tab/>
      </w:r>
      <w:r w:rsidR="00932AD2" w:rsidRPr="00932AD2">
        <w:rPr>
          <w:lang w:val="fr-FR"/>
        </w:rPr>
        <w:t>Aucune modification n'est nécessaire sur le plan de la construction navale ou de la logistique. Les contenus des registres tels que prescrits correspondent probablement déjà à la pratique administrative. Aucune forme n'est spécifiée pour les registres. Ils pourront toujours être tenus sous forme analogique, mais aussi sous forme numérique. Pour la communication d'informations, il pourrait se révéler opportun d'établir une communication électronique entre les autorités compétentes des parties contractantes.</w:t>
      </w:r>
    </w:p>
    <w:p w14:paraId="0833B61C" w14:textId="303F1453" w:rsidR="0081170A" w:rsidRPr="00160F85" w:rsidRDefault="00C96D6E" w:rsidP="00932AD2">
      <w:pPr>
        <w:pStyle w:val="SingleTxtG"/>
      </w:pPr>
      <w:r>
        <w:rPr>
          <w:lang w:val="fr-FR"/>
        </w:rPr>
        <w:t>18.</w:t>
      </w:r>
      <w:r>
        <w:rPr>
          <w:lang w:val="fr-FR"/>
        </w:rPr>
        <w:tab/>
      </w:r>
      <w:r w:rsidR="00932AD2" w:rsidRPr="00932AD2">
        <w:rPr>
          <w:lang w:val="fr-FR"/>
        </w:rPr>
        <w:t>À moyen terme, il pourrait se révéler opportun que les parties contractantes s'accordent mutuellement un accès électronique aux registres nationaux par Internet.</w:t>
      </w:r>
    </w:p>
    <w:p w14:paraId="6A6D1512" w14:textId="77777777" w:rsidR="00BD650C" w:rsidRPr="00C60354" w:rsidRDefault="00C60354" w:rsidP="00C60354">
      <w:pPr>
        <w:spacing w:before="240"/>
        <w:jc w:val="center"/>
        <w:rPr>
          <w:u w:val="single"/>
        </w:rPr>
      </w:pPr>
      <w:r>
        <w:rPr>
          <w:u w:val="single"/>
        </w:rPr>
        <w:tab/>
      </w:r>
      <w:r>
        <w:rPr>
          <w:u w:val="single"/>
        </w:rPr>
        <w:tab/>
      </w:r>
      <w:r>
        <w:rPr>
          <w:u w:val="single"/>
        </w:rPr>
        <w:tab/>
      </w:r>
    </w:p>
    <w:sectPr w:rsidR="00BD650C" w:rsidRPr="00C60354" w:rsidSect="00733A9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1A3AD" w14:textId="77777777" w:rsidR="00B3309A" w:rsidRDefault="00B3309A" w:rsidP="00F95C08">
      <w:pPr>
        <w:spacing w:line="240" w:lineRule="auto"/>
      </w:pPr>
    </w:p>
  </w:endnote>
  <w:endnote w:type="continuationSeparator" w:id="0">
    <w:p w14:paraId="605DFEAC" w14:textId="77777777" w:rsidR="00B3309A" w:rsidRPr="00AC3823" w:rsidRDefault="00B3309A" w:rsidP="00AC3823">
      <w:pPr>
        <w:pStyle w:val="Footer"/>
      </w:pPr>
    </w:p>
  </w:endnote>
  <w:endnote w:type="continuationNotice" w:id="1">
    <w:p w14:paraId="48B772D7" w14:textId="77777777" w:rsidR="00B3309A" w:rsidRDefault="00B330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1A9B9" w14:textId="77777777" w:rsidR="00B3309A" w:rsidRPr="00B3309A" w:rsidRDefault="00B3309A" w:rsidP="00B3309A">
    <w:pPr>
      <w:pStyle w:val="Footer"/>
      <w:tabs>
        <w:tab w:val="right" w:pos="9638"/>
      </w:tabs>
      <w:rPr>
        <w:sz w:val="18"/>
      </w:rPr>
    </w:pPr>
    <w:r w:rsidRPr="00B3309A">
      <w:rPr>
        <w:b/>
        <w:sz w:val="18"/>
      </w:rPr>
      <w:fldChar w:fldCharType="begin"/>
    </w:r>
    <w:r w:rsidRPr="00B3309A">
      <w:rPr>
        <w:b/>
        <w:sz w:val="18"/>
      </w:rPr>
      <w:instrText xml:space="preserve"> PAGE  \* MERGEFORMAT </w:instrText>
    </w:r>
    <w:r w:rsidRPr="00B3309A">
      <w:rPr>
        <w:b/>
        <w:sz w:val="18"/>
      </w:rPr>
      <w:fldChar w:fldCharType="separate"/>
    </w:r>
    <w:r w:rsidRPr="00B3309A">
      <w:rPr>
        <w:b/>
        <w:noProof/>
        <w:sz w:val="18"/>
      </w:rPr>
      <w:t>2</w:t>
    </w:r>
    <w:r w:rsidRPr="00B3309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BE41" w14:textId="77777777" w:rsidR="00B3309A" w:rsidRPr="00B3309A" w:rsidRDefault="00B3309A" w:rsidP="00B3309A">
    <w:pPr>
      <w:pStyle w:val="Footer"/>
      <w:tabs>
        <w:tab w:val="right" w:pos="9638"/>
      </w:tabs>
      <w:rPr>
        <w:b/>
        <w:sz w:val="18"/>
      </w:rPr>
    </w:pPr>
    <w:r>
      <w:tab/>
    </w:r>
    <w:r w:rsidRPr="00B3309A">
      <w:rPr>
        <w:b/>
        <w:sz w:val="18"/>
      </w:rPr>
      <w:fldChar w:fldCharType="begin"/>
    </w:r>
    <w:r w:rsidRPr="00B3309A">
      <w:rPr>
        <w:b/>
        <w:sz w:val="18"/>
      </w:rPr>
      <w:instrText xml:space="preserve"> PAGE  \* MERGEFORMAT </w:instrText>
    </w:r>
    <w:r w:rsidRPr="00B3309A">
      <w:rPr>
        <w:b/>
        <w:sz w:val="18"/>
      </w:rPr>
      <w:fldChar w:fldCharType="separate"/>
    </w:r>
    <w:r w:rsidRPr="00B3309A">
      <w:rPr>
        <w:b/>
        <w:noProof/>
        <w:sz w:val="18"/>
      </w:rPr>
      <w:t>3</w:t>
    </w:r>
    <w:r w:rsidRPr="00B330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E4A6" w14:textId="77777777" w:rsidR="000D3EE9" w:rsidRPr="00B3309A"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27B10" w14:textId="77777777" w:rsidR="00B3309A" w:rsidRPr="00AC3823" w:rsidRDefault="00B3309A" w:rsidP="00AC3823">
      <w:pPr>
        <w:pStyle w:val="Footer"/>
        <w:tabs>
          <w:tab w:val="right" w:pos="2155"/>
        </w:tabs>
        <w:spacing w:after="80" w:line="240" w:lineRule="atLeast"/>
        <w:ind w:left="680"/>
        <w:rPr>
          <w:u w:val="single"/>
        </w:rPr>
      </w:pPr>
      <w:r>
        <w:rPr>
          <w:u w:val="single"/>
        </w:rPr>
        <w:tab/>
      </w:r>
    </w:p>
  </w:footnote>
  <w:footnote w:type="continuationSeparator" w:id="0">
    <w:p w14:paraId="0316D227" w14:textId="77777777" w:rsidR="00B3309A" w:rsidRPr="00AC3823" w:rsidRDefault="00B3309A" w:rsidP="00AC3823">
      <w:pPr>
        <w:pStyle w:val="Footer"/>
        <w:tabs>
          <w:tab w:val="right" w:pos="2155"/>
        </w:tabs>
        <w:spacing w:after="80" w:line="240" w:lineRule="atLeast"/>
        <w:ind w:left="680"/>
        <w:rPr>
          <w:u w:val="single"/>
        </w:rPr>
      </w:pPr>
      <w:r>
        <w:rPr>
          <w:u w:val="single"/>
        </w:rPr>
        <w:tab/>
      </w:r>
    </w:p>
  </w:footnote>
  <w:footnote w:type="continuationNotice" w:id="1">
    <w:p w14:paraId="261CC53F" w14:textId="77777777" w:rsidR="00B3309A" w:rsidRPr="00AC3823" w:rsidRDefault="00B3309A">
      <w:pPr>
        <w:spacing w:line="240" w:lineRule="auto"/>
        <w:rPr>
          <w:sz w:val="2"/>
          <w:szCs w:val="2"/>
        </w:rPr>
      </w:pPr>
    </w:p>
  </w:footnote>
  <w:footnote w:id="2">
    <w:p w14:paraId="37347FD4" w14:textId="0CA219C7" w:rsidR="00BD650C" w:rsidRPr="00BD650C" w:rsidRDefault="00BD650C">
      <w:pPr>
        <w:pStyle w:val="FootnoteText"/>
      </w:pPr>
      <w:r>
        <w:rPr>
          <w:rStyle w:val="FootnoteReference"/>
        </w:rPr>
        <w:tab/>
      </w:r>
      <w:r w:rsidRPr="00C60354">
        <w:rPr>
          <w:rStyle w:val="FootnoteReference"/>
          <w:sz w:val="20"/>
        </w:rPr>
        <w:t>*</w:t>
      </w:r>
      <w:r>
        <w:rPr>
          <w:rStyle w:val="FootnoteReference"/>
          <w:sz w:val="20"/>
          <w:vertAlign w:val="baseline"/>
        </w:rPr>
        <w:tab/>
      </w:r>
      <w:r w:rsidRPr="00904815">
        <w:rPr>
          <w:lang w:val="fr-FR"/>
        </w:rPr>
        <w:t>Diffusé en langue allemande par la Commission centrale pour la navigation du Rhin sous la cote CCNR/ZKR/ADN/WP.15/AC.2/2020/</w:t>
      </w:r>
      <w:r w:rsidR="003F7675">
        <w:rPr>
          <w:lang w:val="fr-FR"/>
        </w:rPr>
        <w:t>2</w:t>
      </w:r>
      <w:r w:rsidR="00932AD2">
        <w:rPr>
          <w:lang w:val="fr-FR"/>
        </w:rPr>
        <w:t>7</w:t>
      </w:r>
      <w:r w:rsidRPr="00904815">
        <w:rPr>
          <w:lang w:val="fr-FR"/>
        </w:rPr>
        <w:t>.</w:t>
      </w:r>
    </w:p>
  </w:footnote>
  <w:footnote w:id="3">
    <w:p w14:paraId="7418C260" w14:textId="37DC5368" w:rsidR="00C60354" w:rsidRPr="00C60354" w:rsidRDefault="00C60354" w:rsidP="0027401B">
      <w:pPr>
        <w:pStyle w:val="FootnoteText"/>
      </w:pPr>
      <w:r w:rsidRPr="00C60354">
        <w:rPr>
          <w:rStyle w:val="FootnoteReference"/>
        </w:rPr>
        <w:tab/>
      </w:r>
      <w:r w:rsidRPr="00C60354">
        <w:rPr>
          <w:rStyle w:val="FootnoteReference"/>
          <w:sz w:val="20"/>
        </w:rPr>
        <w:t>**</w:t>
      </w:r>
      <w:r>
        <w:rPr>
          <w:rStyle w:val="FootnoteReference"/>
          <w:sz w:val="20"/>
          <w:vertAlign w:val="baseline"/>
        </w:rPr>
        <w:tab/>
      </w:r>
      <w:r w:rsidR="0027401B" w:rsidRPr="007E6DB4">
        <w:t xml:space="preserve"> Conformément au programme de travail du Comité des transports intérieurs pour 2020 tel qu’il figure dans le projet de budget-programme pour 2020 (A/74/6 (titre V, chap. 20), par. 20.37)</w:t>
      </w:r>
      <w:r w:rsidRPr="0090481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812B" w14:textId="6CE1920A" w:rsidR="00B3309A" w:rsidRPr="00B3309A" w:rsidRDefault="006A6287">
    <w:pPr>
      <w:pStyle w:val="Header"/>
    </w:pPr>
    <w:r>
      <w:t>ECE/TRANS/WP.15/AC.2/2020/</w:t>
    </w:r>
    <w:r w:rsidR="00D24AB8">
      <w:t>2</w:t>
    </w:r>
    <w:r w:rsidR="00932AD2">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7A84" w14:textId="22F90D31" w:rsidR="00B3309A" w:rsidRPr="00B3309A" w:rsidRDefault="006A6287" w:rsidP="00B3309A">
    <w:pPr>
      <w:pStyle w:val="Header"/>
      <w:jc w:val="right"/>
    </w:pPr>
    <w:r>
      <w:t>ECE/TRANS/WP.15/AC.2/2020/</w:t>
    </w:r>
    <w:r w:rsidR="00932AD2">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FC40B37"/>
    <w:multiLevelType w:val="hybridMultilevel"/>
    <w:tmpl w:val="82382EB4"/>
    <w:lvl w:ilvl="0" w:tplc="013EE3D8">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B3309A"/>
    <w:rsid w:val="0001207F"/>
    <w:rsid w:val="00017F94"/>
    <w:rsid w:val="00023842"/>
    <w:rsid w:val="000334F9"/>
    <w:rsid w:val="0004639C"/>
    <w:rsid w:val="0005789A"/>
    <w:rsid w:val="0007796D"/>
    <w:rsid w:val="000942EE"/>
    <w:rsid w:val="000A52BF"/>
    <w:rsid w:val="000B7790"/>
    <w:rsid w:val="000D3EE9"/>
    <w:rsid w:val="000D62F3"/>
    <w:rsid w:val="00111F2F"/>
    <w:rsid w:val="001433FD"/>
    <w:rsid w:val="0014365E"/>
    <w:rsid w:val="001541D3"/>
    <w:rsid w:val="00156B77"/>
    <w:rsid w:val="00160F85"/>
    <w:rsid w:val="00176178"/>
    <w:rsid w:val="00177140"/>
    <w:rsid w:val="001D400F"/>
    <w:rsid w:val="001D5D0E"/>
    <w:rsid w:val="001E2CC1"/>
    <w:rsid w:val="001F525A"/>
    <w:rsid w:val="00223272"/>
    <w:rsid w:val="00240333"/>
    <w:rsid w:val="0024779E"/>
    <w:rsid w:val="0027401B"/>
    <w:rsid w:val="00277E3D"/>
    <w:rsid w:val="002832AC"/>
    <w:rsid w:val="002D7C93"/>
    <w:rsid w:val="0037241C"/>
    <w:rsid w:val="003819FF"/>
    <w:rsid w:val="003F7675"/>
    <w:rsid w:val="00441C3B"/>
    <w:rsid w:val="00446B0A"/>
    <w:rsid w:val="00446FE5"/>
    <w:rsid w:val="00452396"/>
    <w:rsid w:val="00471288"/>
    <w:rsid w:val="0049687C"/>
    <w:rsid w:val="004E468C"/>
    <w:rsid w:val="00524AEA"/>
    <w:rsid w:val="005316B0"/>
    <w:rsid w:val="005505B7"/>
    <w:rsid w:val="00573BE5"/>
    <w:rsid w:val="00586ED3"/>
    <w:rsid w:val="00596AA9"/>
    <w:rsid w:val="005B4D0F"/>
    <w:rsid w:val="00605A23"/>
    <w:rsid w:val="00627B2C"/>
    <w:rsid w:val="0067451D"/>
    <w:rsid w:val="006A6287"/>
    <w:rsid w:val="00703D0F"/>
    <w:rsid w:val="00706363"/>
    <w:rsid w:val="007158BB"/>
    <w:rsid w:val="0071601D"/>
    <w:rsid w:val="00725913"/>
    <w:rsid w:val="00733A99"/>
    <w:rsid w:val="0075410D"/>
    <w:rsid w:val="007A62E6"/>
    <w:rsid w:val="007E6DB4"/>
    <w:rsid w:val="0080684C"/>
    <w:rsid w:val="00807F83"/>
    <w:rsid w:val="0081170A"/>
    <w:rsid w:val="008204DA"/>
    <w:rsid w:val="008535AD"/>
    <w:rsid w:val="00871C75"/>
    <w:rsid w:val="008767E8"/>
    <w:rsid w:val="008776DC"/>
    <w:rsid w:val="00883605"/>
    <w:rsid w:val="008E6043"/>
    <w:rsid w:val="00932AD2"/>
    <w:rsid w:val="00946636"/>
    <w:rsid w:val="00961E7B"/>
    <w:rsid w:val="009705C8"/>
    <w:rsid w:val="00996B54"/>
    <w:rsid w:val="009C1CF4"/>
    <w:rsid w:val="009F02C9"/>
    <w:rsid w:val="00A30353"/>
    <w:rsid w:val="00A62D91"/>
    <w:rsid w:val="00A90D54"/>
    <w:rsid w:val="00AA113A"/>
    <w:rsid w:val="00AC3823"/>
    <w:rsid w:val="00AE323C"/>
    <w:rsid w:val="00AF774C"/>
    <w:rsid w:val="00B00181"/>
    <w:rsid w:val="00B00B0D"/>
    <w:rsid w:val="00B3309A"/>
    <w:rsid w:val="00B40927"/>
    <w:rsid w:val="00B50E25"/>
    <w:rsid w:val="00B6085B"/>
    <w:rsid w:val="00B64918"/>
    <w:rsid w:val="00B765F7"/>
    <w:rsid w:val="00BA0CA9"/>
    <w:rsid w:val="00BD650C"/>
    <w:rsid w:val="00BE75AE"/>
    <w:rsid w:val="00C02897"/>
    <w:rsid w:val="00C1626B"/>
    <w:rsid w:val="00C60354"/>
    <w:rsid w:val="00C66A47"/>
    <w:rsid w:val="00C67BF4"/>
    <w:rsid w:val="00C7616F"/>
    <w:rsid w:val="00C84FB6"/>
    <w:rsid w:val="00C96D6E"/>
    <w:rsid w:val="00CB16B5"/>
    <w:rsid w:val="00CE0608"/>
    <w:rsid w:val="00D24AB8"/>
    <w:rsid w:val="00D3439C"/>
    <w:rsid w:val="00D44CF3"/>
    <w:rsid w:val="00D46C8C"/>
    <w:rsid w:val="00DB1831"/>
    <w:rsid w:val="00DD3BFD"/>
    <w:rsid w:val="00DE239D"/>
    <w:rsid w:val="00DF431C"/>
    <w:rsid w:val="00DF6678"/>
    <w:rsid w:val="00E428C8"/>
    <w:rsid w:val="00E478F2"/>
    <w:rsid w:val="00E70056"/>
    <w:rsid w:val="00EF2E22"/>
    <w:rsid w:val="00F0592C"/>
    <w:rsid w:val="00F06ED4"/>
    <w:rsid w:val="00F43289"/>
    <w:rsid w:val="00F660DF"/>
    <w:rsid w:val="00F95C08"/>
    <w:rsid w:val="00FA62BA"/>
    <w:rsid w:val="00FC143C"/>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B62E3F"/>
  <w15:docId w15:val="{0B2C2902-CEAD-4B13-8667-A7C86A1B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51</TotalTime>
  <Pages>3</Pages>
  <Words>1092</Words>
  <Characters>6045</Characters>
  <Application>Microsoft Office Word</Application>
  <DocSecurity>0</DocSecurity>
  <Lines>163</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ECE/TRANS/WP.15/AC.2/2020/14</vt:lpstr>
      <vt:lpstr>ECE/EX/22</vt:lpstr>
    </vt:vector>
  </TitlesOfParts>
  <Company>DCM</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ECE/TRANS/WP.15/AC.2/2020/14</dc:title>
  <dc:subject>FINAL</dc:subject>
  <dc:creator>Marie-Claude Collet</dc:creator>
  <cp:keywords/>
  <dc:description/>
  <cp:lastModifiedBy>Secretariat</cp:lastModifiedBy>
  <cp:revision>10</cp:revision>
  <cp:lastPrinted>2020-05-29T13:08:00Z</cp:lastPrinted>
  <dcterms:created xsi:type="dcterms:W3CDTF">2020-05-27T09:46:00Z</dcterms:created>
  <dcterms:modified xsi:type="dcterms:W3CDTF">2020-05-29T13:17:00Z</dcterms:modified>
</cp:coreProperties>
</file>