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CD41C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E870542" w14:textId="77777777" w:rsidR="002D5AAC" w:rsidRDefault="002D5AAC" w:rsidP="004659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E1905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46A3703" w14:textId="77777777" w:rsidR="002D5AAC" w:rsidRDefault="00465914" w:rsidP="00465914">
            <w:pPr>
              <w:jc w:val="right"/>
            </w:pPr>
            <w:r w:rsidRPr="00465914">
              <w:rPr>
                <w:sz w:val="40"/>
              </w:rPr>
              <w:t>ECE</w:t>
            </w:r>
            <w:r>
              <w:t>/TRANS/WP.15/AC.2/2020/9</w:t>
            </w:r>
          </w:p>
        </w:tc>
      </w:tr>
      <w:tr w:rsidR="002D5AAC" w:rsidRPr="00465914" w14:paraId="0AF4223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6191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AD2514" wp14:editId="3C745C2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20D1B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19E29F" w14:textId="77777777" w:rsidR="002D5AAC" w:rsidRDefault="0046591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E17CDBE" w14:textId="77777777" w:rsidR="00465914" w:rsidRDefault="00465914" w:rsidP="004659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November 2019</w:t>
            </w:r>
          </w:p>
          <w:p w14:paraId="523CE603" w14:textId="77777777" w:rsidR="00465914" w:rsidRDefault="00465914" w:rsidP="004659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50E1D4" w14:textId="77777777" w:rsidR="00465914" w:rsidRPr="008D53B6" w:rsidRDefault="00465914" w:rsidP="004659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52D235AE" w14:textId="77777777" w:rsidR="0046591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56244E7" w14:textId="77777777" w:rsidR="00465914" w:rsidRPr="00465914" w:rsidRDefault="00465914" w:rsidP="00465914">
      <w:pPr>
        <w:spacing w:before="120"/>
        <w:rPr>
          <w:sz w:val="28"/>
          <w:szCs w:val="28"/>
        </w:rPr>
      </w:pPr>
      <w:r w:rsidRPr="00465914">
        <w:rPr>
          <w:sz w:val="28"/>
          <w:szCs w:val="28"/>
        </w:rPr>
        <w:t>Комитет по внутреннему транспорту</w:t>
      </w:r>
    </w:p>
    <w:p w14:paraId="05FA32F4" w14:textId="77777777" w:rsidR="00465914" w:rsidRPr="00465914" w:rsidRDefault="00465914" w:rsidP="00465914">
      <w:pPr>
        <w:spacing w:before="120"/>
        <w:rPr>
          <w:b/>
          <w:sz w:val="24"/>
          <w:szCs w:val="24"/>
        </w:rPr>
      </w:pPr>
      <w:r w:rsidRPr="00465914">
        <w:rPr>
          <w:b/>
          <w:bCs/>
          <w:sz w:val="24"/>
          <w:szCs w:val="24"/>
        </w:rPr>
        <w:t>Рабочая группа по перевозкам опасных грузов</w:t>
      </w:r>
    </w:p>
    <w:p w14:paraId="6A8176BB" w14:textId="77777777" w:rsidR="00465914" w:rsidRPr="00A95BB7" w:rsidRDefault="00465914" w:rsidP="00465914">
      <w:pPr>
        <w:spacing w:before="120"/>
        <w:rPr>
          <w:b/>
        </w:rPr>
      </w:pPr>
      <w:r w:rsidRPr="00A95BB7"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 w:rsidRPr="00A95BB7"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 w:rsidRPr="00A95BB7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A95BB7"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 w:rsidRPr="00A95BB7">
        <w:rPr>
          <w:b/>
          <w:bCs/>
        </w:rPr>
        <w:t>(Комитет по вопросам безопасности ВОПОГ)</w:t>
      </w:r>
    </w:p>
    <w:p w14:paraId="03B4D7B4" w14:textId="77777777" w:rsidR="00465914" w:rsidRPr="00A95BB7" w:rsidRDefault="00465914" w:rsidP="00465914">
      <w:pPr>
        <w:spacing w:before="120"/>
        <w:rPr>
          <w:b/>
        </w:rPr>
      </w:pPr>
      <w:r w:rsidRPr="00A95BB7">
        <w:rPr>
          <w:b/>
          <w:bCs/>
        </w:rPr>
        <w:t>Тридцать шестая сессия</w:t>
      </w:r>
    </w:p>
    <w:p w14:paraId="4BC3B9DB" w14:textId="77777777" w:rsidR="00465914" w:rsidRPr="00A95BB7" w:rsidRDefault="00465914" w:rsidP="00465914">
      <w:r w:rsidRPr="00A95BB7">
        <w:t>Женева, 27–31 января 2020 года</w:t>
      </w:r>
    </w:p>
    <w:p w14:paraId="2EBDD981" w14:textId="77777777" w:rsidR="00465914" w:rsidRPr="00A95BB7" w:rsidRDefault="00465914" w:rsidP="00465914">
      <w:r w:rsidRPr="00A95BB7">
        <w:t>Пункт 4 c) предварительной повестки дня</w:t>
      </w:r>
    </w:p>
    <w:p w14:paraId="444E06A0" w14:textId="77777777" w:rsidR="00465914" w:rsidRPr="00A95BB7" w:rsidRDefault="00465914" w:rsidP="00CA532F">
      <w:pPr>
        <w:rPr>
          <w:b/>
          <w:bCs/>
        </w:rPr>
      </w:pPr>
      <w:r w:rsidRPr="00A95BB7">
        <w:rPr>
          <w:b/>
          <w:bCs/>
        </w:rPr>
        <w:t xml:space="preserve">Применение Европейского соглашения </w:t>
      </w:r>
      <w:r>
        <w:rPr>
          <w:b/>
          <w:bCs/>
        </w:rPr>
        <w:br/>
      </w:r>
      <w:r w:rsidRPr="00A95BB7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A95BB7">
        <w:rPr>
          <w:b/>
          <w:bCs/>
        </w:rPr>
        <w:t>по внутренним водным путям</w:t>
      </w:r>
      <w:r>
        <w:rPr>
          <w:b/>
          <w:bCs/>
        </w:rPr>
        <w:t xml:space="preserve"> </w:t>
      </w:r>
      <w:r w:rsidRPr="00A95BB7">
        <w:rPr>
          <w:b/>
          <w:bCs/>
        </w:rPr>
        <w:t>(ВОПОГ):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A95BB7">
        <w:rPr>
          <w:b/>
          <w:bCs/>
        </w:rPr>
        <w:t>толкование Правил, прилагаемых к ВОПОГ</w:t>
      </w:r>
    </w:p>
    <w:p w14:paraId="0060FD06" w14:textId="77777777" w:rsidR="00465914" w:rsidRPr="00A95BB7" w:rsidRDefault="00465914" w:rsidP="00465914">
      <w:pPr>
        <w:pStyle w:val="HChG"/>
      </w:pPr>
      <w:r>
        <w:tab/>
      </w:r>
      <w:r>
        <w:tab/>
        <w:t xml:space="preserve">Сопоставление пункта </w:t>
      </w:r>
      <w:r w:rsidRPr="00A95BB7">
        <w:t xml:space="preserve">1.6.7.2.2.1 </w:t>
      </w:r>
      <w:r w:rsidRPr="00A95BB7">
        <w:rPr>
          <w:bCs/>
        </w:rPr>
        <w:t>с пунктом 1.6.7.2.2.2 и</w:t>
      </w:r>
      <w:r>
        <w:rPr>
          <w:bCs/>
          <w:lang w:val="en-US"/>
        </w:rPr>
        <w:t> </w:t>
      </w:r>
      <w:r w:rsidRPr="00A95BB7">
        <w:rPr>
          <w:bCs/>
        </w:rPr>
        <w:t xml:space="preserve">пунктом 9.3.3.8.1 ВОПОГ </w:t>
      </w:r>
      <w:r>
        <w:rPr>
          <w:bCs/>
        </w:rPr>
        <w:t>–</w:t>
      </w:r>
      <w:r w:rsidRPr="00A95BB7">
        <w:rPr>
          <w:bCs/>
        </w:rPr>
        <w:t xml:space="preserve"> </w:t>
      </w:r>
      <w:r>
        <w:rPr>
          <w:bCs/>
        </w:rPr>
        <w:t>С</w:t>
      </w:r>
      <w:r w:rsidRPr="00A95BB7">
        <w:rPr>
          <w:bCs/>
        </w:rPr>
        <w:t>о</w:t>
      </w:r>
      <w:r>
        <w:rPr>
          <w:bCs/>
        </w:rPr>
        <w:t>хране</w:t>
      </w:r>
      <w:r w:rsidRPr="00A95BB7">
        <w:rPr>
          <w:bCs/>
        </w:rPr>
        <w:t>ние класса</w:t>
      </w:r>
    </w:p>
    <w:p w14:paraId="23D77AF1" w14:textId="77777777" w:rsidR="00465914" w:rsidRPr="00A95BB7" w:rsidRDefault="00465914" w:rsidP="00465914">
      <w:pPr>
        <w:pStyle w:val="H1G"/>
        <w:rPr>
          <w:b w:val="0"/>
          <w:bCs/>
          <w:sz w:val="18"/>
          <w:szCs w:val="18"/>
          <w:vertAlign w:val="superscript"/>
        </w:rPr>
      </w:pPr>
      <w:r w:rsidRPr="00A95BB7">
        <w:tab/>
      </w:r>
      <w:r w:rsidRPr="00A95BB7">
        <w:tab/>
      </w:r>
      <w:r w:rsidRPr="00A95BB7">
        <w:rPr>
          <w:bCs/>
        </w:rPr>
        <w:t>Передано правительством Германии</w:t>
      </w:r>
      <w:r w:rsidRPr="00465914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  <w:lang w:val="en-US"/>
        </w:rPr>
        <w:t xml:space="preserve"> </w:t>
      </w:r>
      <w:r w:rsidRPr="00465914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1C942607" w14:textId="77777777" w:rsidR="00465914" w:rsidRPr="00A95BB7" w:rsidRDefault="00465914" w:rsidP="00465914">
      <w:pPr>
        <w:pStyle w:val="HChG"/>
        <w:rPr>
          <w:b w:val="0"/>
          <w:bCs/>
        </w:rPr>
      </w:pPr>
      <w:r w:rsidRPr="00A95BB7">
        <w:tab/>
      </w:r>
      <w:r w:rsidRPr="00A95BB7">
        <w:tab/>
      </w:r>
      <w:r w:rsidRPr="00A95BB7">
        <w:rPr>
          <w:bCs/>
        </w:rPr>
        <w:t>Введение</w:t>
      </w:r>
    </w:p>
    <w:p w14:paraId="7A839E6D" w14:textId="77777777" w:rsidR="00465914" w:rsidRPr="00A95BB7" w:rsidRDefault="00465914" w:rsidP="00465914">
      <w:pPr>
        <w:pStyle w:val="SingleTxtG"/>
        <w:ind w:right="851"/>
        <w:rPr>
          <w:bCs/>
        </w:rPr>
      </w:pPr>
      <w:r w:rsidRPr="00A95BB7">
        <w:t>1.</w:t>
      </w:r>
      <w:r w:rsidRPr="00A95BB7">
        <w:tab/>
        <w:t>В отношении судна, находящегося в эксплуатации, могут использоваться переходные положения</w:t>
      </w:r>
      <w:r w:rsidRPr="00A95BB7">
        <w:rPr>
          <w:rStyle w:val="FootnoteReference"/>
          <w:bCs/>
        </w:rPr>
        <w:footnoteReference w:id="3"/>
      </w:r>
      <w:r w:rsidRPr="00A95BB7">
        <w:t xml:space="preserve"> в соответствии с разделом 1.6.7 ВОПОГ.</w:t>
      </w:r>
    </w:p>
    <w:p w14:paraId="2661AB2B" w14:textId="77777777" w:rsidR="00465914" w:rsidRPr="00A95BB7" w:rsidRDefault="00465914" w:rsidP="00465914">
      <w:pPr>
        <w:pStyle w:val="SingleTxtG"/>
        <w:ind w:right="851"/>
        <w:rPr>
          <w:bCs/>
        </w:rPr>
      </w:pPr>
      <w:r w:rsidRPr="00A95BB7">
        <w:t>2.</w:t>
      </w:r>
      <w:r w:rsidRPr="00A95BB7">
        <w:tab/>
      </w:r>
      <w:r>
        <w:t xml:space="preserve">Согласно </w:t>
      </w:r>
      <w:r w:rsidRPr="00A95BB7">
        <w:t>пункт</w:t>
      </w:r>
      <w:r>
        <w:t>у</w:t>
      </w:r>
      <w:r w:rsidRPr="00A95BB7">
        <w:t xml:space="preserve"> 1.6.7.2.2.2 ВОПОГ Таблица общих переходных положений </w:t>
      </w:r>
      <w:r>
        <w:t>–</w:t>
      </w:r>
      <w:r w:rsidRPr="00A95BB7">
        <w:t xml:space="preserve"> танкеры, переходное положение</w:t>
      </w:r>
      <w:r>
        <w:t xml:space="preserve"> для</w:t>
      </w:r>
      <w:r w:rsidRPr="00A95BB7">
        <w:t xml:space="preserve"> пункта 9.3.3.8.1 </w:t>
      </w:r>
      <w:r>
        <w:t>(</w:t>
      </w:r>
      <w:r w:rsidRPr="00A95BB7">
        <w:t>Сохранение класса</w:t>
      </w:r>
      <w:r>
        <w:t>)</w:t>
      </w:r>
      <w:r w:rsidRPr="00A95BB7">
        <w:t>, находящиеся в эксплуатации суда открытого типа N должны быть оснащены пламегасителями, при этом суда открытого типа N должны удовлетворять требованиям сохранения класса только при возобновлении свидетельства о</w:t>
      </w:r>
      <w:r>
        <w:t xml:space="preserve"> </w:t>
      </w:r>
      <w:r w:rsidRPr="00A95BB7">
        <w:t>допущении</w:t>
      </w:r>
      <w:r>
        <w:t xml:space="preserve"> </w:t>
      </w:r>
      <w:r w:rsidRPr="00A95BB7">
        <w:t>после 31 декабря 2044 года.</w:t>
      </w:r>
    </w:p>
    <w:p w14:paraId="0BF055EF" w14:textId="77777777" w:rsidR="00465914" w:rsidRPr="00A95BB7" w:rsidRDefault="00465914" w:rsidP="00465914">
      <w:pPr>
        <w:pStyle w:val="SingleTxtG"/>
        <w:pageBreakBefore/>
        <w:rPr>
          <w:b/>
        </w:rPr>
      </w:pPr>
      <w:r w:rsidRPr="00A95BB7">
        <w:lastRenderedPageBreak/>
        <w:t>3.</w:t>
      </w:r>
      <w:r w:rsidRPr="00A95BB7">
        <w:tab/>
        <w:t xml:space="preserve">Пункт 9.3.3.8.1 ВОПОГ, который вступил в силу 1 января 2003 года с принятием Правил перевозки опасных грузов по </w:t>
      </w:r>
      <w:r w:rsidRPr="00465914">
        <w:t>Рейну</w:t>
      </w:r>
      <w:r w:rsidRPr="00A95BB7">
        <w:t xml:space="preserve"> (ППОГР) с </w:t>
      </w:r>
      <w:r>
        <w:t>их маргинальными номерами</w:t>
      </w:r>
      <w:r w:rsidRPr="00A95BB7">
        <w:t xml:space="preserve"> </w:t>
      </w:r>
      <w:r>
        <w:t xml:space="preserve">из </w:t>
      </w:r>
      <w:r w:rsidRPr="00A95BB7">
        <w:t>ВОПОГ, содержал следующую формулировку, также включенную в ВОПОГ 2009</w:t>
      </w:r>
      <w:r w:rsidR="00D34517">
        <w:t> </w:t>
      </w:r>
      <w:r w:rsidRPr="00A95BB7">
        <w:t>года:</w:t>
      </w:r>
    </w:p>
    <w:p w14:paraId="1E1D65FA" w14:textId="77777777" w:rsidR="00465914" w:rsidRPr="00A95BB7" w:rsidRDefault="00465914" w:rsidP="00465914">
      <w:pPr>
        <w:pStyle w:val="SingleTxtG"/>
        <w:ind w:left="1701"/>
      </w:pPr>
      <w:r w:rsidRPr="00465914">
        <w:rPr>
          <w:bCs/>
        </w:rPr>
        <w:t>«</w:t>
      </w:r>
      <w:r w:rsidRPr="00A95BB7">
        <w:rPr>
          <w:b/>
          <w:bCs/>
        </w:rPr>
        <w:t>9.3.3.8.1</w:t>
      </w:r>
      <w:r w:rsidRPr="00A95BB7">
        <w:tab/>
        <w:t xml:space="preserve">Танкер должен строиться </w:t>
      </w:r>
      <w:r w:rsidRPr="00465914">
        <w:t>под</w:t>
      </w:r>
      <w:r w:rsidRPr="00A95BB7">
        <w:t xml:space="preserve"> наблюдением признанного классификационного общества и классифицироваться им как судно высшего класса.</w:t>
      </w:r>
    </w:p>
    <w:p w14:paraId="68DDEB7A" w14:textId="77777777" w:rsidR="00465914" w:rsidRPr="00A95BB7" w:rsidRDefault="00465914" w:rsidP="00465914">
      <w:pPr>
        <w:pStyle w:val="SingleTxtG"/>
        <w:ind w:left="1701" w:hanging="567"/>
        <w:rPr>
          <w:bCs/>
        </w:rPr>
      </w:pPr>
      <w:r w:rsidRPr="00A95BB7">
        <w:tab/>
        <w:t>Требуется сохранение высшего класса судна.».</w:t>
      </w:r>
    </w:p>
    <w:p w14:paraId="249FA859" w14:textId="77777777" w:rsidR="00465914" w:rsidRPr="00465914" w:rsidRDefault="00465914" w:rsidP="00465914">
      <w:pPr>
        <w:pStyle w:val="SingleTxtG"/>
      </w:pPr>
      <w:r w:rsidRPr="00A95BB7">
        <w:t>4.</w:t>
      </w:r>
      <w:r w:rsidRPr="00A95BB7">
        <w:tab/>
        <w:t>1 января 2015 года, когда применялось только ВОПОГ, было добавлено следующее предложение:</w:t>
      </w:r>
    </w:p>
    <w:p w14:paraId="1C0A2FEE" w14:textId="77777777" w:rsidR="00465914" w:rsidRPr="00A95BB7" w:rsidRDefault="00465914" w:rsidP="00465914">
      <w:pPr>
        <w:pStyle w:val="SingleTxtG"/>
        <w:ind w:left="1701"/>
      </w:pPr>
      <w:r>
        <w:t>«</w:t>
      </w:r>
      <w:r w:rsidRPr="00A95BB7">
        <w:t xml:space="preserve">Это должно быть подтверждено соответствующим свидетельством, выданным </w:t>
      </w:r>
      <w:r w:rsidRPr="00465914">
        <w:t>признанным</w:t>
      </w:r>
      <w:r w:rsidRPr="00A95BB7">
        <w:t xml:space="preserve"> классификационным обществом (классификационное свидетельство)</w:t>
      </w:r>
      <w:r w:rsidR="004F5271">
        <w:t>.</w:t>
      </w:r>
      <w:r w:rsidRPr="00A95BB7">
        <w:t>».</w:t>
      </w:r>
    </w:p>
    <w:p w14:paraId="4DDD8FE2" w14:textId="77777777" w:rsidR="00465914" w:rsidRPr="00A95BB7" w:rsidRDefault="00465914" w:rsidP="00465914">
      <w:pPr>
        <w:pStyle w:val="SingleTxtG"/>
      </w:pPr>
      <w:r w:rsidRPr="00A95BB7">
        <w:t>5.</w:t>
      </w:r>
      <w:r w:rsidRPr="00A95BB7">
        <w:tab/>
        <w:t>Переходное положение пункта 1.6.7.2.1 ППОГР (по состоянию на 2003 год) гласило следующее:</w:t>
      </w:r>
    </w:p>
    <w:tbl>
      <w:tblPr>
        <w:tblW w:w="8506" w:type="dxa"/>
        <w:tblInd w:w="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820"/>
      </w:tblGrid>
      <w:tr w:rsidR="00465914" w:rsidRPr="00A95BB7" w14:paraId="2F600F7A" w14:textId="77777777" w:rsidTr="00072960">
        <w:trPr>
          <w:cantSplit/>
        </w:trPr>
        <w:tc>
          <w:tcPr>
            <w:tcW w:w="1418" w:type="dxa"/>
          </w:tcPr>
          <w:p w14:paraId="47E5A373" w14:textId="77777777" w:rsidR="00465914" w:rsidRPr="00A95BB7" w:rsidRDefault="00465914" w:rsidP="00D34517">
            <w:pPr>
              <w:widowControl w:val="0"/>
              <w:tabs>
                <w:tab w:val="left" w:pos="170"/>
              </w:tabs>
              <w:spacing w:before="60" w:line="200" w:lineRule="exact"/>
              <w:jc w:val="center"/>
              <w:textAlignment w:val="baseline"/>
            </w:pPr>
            <w:bookmarkStart w:id="1" w:name="_Hlk21939974"/>
            <w:r w:rsidRPr="00A95BB7">
              <w:t>9.3.3.8.1</w:t>
            </w:r>
            <w:r w:rsidR="00D34517">
              <w:br/>
            </w:r>
            <w:r w:rsidRPr="00A95BB7">
              <w:t>в связи</w:t>
            </w:r>
            <w:r w:rsidR="00D34517">
              <w:t xml:space="preserve"> </w:t>
            </w:r>
            <w:r w:rsidRPr="00A95BB7">
              <w:t>с</w:t>
            </w:r>
            <w:r w:rsidR="00D34517">
              <w:br/>
            </w:r>
            <w:r w:rsidRPr="00A95BB7">
              <w:t>7.2.2.8</w:t>
            </w:r>
          </w:p>
        </w:tc>
        <w:tc>
          <w:tcPr>
            <w:tcW w:w="2268" w:type="dxa"/>
          </w:tcPr>
          <w:p w14:paraId="4FBC3E28" w14:textId="77777777" w:rsidR="00465914" w:rsidRPr="00A95BB7" w:rsidRDefault="00465914" w:rsidP="00D34517">
            <w:pPr>
              <w:widowControl w:val="0"/>
              <w:spacing w:before="60" w:line="200" w:lineRule="exact"/>
              <w:textAlignment w:val="baseline"/>
            </w:pPr>
            <w:r w:rsidRPr="00A95BB7">
              <w:t>Сохранение класса</w:t>
            </w:r>
            <w:r w:rsidR="00D34517">
              <w:t xml:space="preserve"> </w:t>
            </w:r>
            <w:r w:rsidRPr="00A95BB7">
              <w:t>для танкеров открытого типа N с пламегасителями</w:t>
            </w:r>
            <w:r w:rsidR="00D34517">
              <w:t xml:space="preserve"> </w:t>
            </w:r>
            <w:r w:rsidRPr="00A95BB7">
              <w:t>и танкеров открытого типа N</w:t>
            </w:r>
          </w:p>
        </w:tc>
        <w:tc>
          <w:tcPr>
            <w:tcW w:w="4820" w:type="dxa"/>
          </w:tcPr>
          <w:p w14:paraId="03A95409" w14:textId="77777777" w:rsidR="00465914" w:rsidRPr="00A95BB7" w:rsidRDefault="00465914" w:rsidP="00465914">
            <w:pPr>
              <w:widowControl w:val="0"/>
              <w:spacing w:before="60" w:after="60" w:line="200" w:lineRule="exact"/>
              <w:jc w:val="center"/>
              <w:textAlignment w:val="baseline"/>
            </w:pPr>
            <w:r w:rsidRPr="00A95BB7">
              <w:t>Н.З.М. после 1</w:t>
            </w:r>
            <w:r>
              <w:t xml:space="preserve"> января </w:t>
            </w:r>
            <w:r w:rsidRPr="00A95BB7">
              <w:t>1995 года</w:t>
            </w:r>
          </w:p>
          <w:p w14:paraId="12098609" w14:textId="77777777" w:rsidR="00465914" w:rsidRPr="00A95BB7" w:rsidRDefault="00465914" w:rsidP="00D34517">
            <w:pPr>
              <w:spacing w:after="60" w:line="200" w:lineRule="exact"/>
              <w:jc w:val="both"/>
              <w:textAlignment w:val="baseline"/>
            </w:pPr>
            <w:r w:rsidRPr="00A95BB7">
              <w:t>На борту судов, находящихся в эксплуатации, применяются следующие предписания:</w:t>
            </w:r>
          </w:p>
          <w:p w14:paraId="1267B38E" w14:textId="77777777" w:rsidR="00465914" w:rsidRPr="00A95BB7" w:rsidRDefault="00D34517" w:rsidP="00D34517">
            <w:pPr>
              <w:spacing w:after="60" w:line="200" w:lineRule="exact"/>
              <w:jc w:val="both"/>
              <w:textAlignment w:val="baseline"/>
            </w:pPr>
            <w:r>
              <w:t>е</w:t>
            </w:r>
            <w:r w:rsidR="00465914" w:rsidRPr="00A95BB7">
              <w:t>сли не предписано иное, тип конструкции, прочность, деление на отсеки, оборудование и оснастка судна должны соответствовать или быть эквивалентными предписаниям в отношении конструкции для судов высшего класса, установленным признанным классификационным обществом.</w:t>
            </w:r>
          </w:p>
        </w:tc>
      </w:tr>
    </w:tbl>
    <w:bookmarkEnd w:id="1"/>
    <w:p w14:paraId="133E7A57" w14:textId="77777777" w:rsidR="00465914" w:rsidRPr="00A95BB7" w:rsidRDefault="00465914" w:rsidP="00465914">
      <w:pPr>
        <w:pStyle w:val="SingleTxtG"/>
        <w:spacing w:before="120"/>
      </w:pPr>
      <w:r w:rsidRPr="00A95BB7">
        <w:t>6.</w:t>
      </w:r>
      <w:r w:rsidRPr="00A95BB7">
        <w:tab/>
        <w:t xml:space="preserve">В первое </w:t>
      </w:r>
      <w:r w:rsidRPr="00465914">
        <w:t>издание</w:t>
      </w:r>
      <w:r w:rsidRPr="00A95BB7">
        <w:t xml:space="preserve"> Правил, прилагаемых к ВОПОГ (2009 год), было включено следующее переходное положение:</w:t>
      </w:r>
    </w:p>
    <w:tbl>
      <w:tblPr>
        <w:tblW w:w="8506" w:type="dxa"/>
        <w:tblInd w:w="1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268"/>
        <w:gridCol w:w="4820"/>
      </w:tblGrid>
      <w:tr w:rsidR="00465914" w:rsidRPr="00A95BB7" w14:paraId="716931F3" w14:textId="77777777" w:rsidTr="00072960">
        <w:trPr>
          <w:cantSplit/>
        </w:trPr>
        <w:tc>
          <w:tcPr>
            <w:tcW w:w="1418" w:type="dxa"/>
          </w:tcPr>
          <w:p w14:paraId="5EE805DD" w14:textId="77777777" w:rsidR="00465914" w:rsidRPr="00A95BB7" w:rsidRDefault="00465914" w:rsidP="00465914">
            <w:pPr>
              <w:widowControl w:val="0"/>
              <w:spacing w:before="60" w:line="200" w:lineRule="exact"/>
              <w:jc w:val="center"/>
              <w:textAlignment w:val="baseline"/>
            </w:pPr>
            <w:r w:rsidRPr="00A95BB7">
              <w:t>9.3.3.8.1</w:t>
            </w:r>
          </w:p>
        </w:tc>
        <w:tc>
          <w:tcPr>
            <w:tcW w:w="2268" w:type="dxa"/>
          </w:tcPr>
          <w:p w14:paraId="0635DA36" w14:textId="77777777" w:rsidR="00465914" w:rsidRPr="00A95BB7" w:rsidRDefault="00465914" w:rsidP="00465914">
            <w:pPr>
              <w:widowControl w:val="0"/>
              <w:spacing w:before="60" w:line="200" w:lineRule="exact"/>
              <w:textAlignment w:val="baseline"/>
            </w:pPr>
            <w:r w:rsidRPr="00A95BB7">
              <w:t>Сохранение класса для судов открытого типа N с пламегасителями и судов открытого типа N</w:t>
            </w:r>
          </w:p>
        </w:tc>
        <w:tc>
          <w:tcPr>
            <w:tcW w:w="4820" w:type="dxa"/>
          </w:tcPr>
          <w:p w14:paraId="5B0104CF" w14:textId="77777777" w:rsidR="00465914" w:rsidRPr="00A95BB7" w:rsidRDefault="00465914" w:rsidP="00465914">
            <w:pPr>
              <w:widowControl w:val="0"/>
              <w:spacing w:before="60" w:after="60" w:line="200" w:lineRule="exact"/>
              <w:jc w:val="center"/>
              <w:textAlignment w:val="baseline"/>
            </w:pPr>
            <w:r w:rsidRPr="00A95BB7">
              <w:t>Н.З.М.</w:t>
            </w:r>
          </w:p>
          <w:p w14:paraId="51226612" w14:textId="77777777" w:rsidR="00465914" w:rsidRPr="00A95BB7" w:rsidRDefault="00465914" w:rsidP="00D34517">
            <w:pPr>
              <w:spacing w:after="60" w:line="200" w:lineRule="exact"/>
              <w:jc w:val="both"/>
              <w:textAlignment w:val="baseline"/>
            </w:pPr>
            <w:r w:rsidRPr="00A95BB7">
              <w:t>На борту судов, находящихся в эксплуатации, применяются следующие предписания:</w:t>
            </w:r>
          </w:p>
          <w:p w14:paraId="2FB29775" w14:textId="77777777" w:rsidR="00465914" w:rsidRPr="00A95BB7" w:rsidRDefault="00D34517" w:rsidP="00D34517">
            <w:pPr>
              <w:spacing w:after="120" w:line="200" w:lineRule="exact"/>
              <w:jc w:val="both"/>
              <w:textAlignment w:val="baseline"/>
            </w:pPr>
            <w:r>
              <w:t>е</w:t>
            </w:r>
            <w:r w:rsidR="00465914" w:rsidRPr="00A95BB7">
              <w:t>сли не предписано иное, тип конструкции, прочность, деление на отсеки, оборудование и оснастка судна должны соответствовать или быть эквивалентными предписаниям в отношении конструкции для судов высшего класса, установленным признанным классификационным обществом.</w:t>
            </w:r>
          </w:p>
        </w:tc>
      </w:tr>
    </w:tbl>
    <w:p w14:paraId="6BAE3E4C" w14:textId="77777777" w:rsidR="00465914" w:rsidRPr="00A95BB7" w:rsidRDefault="00465914" w:rsidP="00465914">
      <w:pPr>
        <w:pStyle w:val="SingleTxtG"/>
        <w:spacing w:before="120"/>
      </w:pPr>
      <w:r w:rsidRPr="00A95BB7">
        <w:t>7.</w:t>
      </w:r>
      <w:r w:rsidRPr="00A95BB7">
        <w:tab/>
        <w:t xml:space="preserve">Это переходное положение с 1 января 2011 года (ВОПОГ 2011 года) существует в новой редакции, в соответствии с которой срок действия переходного положения был привязан к </w:t>
      </w:r>
      <w:r>
        <w:t>«</w:t>
      </w:r>
      <w:r w:rsidRPr="00A95BB7">
        <w:t xml:space="preserve">возобновлению свидетельства о </w:t>
      </w:r>
      <w:r w:rsidRPr="00541B56">
        <w:t xml:space="preserve">допущении </w:t>
      </w:r>
      <w:r w:rsidRPr="00A95BB7">
        <w:t>после 31 декабря 2044</w:t>
      </w:r>
      <w:r>
        <w:t> </w:t>
      </w:r>
      <w:r w:rsidRPr="00A95BB7">
        <w:t>года</w:t>
      </w:r>
      <w:r>
        <w:t>»</w:t>
      </w:r>
      <w:r w:rsidRPr="00A95BB7">
        <w:t>:</w:t>
      </w:r>
    </w:p>
    <w:tbl>
      <w:tblPr>
        <w:tblW w:w="8505" w:type="dxa"/>
        <w:tblInd w:w="1126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4819"/>
      </w:tblGrid>
      <w:tr w:rsidR="00465914" w:rsidRPr="00A95BB7" w14:paraId="56948B1E" w14:textId="77777777" w:rsidTr="00072960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98CFBD" w14:textId="77777777" w:rsidR="00465914" w:rsidRPr="00A95BB7" w:rsidRDefault="00465914" w:rsidP="00465914">
            <w:pPr>
              <w:widowControl w:val="0"/>
              <w:spacing w:before="60" w:line="200" w:lineRule="exact"/>
              <w:jc w:val="center"/>
              <w:textAlignment w:val="baseline"/>
            </w:pPr>
            <w:r w:rsidRPr="00A95BB7">
              <w:t>9.3.3.8.1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664F50" w14:textId="77777777" w:rsidR="00465914" w:rsidRPr="00A95BB7" w:rsidRDefault="00465914" w:rsidP="00465914">
            <w:pPr>
              <w:widowControl w:val="0"/>
              <w:spacing w:before="60" w:line="200" w:lineRule="exact"/>
              <w:textAlignment w:val="baseline"/>
            </w:pPr>
            <w:r w:rsidRPr="00A95BB7">
              <w:t>Сохранение класса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D9F1C" w14:textId="77777777" w:rsidR="00465914" w:rsidRPr="00A95BB7" w:rsidRDefault="00465914" w:rsidP="00465914">
            <w:pPr>
              <w:widowControl w:val="0"/>
              <w:spacing w:before="60" w:after="60" w:line="200" w:lineRule="exact"/>
              <w:jc w:val="center"/>
              <w:textAlignment w:val="baseline"/>
            </w:pPr>
            <w:r w:rsidRPr="00A95BB7">
              <w:t>Н.З.М.</w:t>
            </w:r>
          </w:p>
          <w:p w14:paraId="26CDB024" w14:textId="77777777" w:rsidR="00465914" w:rsidRPr="00A95BB7" w:rsidRDefault="00465914" w:rsidP="00D34517">
            <w:pPr>
              <w:widowControl w:val="0"/>
              <w:spacing w:before="60" w:after="60" w:line="200" w:lineRule="exact"/>
              <w:jc w:val="center"/>
              <w:textAlignment w:val="baseline"/>
            </w:pPr>
            <w:r w:rsidRPr="00A95BB7">
              <w:t>Возобновление свидетельства о допущении после 31</w:t>
            </w:r>
            <w:r w:rsidR="00D34517">
              <w:t> </w:t>
            </w:r>
            <w:r w:rsidRPr="00A95BB7">
              <w:t>декабря 2044 года для судов открытого типа N с пламегасителями и судов открытого типа N</w:t>
            </w:r>
          </w:p>
          <w:p w14:paraId="3BEB2D0B" w14:textId="77777777" w:rsidR="00465914" w:rsidRPr="00A95BB7" w:rsidRDefault="00465914" w:rsidP="00D34517">
            <w:pPr>
              <w:widowControl w:val="0"/>
              <w:spacing w:line="200" w:lineRule="exact"/>
              <w:jc w:val="both"/>
              <w:textAlignment w:val="baseline"/>
            </w:pPr>
            <w:r w:rsidRPr="00A95BB7">
              <w:t>До этого срока на борту судов, находящихся в эксплуатации, применяются следующие предписания:</w:t>
            </w:r>
          </w:p>
          <w:p w14:paraId="482BE247" w14:textId="77777777" w:rsidR="00465914" w:rsidRPr="00A95BB7" w:rsidRDefault="004F5271" w:rsidP="00465914">
            <w:pPr>
              <w:widowControl w:val="0"/>
              <w:spacing w:before="60" w:after="60" w:line="200" w:lineRule="exact"/>
              <w:jc w:val="both"/>
              <w:textAlignment w:val="baseline"/>
              <w:rPr>
                <w:i/>
                <w:iCs/>
              </w:rPr>
            </w:pPr>
            <w:r>
              <w:t>е</w:t>
            </w:r>
            <w:r w:rsidR="00465914" w:rsidRPr="00A95BB7">
              <w:t>сли не предписано иное, тип конструкции, прочность, деление на отсеки, оборудование и оснастка судна должны соответствовать или быть эквивалентными предписаниям в отношении конструкции для судов высшего класса, установленным признанным классификационным обществом.</w:t>
            </w:r>
          </w:p>
        </w:tc>
      </w:tr>
    </w:tbl>
    <w:p w14:paraId="1BA9E920" w14:textId="77777777" w:rsidR="00465914" w:rsidRPr="00A95BB7" w:rsidRDefault="00465914" w:rsidP="004F5271">
      <w:pPr>
        <w:pStyle w:val="SingleTxtG"/>
        <w:pageBreakBefore/>
        <w:spacing w:before="120"/>
      </w:pPr>
      <w:r w:rsidRPr="00A95BB7">
        <w:lastRenderedPageBreak/>
        <w:t>8.</w:t>
      </w:r>
      <w:r w:rsidRPr="00A95BB7">
        <w:tab/>
        <w:t xml:space="preserve">До 1994 года к танкерам открытого типа N и танкерам открытого типа N с пламегасителями применялось следующее положение: </w:t>
      </w:r>
      <w:r>
        <w:t>«</w:t>
      </w:r>
      <w:r w:rsidRPr="00A95BB7">
        <w:t>тип конструкции, прочность, деление на отсеки, оборудование и оснастка судна должны соответствовать или быть эквивалентными предписаниям в отношении конструкции для судов высшего класса, установленным признанным классификационным обществом</w:t>
      </w:r>
      <w:r>
        <w:t>»</w:t>
      </w:r>
      <w:r w:rsidRPr="00A95BB7">
        <w:t>. Вместе с тем строительство под наблюдением признанного классификационного общества и отнесение к высшему классу не требовались до 31 декабря 1995 года. (См.</w:t>
      </w:r>
      <w:r>
        <w:t> маргинальный номер</w:t>
      </w:r>
      <w:r w:rsidRPr="00A95BB7">
        <w:t xml:space="preserve"> 131 208 ППОГР 1994 года).</w:t>
      </w:r>
    </w:p>
    <w:p w14:paraId="60612154" w14:textId="77777777" w:rsidR="00465914" w:rsidRPr="00A95BB7" w:rsidRDefault="00465914" w:rsidP="00465914">
      <w:pPr>
        <w:pStyle w:val="SingleTxtG"/>
      </w:pPr>
      <w:r w:rsidRPr="00A95BB7">
        <w:t>9.</w:t>
      </w:r>
      <w:r w:rsidRPr="00A95BB7">
        <w:tab/>
        <w:t xml:space="preserve">В силу этого данное </w:t>
      </w:r>
      <w:r w:rsidRPr="00465914">
        <w:t>переходное</w:t>
      </w:r>
      <w:r w:rsidRPr="00A95BB7">
        <w:t xml:space="preserve"> положение касается предложений 1</w:t>
      </w:r>
      <w:r>
        <w:t>–</w:t>
      </w:r>
      <w:r w:rsidRPr="00A95BB7">
        <w:t xml:space="preserve">3 </w:t>
      </w:r>
      <w:r>
        <w:br/>
      </w:r>
      <w:r w:rsidRPr="00A95BB7">
        <w:t>пункта 9.3.3.8.1 ВОПОГ.</w:t>
      </w:r>
    </w:p>
    <w:p w14:paraId="09486FE8" w14:textId="77777777" w:rsidR="00465914" w:rsidRPr="00A95BB7" w:rsidRDefault="00465914" w:rsidP="00465914">
      <w:pPr>
        <w:pStyle w:val="SingleTxtG"/>
      </w:pPr>
      <w:r w:rsidRPr="00A95BB7">
        <w:t>10.</w:t>
      </w:r>
      <w:r w:rsidRPr="00A95BB7">
        <w:tab/>
        <w:t>Положение, предусмотренное в колонке 3, должно быть подтверждено признанным классификационным обществом или органом по освидетельствованию при каждой периодической проверке в рамках осмотра, предусмотренного в разделе</w:t>
      </w:r>
      <w:r w:rsidR="004F5271">
        <w:t> </w:t>
      </w:r>
      <w:r w:rsidRPr="00A95BB7">
        <w:t>1.16.3 ВОПОГ, прежде чем будет выдано свидетельство о допущении.</w:t>
      </w:r>
    </w:p>
    <w:p w14:paraId="3AF9C956" w14:textId="77777777" w:rsidR="00465914" w:rsidRPr="00A95BB7" w:rsidRDefault="00465914" w:rsidP="00465914">
      <w:pPr>
        <w:pStyle w:val="SingleTxtG"/>
      </w:pPr>
      <w:r w:rsidRPr="00A95BB7">
        <w:t>11.</w:t>
      </w:r>
      <w:r w:rsidRPr="00A95BB7">
        <w:tab/>
        <w:t>До 1 января 1995 года для получения свидетельства о допущении владельцы танкеров должны были предъявить:</w:t>
      </w:r>
    </w:p>
    <w:p w14:paraId="1BADA89C" w14:textId="77777777" w:rsidR="00465914" w:rsidRPr="00A95BB7" w:rsidRDefault="00465914" w:rsidP="00465914">
      <w:pPr>
        <w:pStyle w:val="SingleTxtG"/>
      </w:pPr>
      <w:r>
        <w:tab/>
      </w:r>
      <w:r>
        <w:tab/>
      </w:r>
      <w:r w:rsidRPr="00A95BB7">
        <w:t>a)</w:t>
      </w:r>
      <w:r w:rsidRPr="00A95BB7">
        <w:tab/>
      </w:r>
      <w:r w:rsidR="004F5271">
        <w:t>«</w:t>
      </w:r>
      <w:r w:rsidRPr="00A95BB7">
        <w:t>классификационное свидетельство</w:t>
      </w:r>
      <w:r w:rsidR="004F5271">
        <w:t>»</w:t>
      </w:r>
      <w:r w:rsidRPr="00A95BB7">
        <w:t xml:space="preserve">; </w:t>
      </w:r>
      <w:r w:rsidRPr="00A95BB7">
        <w:rPr>
          <w:u w:val="single"/>
        </w:rPr>
        <w:t>или</w:t>
      </w:r>
    </w:p>
    <w:p w14:paraId="702A1D45" w14:textId="77777777" w:rsidR="00465914" w:rsidRPr="00A95BB7" w:rsidRDefault="00465914" w:rsidP="00465914">
      <w:pPr>
        <w:pStyle w:val="SingleTxtG"/>
      </w:pPr>
      <w:r w:rsidRPr="00A95BB7">
        <w:tab/>
      </w:r>
      <w:r w:rsidRPr="00A95BB7">
        <w:tab/>
        <w:t>b)</w:t>
      </w:r>
      <w:r w:rsidRPr="00A95BB7">
        <w:tab/>
      </w:r>
      <w:r w:rsidR="004F5271">
        <w:t>«</w:t>
      </w:r>
      <w:r>
        <w:t>с</w:t>
      </w:r>
      <w:r w:rsidRPr="00A95BB7">
        <w:t>видетельство признанного классификационного общества, удостоверяющее, что конструкция соответствует его собственным спецификациям</w:t>
      </w:r>
      <w:r>
        <w:t>,</w:t>
      </w:r>
      <w:r w:rsidRPr="00A95BB7">
        <w:t xml:space="preserve"> и указывающ</w:t>
      </w:r>
      <w:r>
        <w:t>ее</w:t>
      </w:r>
      <w:r w:rsidRPr="00A95BB7">
        <w:t xml:space="preserve"> на отступления от этих спецификаций, </w:t>
      </w:r>
      <w:r>
        <w:t xml:space="preserve">которые </w:t>
      </w:r>
      <w:r w:rsidRPr="00A95BB7">
        <w:t>считаю</w:t>
      </w:r>
      <w:r>
        <w:t>тся</w:t>
      </w:r>
      <w:r w:rsidRPr="00A95BB7">
        <w:t xml:space="preserve"> эквивалентными (sic !)».</w:t>
      </w:r>
    </w:p>
    <w:p w14:paraId="1AB1CD8A" w14:textId="77777777" w:rsidR="00465914" w:rsidRPr="00A95BB7" w:rsidRDefault="00465914" w:rsidP="00465914">
      <w:pPr>
        <w:pStyle w:val="SingleTxtG"/>
      </w:pPr>
      <w:r w:rsidRPr="00A95BB7">
        <w:tab/>
      </w:r>
      <w:r w:rsidRPr="00A95BB7">
        <w:tab/>
        <w:t xml:space="preserve">(См. </w:t>
      </w:r>
      <w:r w:rsidRPr="00465914">
        <w:t>маргинальный</w:t>
      </w:r>
      <w:r w:rsidRPr="00541B56">
        <w:t xml:space="preserve"> номер </w:t>
      </w:r>
      <w:r w:rsidRPr="00A95BB7">
        <w:t>131 208 ППОГР 1994 года).</w:t>
      </w:r>
    </w:p>
    <w:p w14:paraId="3226E925" w14:textId="77777777" w:rsidR="00465914" w:rsidRPr="00A95BB7" w:rsidRDefault="00465914" w:rsidP="00465914">
      <w:pPr>
        <w:pStyle w:val="SingleTxtG"/>
      </w:pPr>
      <w:r w:rsidRPr="00A95BB7">
        <w:t>12.</w:t>
      </w:r>
      <w:r w:rsidRPr="00A95BB7">
        <w:tab/>
        <w:t xml:space="preserve">Существует качественное различие между </w:t>
      </w:r>
      <w:r w:rsidR="004F5271">
        <w:t>«</w:t>
      </w:r>
      <w:r w:rsidRPr="00A95BB7">
        <w:t>классификационным свидетельством</w:t>
      </w:r>
      <w:r w:rsidR="004F5271">
        <w:t>»</w:t>
      </w:r>
      <w:r w:rsidRPr="00A95BB7">
        <w:t xml:space="preserve"> и </w:t>
      </w:r>
      <w:r w:rsidR="004F5271">
        <w:t>«</w:t>
      </w:r>
      <w:r w:rsidRPr="00A95BB7">
        <w:t>свидетельством признанного классификационного общества</w:t>
      </w:r>
      <w:r w:rsidR="004F5271">
        <w:t>»</w:t>
      </w:r>
      <w:r w:rsidRPr="00A95BB7">
        <w:t>. В</w:t>
      </w:r>
      <w:r w:rsidR="004F5271">
        <w:t> </w:t>
      </w:r>
      <w:r w:rsidRPr="00A95BB7">
        <w:t xml:space="preserve">то время как классификационное свидетельство подтверждает соблюдение всех применимых строительных требований классификационного общества, ответственного за освидетельствование и </w:t>
      </w:r>
      <w:r w:rsidRPr="00465914">
        <w:t>классификацию</w:t>
      </w:r>
      <w:r w:rsidRPr="00A95BB7">
        <w:t xml:space="preserve"> (включая требования, не предписанные ППОГР/ВОПОГ), свидетельство признанного классификационного общества лишь подтверждает, что судно соответствует требованиям к строительству признанного классификационного общества в отношении конструкции, прочности, деления на отсеки, оборудования и оснастки на момент его ввода в эксплуатацию или эквивалентным предписаниям. Это </w:t>
      </w:r>
      <w:r>
        <w:t xml:space="preserve">– </w:t>
      </w:r>
      <w:r w:rsidRPr="00A95BB7">
        <w:t>лишь часть требований к строительству</w:t>
      </w:r>
      <w:r>
        <w:t>, предъявляемых</w:t>
      </w:r>
      <w:r w:rsidRPr="00A95BB7">
        <w:t xml:space="preserve"> классификационн</w:t>
      </w:r>
      <w:r>
        <w:t>ым</w:t>
      </w:r>
      <w:r w:rsidRPr="00A95BB7">
        <w:t xml:space="preserve"> обществ</w:t>
      </w:r>
      <w:r>
        <w:t>ом</w:t>
      </w:r>
      <w:r w:rsidRPr="00A95BB7">
        <w:t>.</w:t>
      </w:r>
    </w:p>
    <w:p w14:paraId="19CB0B42" w14:textId="77777777" w:rsidR="00465914" w:rsidRPr="00A95BB7" w:rsidRDefault="00465914" w:rsidP="00465914">
      <w:pPr>
        <w:pStyle w:val="SingleTxtG"/>
      </w:pPr>
      <w:r w:rsidRPr="00A95BB7">
        <w:t>13.</w:t>
      </w:r>
      <w:r w:rsidRPr="00A95BB7">
        <w:tab/>
        <w:t xml:space="preserve">Нам известно несколько случаев, когда владельцы танкеров открытого типа N с пламегасителями или без них представляли также </w:t>
      </w:r>
      <w:r w:rsidR="004F5271">
        <w:t>«</w:t>
      </w:r>
      <w:r w:rsidRPr="00A95BB7">
        <w:t>классификационное свидетельство</w:t>
      </w:r>
      <w:r w:rsidR="004F5271">
        <w:t>»</w:t>
      </w:r>
      <w:r w:rsidRPr="00A95BB7">
        <w:t xml:space="preserve"> для первой выдачи или возобновления свидетельства о допущении, </w:t>
      </w:r>
      <w:r w:rsidRPr="00A95BB7">
        <w:rPr>
          <w:b/>
          <w:bCs/>
        </w:rPr>
        <w:t>не</w:t>
      </w:r>
      <w:r w:rsidR="004F5271">
        <w:rPr>
          <w:b/>
          <w:bCs/>
        </w:rPr>
        <w:t> </w:t>
      </w:r>
      <w:r w:rsidRPr="00A95BB7">
        <w:rPr>
          <w:b/>
          <w:bCs/>
        </w:rPr>
        <w:t>будучи обязанными это делать</w:t>
      </w:r>
      <w:r w:rsidRPr="00A95BB7">
        <w:t>. Впоследствии, после 1995 года, вместо классификационного свидетельства представлялось лишь простое свидетельство классификационного общества о виде конструкции, упомянутое в колонке 3 переходного положения.</w:t>
      </w:r>
    </w:p>
    <w:p w14:paraId="1D7B9C26" w14:textId="77777777" w:rsidR="00465914" w:rsidRPr="00A95BB7" w:rsidRDefault="00465914" w:rsidP="00465914">
      <w:pPr>
        <w:pStyle w:val="SingleTxtG"/>
      </w:pPr>
      <w:r w:rsidRPr="00A95BB7">
        <w:t>14.</w:t>
      </w:r>
      <w:r w:rsidRPr="00A95BB7">
        <w:tab/>
        <w:t>Переходное положение пункта 1.6.7.2.2.1 ВОПОГ гласит следующее:</w:t>
      </w:r>
    </w:p>
    <w:p w14:paraId="2A2227FC" w14:textId="77777777" w:rsidR="00465914" w:rsidRPr="00A95BB7" w:rsidRDefault="004F5271" w:rsidP="00465914">
      <w:pPr>
        <w:pStyle w:val="SingleTxtG"/>
        <w:ind w:left="1701"/>
      </w:pPr>
      <w:r>
        <w:t>«</w:t>
      </w:r>
      <w:r w:rsidR="00465914" w:rsidRPr="00A95BB7">
        <w:t>Конструкция и оборудование судов, находящихся в эксплуатации, должны соответствовать по меньшей мере прежнему уровню безопасности.</w:t>
      </w:r>
      <w:r>
        <w:t>»</w:t>
      </w:r>
      <w:r w:rsidR="00465914" w:rsidRPr="00A95BB7">
        <w:t>.</w:t>
      </w:r>
    </w:p>
    <w:p w14:paraId="7B64C1A4" w14:textId="77777777" w:rsidR="00465914" w:rsidRPr="00A95BB7" w:rsidRDefault="00465914" w:rsidP="00465914">
      <w:pPr>
        <w:pStyle w:val="SingleTxtG"/>
        <w:rPr>
          <w:b/>
        </w:rPr>
      </w:pPr>
      <w:r w:rsidRPr="00A95BB7">
        <w:t>15.</w:t>
      </w:r>
      <w:r w:rsidRPr="00A95BB7">
        <w:tab/>
        <w:t>Это означает</w:t>
      </w:r>
      <w:r>
        <w:t xml:space="preserve"> следующее: </w:t>
      </w:r>
      <w:r w:rsidRPr="00A95BB7">
        <w:t>если на танкеры распространяется действие переходного положения, то для целей классификации они должны о</w:t>
      </w:r>
      <w:r>
        <w:t xml:space="preserve">ставаться </w:t>
      </w:r>
      <w:r w:rsidRPr="00A95BB7">
        <w:t xml:space="preserve">на уровне безопасности, установленном по </w:t>
      </w:r>
      <w:r w:rsidRPr="00465914">
        <w:t>состоянию</w:t>
      </w:r>
      <w:r w:rsidRPr="00A95BB7">
        <w:t xml:space="preserve"> на 1 января 1995 года.</w:t>
      </w:r>
    </w:p>
    <w:p w14:paraId="63659B46" w14:textId="77777777" w:rsidR="00465914" w:rsidRPr="00A95BB7" w:rsidRDefault="00465914" w:rsidP="00465914">
      <w:pPr>
        <w:pStyle w:val="HChG"/>
      </w:pPr>
      <w:r>
        <w:tab/>
      </w:r>
      <w:r w:rsidRPr="00A95BB7">
        <w:t>I.</w:t>
      </w:r>
      <w:r w:rsidRPr="00A95BB7">
        <w:tab/>
      </w:r>
      <w:r w:rsidRPr="00A95BB7">
        <w:rPr>
          <w:bCs/>
        </w:rPr>
        <w:t>Вопрос толкования</w:t>
      </w:r>
    </w:p>
    <w:p w14:paraId="4C02BF72" w14:textId="77777777" w:rsidR="00465914" w:rsidRPr="00A95BB7" w:rsidRDefault="00465914" w:rsidP="00465914">
      <w:pPr>
        <w:pStyle w:val="SingleTxtG"/>
      </w:pPr>
      <w:r w:rsidRPr="00A95BB7">
        <w:t>16.</w:t>
      </w:r>
      <w:r w:rsidRPr="00A95BB7">
        <w:tab/>
        <w:t xml:space="preserve">Требуется определить, следует ли для </w:t>
      </w:r>
      <w:r>
        <w:t>с</w:t>
      </w:r>
      <w:r w:rsidRPr="00A95BB7">
        <w:t>о</w:t>
      </w:r>
      <w:r>
        <w:t>х</w:t>
      </w:r>
      <w:r w:rsidRPr="00A95BB7">
        <w:t>ран</w:t>
      </w:r>
      <w:r>
        <w:t>ен</w:t>
      </w:r>
      <w:r w:rsidRPr="00A95BB7">
        <w:t xml:space="preserve">ия </w:t>
      </w:r>
      <w:r w:rsidR="004F5271">
        <w:t>«</w:t>
      </w:r>
      <w:r w:rsidRPr="00A95BB7">
        <w:t>прежнего уровня безопасности</w:t>
      </w:r>
      <w:r w:rsidR="004F5271">
        <w:t>»</w:t>
      </w:r>
      <w:r w:rsidRPr="00A95BB7">
        <w:t xml:space="preserve"> </w:t>
      </w:r>
      <w:r>
        <w:t xml:space="preserve">по-прежнему </w:t>
      </w:r>
      <w:r w:rsidRPr="00A95BB7">
        <w:t xml:space="preserve">иметь ранее выданное классификационное свидетельство и в какой степени требование в отношении такого </w:t>
      </w:r>
      <w:r w:rsidR="004F5271">
        <w:t>«</w:t>
      </w:r>
      <w:r w:rsidRPr="00A95BB7">
        <w:t>прежнего уровня безопасности</w:t>
      </w:r>
      <w:r w:rsidR="004F5271">
        <w:t>»</w:t>
      </w:r>
      <w:r w:rsidRPr="00A95BB7">
        <w:t xml:space="preserve"> было с</w:t>
      </w:r>
      <w:r>
        <w:t>мягче</w:t>
      </w:r>
      <w:r w:rsidRPr="00A95BB7">
        <w:t xml:space="preserve">но в результате того, что </w:t>
      </w:r>
      <w:r w:rsidRPr="00465914">
        <w:t>первоначально</w:t>
      </w:r>
      <w:r w:rsidRPr="00A95BB7">
        <w:t xml:space="preserve"> для выдачи или возобновления </w:t>
      </w:r>
      <w:r w:rsidRPr="00A95BB7">
        <w:lastRenderedPageBreak/>
        <w:t xml:space="preserve">свидетельства о допущении представлялось </w:t>
      </w:r>
      <w:r w:rsidR="004F5271">
        <w:t>«</w:t>
      </w:r>
      <w:r w:rsidRPr="00A95BB7">
        <w:t>классификационное свидетельство</w:t>
      </w:r>
      <w:r w:rsidR="004F5271">
        <w:t>»</w:t>
      </w:r>
      <w:r w:rsidRPr="00A95BB7">
        <w:t>, в то время как впоследствии для этого требовалось лишь простое свидетельство классификационного общества.</w:t>
      </w:r>
    </w:p>
    <w:p w14:paraId="20774B49" w14:textId="77777777" w:rsidR="00465914" w:rsidRPr="00A95BB7" w:rsidRDefault="00465914" w:rsidP="00465914">
      <w:pPr>
        <w:pStyle w:val="SingleTxtG"/>
        <w:rPr>
          <w:b/>
          <w:sz w:val="24"/>
          <w:szCs w:val="24"/>
        </w:rPr>
      </w:pPr>
      <w:r w:rsidRPr="00A95BB7">
        <w:t>17.</w:t>
      </w:r>
      <w:r w:rsidRPr="00A95BB7">
        <w:tab/>
        <w:t xml:space="preserve">Если это так, то </w:t>
      </w:r>
      <w:r w:rsidRPr="00465914">
        <w:t>свидетельство</w:t>
      </w:r>
      <w:r w:rsidRPr="00A95BB7">
        <w:t xml:space="preserve"> о допущении может быть </w:t>
      </w:r>
      <w:r>
        <w:t>в</w:t>
      </w:r>
      <w:r w:rsidRPr="00A95BB7">
        <w:t>о</w:t>
      </w:r>
      <w:r>
        <w:t>зобнов</w:t>
      </w:r>
      <w:r w:rsidRPr="00A95BB7">
        <w:t xml:space="preserve">лено только в том случае, если соблюдено требование, изложенное во </w:t>
      </w:r>
      <w:r w:rsidRPr="00A95BB7">
        <w:rPr>
          <w:b/>
          <w:bCs/>
        </w:rPr>
        <w:t>втором предложении</w:t>
      </w:r>
      <w:r w:rsidRPr="00A95BB7">
        <w:t xml:space="preserve"> пункта</w:t>
      </w:r>
      <w:r w:rsidR="004F5271">
        <w:t> </w:t>
      </w:r>
      <w:r w:rsidRPr="00A95BB7">
        <w:t>9.3.3.8.1. Это означало бы, что переходное положение не будет применяться в случае добровольного представления классификационного свидетельства.</w:t>
      </w:r>
    </w:p>
    <w:p w14:paraId="1B900551" w14:textId="77777777" w:rsidR="00465914" w:rsidRPr="00A95BB7" w:rsidRDefault="00465914" w:rsidP="00465914">
      <w:pPr>
        <w:pStyle w:val="HChG"/>
      </w:pPr>
      <w:r>
        <w:tab/>
      </w:r>
      <w:r w:rsidRPr="00A95BB7">
        <w:t>II.</w:t>
      </w:r>
      <w:r w:rsidRPr="00A95BB7">
        <w:tab/>
      </w:r>
      <w:r w:rsidRPr="00A95BB7">
        <w:rPr>
          <w:bCs/>
        </w:rPr>
        <w:t>Мнение делегации Германии</w:t>
      </w:r>
    </w:p>
    <w:p w14:paraId="7F28A713" w14:textId="77777777" w:rsidR="00465914" w:rsidRPr="00A95BB7" w:rsidRDefault="00465914" w:rsidP="00465914">
      <w:pPr>
        <w:pStyle w:val="SingleTxtG"/>
      </w:pPr>
      <w:r w:rsidRPr="00A95BB7">
        <w:t>18.</w:t>
      </w:r>
      <w:r w:rsidRPr="00A95BB7">
        <w:tab/>
        <w:t xml:space="preserve">Германия считает, что сохранение класса в результате </w:t>
      </w:r>
      <w:r w:rsidRPr="00A95BB7">
        <w:rPr>
          <w:b/>
          <w:bCs/>
        </w:rPr>
        <w:t xml:space="preserve">добровольного </w:t>
      </w:r>
      <w:r w:rsidRPr="00A95BB7">
        <w:t xml:space="preserve">представления </w:t>
      </w:r>
      <w:r w:rsidR="004F5271">
        <w:t>«</w:t>
      </w:r>
      <w:r w:rsidRPr="00A95BB7">
        <w:t>классификационного свидетельства</w:t>
      </w:r>
      <w:r w:rsidR="004F5271">
        <w:t>»</w:t>
      </w:r>
      <w:r w:rsidRPr="00A95BB7">
        <w:t xml:space="preserve"> до 1995 года, несмотря на применимость ППОГР, должно продолжаться при тех же условиях и после перехода </w:t>
      </w:r>
      <w:r>
        <w:t>к использованию</w:t>
      </w:r>
      <w:r w:rsidRPr="00A95BB7">
        <w:t xml:space="preserve"> </w:t>
      </w:r>
      <w:r w:rsidRPr="00465914">
        <w:t>ВОПОГ</w:t>
      </w:r>
      <w:r w:rsidRPr="00A95BB7">
        <w:t>, без чего возникнет опасность снижения уровня безопасности по сравнению с уровнем, существовавшим до 1995 года.</w:t>
      </w:r>
    </w:p>
    <w:p w14:paraId="559E7C03" w14:textId="77777777" w:rsidR="00465914" w:rsidRPr="00A95BB7" w:rsidRDefault="00465914" w:rsidP="00465914">
      <w:pPr>
        <w:pStyle w:val="SingleTxtG"/>
      </w:pPr>
      <w:r w:rsidRPr="00465914">
        <w:t>19.</w:t>
      </w:r>
      <w:r w:rsidRPr="00465914">
        <w:tab/>
        <w:t>Два при</w:t>
      </w:r>
      <w:r w:rsidRPr="00A95BB7">
        <w:t>мера:</w:t>
      </w:r>
    </w:p>
    <w:p w14:paraId="3C085F86" w14:textId="77777777" w:rsidR="00465914" w:rsidRPr="00A95BB7" w:rsidRDefault="00465914" w:rsidP="00465914">
      <w:pPr>
        <w:pStyle w:val="Bullet1G"/>
      </w:pPr>
      <w:r w:rsidRPr="00A95BB7">
        <w:t>Если классификационное свидетельство больше не будет требоваться, то периодическое освидетельствование судна классификационным обществом на третий год также не потребуется.</w:t>
      </w:r>
    </w:p>
    <w:p w14:paraId="284568C1" w14:textId="77777777" w:rsidR="00465914" w:rsidRPr="00A95BB7" w:rsidRDefault="00465914" w:rsidP="00465914">
      <w:pPr>
        <w:pStyle w:val="Bullet1G"/>
      </w:pPr>
      <w:r w:rsidRPr="00A95BB7">
        <w:t xml:space="preserve">Толщина материала корпуса должна соответствовать только требованиям </w:t>
      </w:r>
      <w:r w:rsidR="00192792">
        <w:br/>
      </w:r>
      <w:r w:rsidRPr="00A95BB7">
        <w:t xml:space="preserve">EС-ТТСВП, которым предусмотрено, что осмотр днища судна должен проводиться </w:t>
      </w:r>
      <w:r>
        <w:t>не один раз в пять лет</w:t>
      </w:r>
      <w:r w:rsidRPr="00A95BB7">
        <w:t xml:space="preserve">, а только </w:t>
      </w:r>
      <w:r>
        <w:t>один раз в десять</w:t>
      </w:r>
      <w:r w:rsidRPr="00A95BB7">
        <w:t xml:space="preserve"> лет.</w:t>
      </w:r>
    </w:p>
    <w:p w14:paraId="09D07C1F" w14:textId="77777777" w:rsidR="00465914" w:rsidRPr="00A95BB7" w:rsidRDefault="00465914" w:rsidP="00465914">
      <w:pPr>
        <w:pStyle w:val="SingleTxtG"/>
      </w:pPr>
      <w:r w:rsidRPr="00A95BB7">
        <w:t>20.</w:t>
      </w:r>
      <w:r w:rsidRPr="00A95BB7">
        <w:tab/>
        <w:t>Делегация Германии считает, что с учетом вышеизложенных примеров эквивалентный уровень безопасности больше не будет гарантирован.</w:t>
      </w:r>
    </w:p>
    <w:p w14:paraId="1E367A18" w14:textId="77777777" w:rsidR="00465914" w:rsidRPr="00A95BB7" w:rsidRDefault="00465914" w:rsidP="00465914">
      <w:pPr>
        <w:pStyle w:val="SingleTxtG"/>
      </w:pPr>
      <w:r w:rsidRPr="00A95BB7">
        <w:t>21.</w:t>
      </w:r>
      <w:r w:rsidRPr="00A95BB7">
        <w:tab/>
        <w:t xml:space="preserve">Следует также отметить, что в случае </w:t>
      </w:r>
      <w:r w:rsidR="00192792">
        <w:t>«</w:t>
      </w:r>
      <w:r w:rsidRPr="00A95BB7">
        <w:t>изменения класса</w:t>
      </w:r>
      <w:r w:rsidR="00192792">
        <w:t>»</w:t>
      </w:r>
      <w:r w:rsidRPr="00A95BB7">
        <w:t xml:space="preserve"> танкера закрытого типа N на танкер открытого типа N с пламегасителями или без них владелец может также настаивать на сохранении для своего судна этого класса, ссылаясь на переходное положение, хотя такое сохранение класса и не является необходимым. Это</w:t>
      </w:r>
      <w:r w:rsidR="00192792">
        <w:t> </w:t>
      </w:r>
      <w:r w:rsidRPr="00A95BB7">
        <w:t>привело бы к явному снижению ранее достигнутого уровня безопасности.</w:t>
      </w:r>
    </w:p>
    <w:p w14:paraId="2AF6B37A" w14:textId="77777777" w:rsidR="00465914" w:rsidRPr="00A95BB7" w:rsidRDefault="00465914" w:rsidP="00465914">
      <w:pPr>
        <w:spacing w:before="240"/>
        <w:jc w:val="center"/>
        <w:rPr>
          <w:u w:val="single"/>
        </w:rPr>
      </w:pPr>
      <w:r w:rsidRPr="00A95BB7">
        <w:rPr>
          <w:u w:val="single"/>
        </w:rPr>
        <w:tab/>
      </w:r>
      <w:r w:rsidRPr="00A95BB7">
        <w:rPr>
          <w:u w:val="single"/>
        </w:rPr>
        <w:tab/>
      </w:r>
      <w:r w:rsidRPr="00A95BB7">
        <w:rPr>
          <w:u w:val="single"/>
        </w:rPr>
        <w:tab/>
      </w:r>
    </w:p>
    <w:p w14:paraId="5550111B" w14:textId="77777777" w:rsidR="00E12C5F" w:rsidRPr="008D53B6" w:rsidRDefault="00E12C5F" w:rsidP="00D9145B"/>
    <w:sectPr w:rsidR="00E12C5F" w:rsidRPr="008D53B6" w:rsidSect="004659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8898" w14:textId="77777777" w:rsidR="000A6370" w:rsidRPr="00A312BC" w:rsidRDefault="000A6370" w:rsidP="00A312BC"/>
  </w:endnote>
  <w:endnote w:type="continuationSeparator" w:id="0">
    <w:p w14:paraId="46DECE8D" w14:textId="77777777" w:rsidR="000A6370" w:rsidRPr="00A312BC" w:rsidRDefault="000A637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7D465" w14:textId="77777777" w:rsidR="00465914" w:rsidRPr="00465914" w:rsidRDefault="00465914">
    <w:pPr>
      <w:pStyle w:val="Footer"/>
    </w:pPr>
    <w:r w:rsidRPr="00465914">
      <w:rPr>
        <w:b/>
        <w:sz w:val="18"/>
      </w:rPr>
      <w:fldChar w:fldCharType="begin"/>
    </w:r>
    <w:r w:rsidRPr="00465914">
      <w:rPr>
        <w:b/>
        <w:sz w:val="18"/>
      </w:rPr>
      <w:instrText xml:space="preserve"> PAGE  \* MERGEFORMAT </w:instrText>
    </w:r>
    <w:r w:rsidRPr="00465914">
      <w:rPr>
        <w:b/>
        <w:sz w:val="18"/>
      </w:rPr>
      <w:fldChar w:fldCharType="separate"/>
    </w:r>
    <w:r w:rsidRPr="00465914">
      <w:rPr>
        <w:b/>
        <w:noProof/>
        <w:sz w:val="18"/>
      </w:rPr>
      <w:t>2</w:t>
    </w:r>
    <w:r w:rsidRPr="00465914">
      <w:rPr>
        <w:b/>
        <w:sz w:val="18"/>
      </w:rPr>
      <w:fldChar w:fldCharType="end"/>
    </w:r>
    <w:r>
      <w:rPr>
        <w:b/>
        <w:sz w:val="18"/>
      </w:rPr>
      <w:tab/>
    </w:r>
    <w:r>
      <w:t>GE.19-19460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26816" w14:textId="77777777" w:rsidR="00465914" w:rsidRPr="00465914" w:rsidRDefault="00465914" w:rsidP="00465914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GE.19-19460</w:t>
    </w:r>
    <w:r>
      <w:tab/>
    </w:r>
    <w:r w:rsidRPr="00465914">
      <w:rPr>
        <w:b/>
        <w:sz w:val="18"/>
      </w:rPr>
      <w:fldChar w:fldCharType="begin"/>
    </w:r>
    <w:r w:rsidRPr="00465914">
      <w:rPr>
        <w:b/>
        <w:sz w:val="18"/>
      </w:rPr>
      <w:instrText xml:space="preserve"> PAGE  \* MERGEFORMAT </w:instrText>
    </w:r>
    <w:r w:rsidRPr="00465914">
      <w:rPr>
        <w:b/>
        <w:sz w:val="18"/>
      </w:rPr>
      <w:fldChar w:fldCharType="separate"/>
    </w:r>
    <w:r w:rsidRPr="00465914">
      <w:rPr>
        <w:b/>
        <w:noProof/>
        <w:sz w:val="18"/>
      </w:rPr>
      <w:t>3</w:t>
    </w:r>
    <w:r w:rsidRPr="004659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CBA6" w14:textId="77777777" w:rsidR="00042B72" w:rsidRPr="00465914" w:rsidRDefault="00465914" w:rsidP="00465914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64C2CB" wp14:editId="2591A8F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19-19460  (R)</w:t>
    </w:r>
    <w:r>
      <w:rPr>
        <w:lang w:val="en-US"/>
      </w:rPr>
      <w:t xml:space="preserve">  191119  191119</w:t>
    </w:r>
    <w:r>
      <w:br/>
    </w:r>
    <w:r w:rsidRPr="00465914">
      <w:rPr>
        <w:rFonts w:ascii="C39T30Lfz" w:hAnsi="C39T30Lfz"/>
        <w:kern w:val="14"/>
        <w:sz w:val="56"/>
      </w:rPr>
      <w:t></w:t>
    </w:r>
    <w:r w:rsidRPr="00465914">
      <w:rPr>
        <w:rFonts w:ascii="C39T30Lfz" w:hAnsi="C39T30Lfz"/>
        <w:kern w:val="14"/>
        <w:sz w:val="56"/>
      </w:rPr>
      <w:t></w:t>
    </w:r>
    <w:r w:rsidRPr="00465914">
      <w:rPr>
        <w:rFonts w:ascii="C39T30Lfz" w:hAnsi="C39T30Lfz"/>
        <w:kern w:val="14"/>
        <w:sz w:val="56"/>
      </w:rPr>
      <w:t></w:t>
    </w:r>
    <w:r w:rsidRPr="00465914">
      <w:rPr>
        <w:rFonts w:ascii="C39T30Lfz" w:hAnsi="C39T30Lfz"/>
        <w:kern w:val="14"/>
        <w:sz w:val="56"/>
      </w:rPr>
      <w:t></w:t>
    </w:r>
    <w:r w:rsidRPr="00465914">
      <w:rPr>
        <w:rFonts w:ascii="C39T30Lfz" w:hAnsi="C39T30Lfz"/>
        <w:kern w:val="14"/>
        <w:sz w:val="56"/>
      </w:rPr>
      <w:t></w:t>
    </w:r>
    <w:r w:rsidRPr="00465914">
      <w:rPr>
        <w:rFonts w:ascii="C39T30Lfz" w:hAnsi="C39T30Lfz"/>
        <w:kern w:val="14"/>
        <w:sz w:val="56"/>
      </w:rPr>
      <w:t></w:t>
    </w:r>
    <w:r w:rsidRPr="00465914">
      <w:rPr>
        <w:rFonts w:ascii="C39T30Lfz" w:hAnsi="C39T30Lfz"/>
        <w:kern w:val="14"/>
        <w:sz w:val="56"/>
      </w:rPr>
      <w:t></w:t>
    </w:r>
    <w:r w:rsidRPr="00465914">
      <w:rPr>
        <w:rFonts w:ascii="C39T30Lfz" w:hAnsi="C39T30Lfz"/>
        <w:kern w:val="14"/>
        <w:sz w:val="56"/>
      </w:rPr>
      <w:t></w:t>
    </w:r>
    <w:r w:rsidRPr="00465914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43EDB1F" wp14:editId="2A691BC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D385" w14:textId="77777777" w:rsidR="000A6370" w:rsidRPr="001075E9" w:rsidRDefault="000A637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9B626D" w14:textId="77777777" w:rsidR="000A6370" w:rsidRDefault="000A637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5B658E" w14:textId="60D334A6" w:rsidR="00465914" w:rsidRPr="00A95BB7" w:rsidRDefault="00465914" w:rsidP="00465914">
      <w:pPr>
        <w:pStyle w:val="FootnoteText"/>
      </w:pPr>
      <w:r>
        <w:tab/>
      </w:r>
      <w:r w:rsidRPr="00465914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="00CA532F">
        <w:t>/</w:t>
      </w:r>
      <w:r>
        <w:t>ZKR/ADN/WP.15/AC.2/2020/9.</w:t>
      </w:r>
    </w:p>
  </w:footnote>
  <w:footnote w:id="2">
    <w:p w14:paraId="5653BE45" w14:textId="77777777" w:rsidR="00465914" w:rsidRPr="00A95BB7" w:rsidRDefault="00465914" w:rsidP="00465914">
      <w:pPr>
        <w:pStyle w:val="FootnoteText"/>
      </w:pPr>
      <w:r>
        <w:tab/>
      </w:r>
      <w:r w:rsidRPr="00465914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  <w:footnote w:id="3">
    <w:p w14:paraId="65B7340E" w14:textId="77777777" w:rsidR="00465914" w:rsidRPr="00A95BB7" w:rsidRDefault="00465914" w:rsidP="00465914">
      <w:pPr>
        <w:pStyle w:val="FootnoteText"/>
        <w:widowControl w:val="0"/>
        <w:tabs>
          <w:tab w:val="clear" w:pos="1021"/>
          <w:tab w:val="right" w:pos="1020"/>
        </w:tabs>
      </w:pPr>
      <w:r>
        <w:tab/>
      </w:r>
      <w:r>
        <w:rPr>
          <w:rStyle w:val="FootnoteReference"/>
        </w:rPr>
        <w:footnoteRef/>
      </w:r>
      <w:r>
        <w:tab/>
        <w:t xml:space="preserve"> Примечание секретариата ЦКСР: соответствующий немецкий термин «Übergangsvorschriften», используемый в настоящем документе, в тексте ВОПОГ 2019 года на французском языке переводится как «dispositions transitoires» («переходные положения»), «mesures transitoires» («переходные меры») и «prescriptions transitoires» («переходные предписания»).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1B1E" w14:textId="184BD9DD" w:rsidR="00465914" w:rsidRPr="00465914" w:rsidRDefault="00DF4D8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BDD4D" w14:textId="42778E6D" w:rsidR="00465914" w:rsidRPr="00465914" w:rsidRDefault="00DF4D8E" w:rsidP="0046591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  <w:lvlOverride w:ilvl="0">
      <w:lvl w:ilvl="0" w:tplc="3B64B33E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70"/>
    <w:rsid w:val="000135F5"/>
    <w:rsid w:val="00033EE1"/>
    <w:rsid w:val="00042B72"/>
    <w:rsid w:val="000558BD"/>
    <w:rsid w:val="000A6370"/>
    <w:rsid w:val="000B57E7"/>
    <w:rsid w:val="000B6373"/>
    <w:rsid w:val="000C336D"/>
    <w:rsid w:val="000E4E5B"/>
    <w:rsid w:val="000F09DF"/>
    <w:rsid w:val="000F61B2"/>
    <w:rsid w:val="001075E9"/>
    <w:rsid w:val="0014152F"/>
    <w:rsid w:val="00180183"/>
    <w:rsid w:val="0018024D"/>
    <w:rsid w:val="0018649F"/>
    <w:rsid w:val="00192792"/>
    <w:rsid w:val="00196389"/>
    <w:rsid w:val="001B3EF6"/>
    <w:rsid w:val="001C5C8E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5914"/>
    <w:rsid w:val="00472C5C"/>
    <w:rsid w:val="004E05B7"/>
    <w:rsid w:val="004F5271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4FAC"/>
    <w:rsid w:val="00A84021"/>
    <w:rsid w:val="00A84D35"/>
    <w:rsid w:val="00A917B3"/>
    <w:rsid w:val="00AB4B51"/>
    <w:rsid w:val="00B10CC7"/>
    <w:rsid w:val="00B312F9"/>
    <w:rsid w:val="00B36DF7"/>
    <w:rsid w:val="00B539E7"/>
    <w:rsid w:val="00B62458"/>
    <w:rsid w:val="00BC18B2"/>
    <w:rsid w:val="00BD33EE"/>
    <w:rsid w:val="00BD6AF3"/>
    <w:rsid w:val="00BE1CC7"/>
    <w:rsid w:val="00C106D6"/>
    <w:rsid w:val="00C119AE"/>
    <w:rsid w:val="00C60F0C"/>
    <w:rsid w:val="00C71E84"/>
    <w:rsid w:val="00C805C9"/>
    <w:rsid w:val="00C92939"/>
    <w:rsid w:val="00CA1679"/>
    <w:rsid w:val="00CA532F"/>
    <w:rsid w:val="00CB151C"/>
    <w:rsid w:val="00CE5A1A"/>
    <w:rsid w:val="00CF55F6"/>
    <w:rsid w:val="00D33D63"/>
    <w:rsid w:val="00D34517"/>
    <w:rsid w:val="00D5253A"/>
    <w:rsid w:val="00D873A8"/>
    <w:rsid w:val="00D90028"/>
    <w:rsid w:val="00D90138"/>
    <w:rsid w:val="00D9145B"/>
    <w:rsid w:val="00DD78D1"/>
    <w:rsid w:val="00DE32CD"/>
    <w:rsid w:val="00DF4D8E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9DE0EB"/>
  <w15:docId w15:val="{27CF41E3-7307-4E11-9E74-488BCA4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465914"/>
    <w:rPr>
      <w:lang w:val="ru-RU" w:eastAsia="en-US"/>
    </w:rPr>
  </w:style>
  <w:style w:type="character" w:customStyle="1" w:styleId="HChGChar">
    <w:name w:val="_ H _Ch_G Char"/>
    <w:link w:val="HChG"/>
    <w:rsid w:val="0046591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ECE/TRANS/WP.15/AC.2/2020/9</vt:lpstr>
      <vt:lpstr>ECE/TRANS/WP.15/AC.2/2020/9</vt:lpstr>
      <vt:lpstr>A/</vt:lpstr>
    </vt:vector>
  </TitlesOfParts>
  <Company>DCM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ECE/TRANS/WP.15/AC.2/2020/9</dc:title>
  <dc:subject/>
  <dc:creator>Elena IZOTOVA</dc:creator>
  <cp:keywords/>
  <cp:lastModifiedBy>Marie-Claude Collet</cp:lastModifiedBy>
  <cp:revision>3</cp:revision>
  <cp:lastPrinted>2019-11-19T15:25:00Z</cp:lastPrinted>
  <dcterms:created xsi:type="dcterms:W3CDTF">2019-11-19T15:24:00Z</dcterms:created>
  <dcterms:modified xsi:type="dcterms:W3CDTF">2019-11-19T15:25:00Z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