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498B" w14:textId="193AC2FC" w:rsidR="00EE1D86" w:rsidRPr="0080128E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fr-FR" w:bidi="fr-FR"/>
        </w:rPr>
      </w:pPr>
      <w:bookmarkStart w:id="0" w:name="_GoBack"/>
      <w:bookmarkEnd w:id="0"/>
      <w:r w:rsidRPr="002D550A">
        <w:rPr>
          <w:noProof/>
          <w:snapToGrid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E9141F2" wp14:editId="359BB16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C63" w:rsidRPr="0080128E">
        <w:rPr>
          <w:rFonts w:ascii="Arial" w:eastAsia="Arial" w:hAnsi="Arial" w:cs="Arial"/>
          <w:bCs/>
          <w:snapToGrid/>
          <w:szCs w:val="24"/>
          <w:lang w:val="fr-FR" w:eastAsia="de-DE"/>
        </w:rPr>
        <w:t>CCNR-ZKR/ADN/WP.15/AC.2/</w:t>
      </w:r>
      <w:r w:rsidR="008F2597" w:rsidRPr="0080128E">
        <w:rPr>
          <w:rFonts w:ascii="Arial" w:eastAsia="Arial" w:hAnsi="Arial" w:cs="Arial"/>
          <w:bCs/>
          <w:snapToGrid/>
          <w:szCs w:val="24"/>
          <w:lang w:val="fr-FR" w:eastAsia="de-DE"/>
        </w:rPr>
        <w:t>2020/</w:t>
      </w:r>
      <w:r w:rsidR="00273EA1">
        <w:rPr>
          <w:rFonts w:ascii="Arial" w:eastAsia="Arial" w:hAnsi="Arial" w:cs="Arial"/>
          <w:bCs/>
          <w:snapToGrid/>
          <w:szCs w:val="24"/>
          <w:lang w:val="fr-FR" w:eastAsia="de-DE"/>
        </w:rPr>
        <w:t>9</w:t>
      </w:r>
    </w:p>
    <w:p w14:paraId="3FAD3356" w14:textId="77777777"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14:paraId="72973BE9" w14:textId="4E7A9F1C" w:rsidR="00EE1D86" w:rsidRPr="002D550A" w:rsidRDefault="00273EA1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11</w:t>
      </w:r>
      <w:r w:rsidR="009F4CC7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napToGrid/>
          <w:szCs w:val="24"/>
          <w:lang w:val="de-DE" w:eastAsia="de-DE"/>
        </w:rPr>
        <w:t>November</w:t>
      </w:r>
      <w:r w:rsidR="0080128E">
        <w:rPr>
          <w:rFonts w:ascii="Arial" w:eastAsia="Arial" w:hAnsi="Arial" w:cs="Arial"/>
          <w:snapToGrid/>
          <w:szCs w:val="24"/>
          <w:lang w:val="de-DE" w:eastAsia="de-DE"/>
        </w:rPr>
        <w:t xml:space="preserve"> </w:t>
      </w:r>
      <w:r w:rsidR="009F4CC7">
        <w:rPr>
          <w:rFonts w:ascii="Arial" w:eastAsia="Arial" w:hAnsi="Arial" w:cs="Arial"/>
          <w:snapToGrid/>
          <w:szCs w:val="24"/>
          <w:lang w:val="de-DE" w:eastAsia="de-DE"/>
        </w:rPr>
        <w:t>201</w:t>
      </w:r>
      <w:r w:rsidR="00203AB3">
        <w:rPr>
          <w:rFonts w:ascii="Arial" w:eastAsia="Arial" w:hAnsi="Arial" w:cs="Arial"/>
          <w:snapToGrid/>
          <w:szCs w:val="24"/>
          <w:lang w:val="de-DE" w:eastAsia="de-DE"/>
        </w:rPr>
        <w:t>9</w:t>
      </w:r>
    </w:p>
    <w:p w14:paraId="2EE25966" w14:textId="77777777"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Or. DEUTSCH</w:t>
      </w:r>
    </w:p>
    <w:p w14:paraId="3C8C6C5B" w14:textId="77777777"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7225B1C7" w14:textId="77777777"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3A330489" w14:textId="77777777" w:rsidR="005D1225" w:rsidRPr="005D1225" w:rsidRDefault="005D1225" w:rsidP="005D1225">
      <w:pPr>
        <w:tabs>
          <w:tab w:val="left" w:pos="2977"/>
        </w:tabs>
        <w:suppressAutoHyphens w:val="0"/>
        <w:spacing w:line="240" w:lineRule="auto"/>
        <w:ind w:left="3960"/>
        <w:jc w:val="both"/>
        <w:rPr>
          <w:rFonts w:ascii="Arial" w:hAnsi="Arial"/>
          <w:noProof/>
          <w:sz w:val="16"/>
          <w:szCs w:val="24"/>
          <w:lang w:val="de-DE"/>
        </w:rPr>
      </w:pPr>
      <w:r w:rsidRPr="005D1225">
        <w:rPr>
          <w:rFonts w:ascii="Arial" w:hAnsi="Arial"/>
          <w:noProof/>
          <w:sz w:val="16"/>
          <w:szCs w:val="24"/>
          <w:lang w:val="de-DE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292B5F46" w14:textId="5241C6C6" w:rsidR="00EE1D86" w:rsidRPr="002D550A" w:rsidRDefault="005D1225" w:rsidP="005D1225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 xml:space="preserve"> </w:t>
      </w:r>
      <w:r w:rsidR="00EE1D86" w:rsidRPr="002D550A">
        <w:rPr>
          <w:rFonts w:ascii="Arial" w:hAnsi="Arial"/>
          <w:sz w:val="16"/>
          <w:szCs w:val="24"/>
          <w:lang w:val="de-DE"/>
        </w:rPr>
        <w:t>(</w:t>
      </w:r>
      <w:r w:rsidR="00760FCD">
        <w:rPr>
          <w:rFonts w:ascii="Arial" w:hAnsi="Arial"/>
          <w:sz w:val="16"/>
          <w:szCs w:val="24"/>
          <w:lang w:val="de-DE"/>
        </w:rPr>
        <w:t>3</w:t>
      </w:r>
      <w:r w:rsidR="008F2597">
        <w:rPr>
          <w:rFonts w:ascii="Arial" w:hAnsi="Arial"/>
          <w:sz w:val="16"/>
          <w:szCs w:val="24"/>
          <w:lang w:val="de-DE"/>
        </w:rPr>
        <w:t>6</w:t>
      </w:r>
      <w:r w:rsidR="00EE1D86"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8F2597">
        <w:rPr>
          <w:rFonts w:ascii="Arial" w:hAnsi="Arial"/>
          <w:noProof/>
          <w:sz w:val="16"/>
          <w:szCs w:val="24"/>
          <w:lang w:val="de-DE"/>
        </w:rPr>
        <w:t>27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. bis </w:t>
      </w:r>
      <w:r w:rsidR="008F2597">
        <w:rPr>
          <w:rFonts w:ascii="Arial" w:hAnsi="Arial"/>
          <w:noProof/>
          <w:sz w:val="16"/>
          <w:szCs w:val="24"/>
          <w:lang w:val="de-DE"/>
        </w:rPr>
        <w:t>31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. </w:t>
      </w:r>
      <w:r w:rsidR="008F2597">
        <w:rPr>
          <w:rFonts w:ascii="Arial" w:hAnsi="Arial"/>
          <w:noProof/>
          <w:sz w:val="16"/>
          <w:szCs w:val="24"/>
          <w:lang w:val="de-DE"/>
        </w:rPr>
        <w:t>Januar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 20</w:t>
      </w:r>
      <w:r w:rsidR="008F2597">
        <w:rPr>
          <w:rFonts w:ascii="Arial" w:hAnsi="Arial"/>
          <w:noProof/>
          <w:sz w:val="16"/>
          <w:szCs w:val="24"/>
          <w:lang w:val="de-DE"/>
        </w:rPr>
        <w:t>20</w:t>
      </w:r>
      <w:r w:rsidR="00EE1D86"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14:paraId="7FF2D35F" w14:textId="3AA9B7FF"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273EA1">
        <w:rPr>
          <w:rFonts w:ascii="Arial" w:hAnsi="Arial" w:cs="Arial"/>
          <w:snapToGrid/>
          <w:sz w:val="16"/>
          <w:szCs w:val="16"/>
          <w:lang w:val="de-DE" w:eastAsia="en-US"/>
        </w:rPr>
        <w:t>4 c)</w:t>
      </w: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14:paraId="2949B1DE" w14:textId="0E880C1C" w:rsidR="009F0D42" w:rsidRPr="00453575" w:rsidRDefault="00273EA1" w:rsidP="00273EA1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3969"/>
        <w:jc w:val="both"/>
        <w:textAlignment w:val="baseline"/>
        <w:rPr>
          <w:rFonts w:ascii="Arial" w:hAnsi="Arial"/>
          <w:snapToGrid/>
          <w:color w:val="000000"/>
          <w:sz w:val="22"/>
          <w:lang w:val="de-DE"/>
        </w:rPr>
      </w:pPr>
      <w:r w:rsidRPr="00273EA1">
        <w:rPr>
          <w:rFonts w:ascii="Arial" w:hAnsi="Arial" w:cs="Arial"/>
          <w:b/>
          <w:snapToGrid/>
          <w:sz w:val="16"/>
          <w:szCs w:val="16"/>
          <w:lang w:val="de-DE"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14:paraId="512C6383" w14:textId="77777777" w:rsidR="008E1A7D" w:rsidRDefault="008E1A7D" w:rsidP="00E472A8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8"/>
          <w:lang w:val="de-DE"/>
        </w:rPr>
      </w:pPr>
    </w:p>
    <w:p w14:paraId="0B3947E6" w14:textId="632658E0" w:rsidR="00E472A8" w:rsidRPr="00E472A8" w:rsidRDefault="009F0D42" w:rsidP="00E472A8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8"/>
          <w:lang w:val="de-DE"/>
        </w:rPr>
      </w:pPr>
      <w:r w:rsidRPr="00E472A8">
        <w:rPr>
          <w:b/>
          <w:snapToGrid/>
          <w:sz w:val="28"/>
          <w:lang w:val="de-DE"/>
        </w:rPr>
        <w:tab/>
      </w:r>
      <w:r w:rsidR="00E472A8" w:rsidRPr="00E472A8">
        <w:rPr>
          <w:b/>
          <w:snapToGrid/>
          <w:sz w:val="28"/>
          <w:lang w:val="de-DE"/>
        </w:rPr>
        <w:tab/>
      </w:r>
      <w:r w:rsidR="00DF73B7">
        <w:rPr>
          <w:b/>
          <w:snapToGrid/>
          <w:sz w:val="28"/>
          <w:lang w:val="de-DE"/>
        </w:rPr>
        <w:t>Absatz</w:t>
      </w:r>
      <w:r w:rsidR="00E472A8" w:rsidRPr="00E472A8">
        <w:rPr>
          <w:b/>
          <w:snapToGrid/>
          <w:sz w:val="28"/>
          <w:lang w:val="de-DE"/>
        </w:rPr>
        <w:t xml:space="preserve"> </w:t>
      </w:r>
      <w:r w:rsidR="00DF73B7">
        <w:rPr>
          <w:b/>
          <w:snapToGrid/>
          <w:sz w:val="28"/>
          <w:lang w:val="de-DE"/>
        </w:rPr>
        <w:t>1.6.</w:t>
      </w:r>
      <w:r w:rsidR="003A18B8">
        <w:rPr>
          <w:b/>
          <w:snapToGrid/>
          <w:sz w:val="28"/>
          <w:lang w:val="de-DE"/>
        </w:rPr>
        <w:t>7.</w:t>
      </w:r>
      <w:r w:rsidR="00203AB3">
        <w:rPr>
          <w:b/>
          <w:snapToGrid/>
          <w:sz w:val="28"/>
          <w:lang w:val="de-DE"/>
        </w:rPr>
        <w:t>2</w:t>
      </w:r>
      <w:r w:rsidR="003A18B8">
        <w:rPr>
          <w:b/>
          <w:snapToGrid/>
          <w:sz w:val="28"/>
          <w:lang w:val="de-DE"/>
        </w:rPr>
        <w:t>.2</w:t>
      </w:r>
      <w:r w:rsidR="00203AB3">
        <w:rPr>
          <w:b/>
          <w:snapToGrid/>
          <w:sz w:val="28"/>
          <w:lang w:val="de-DE"/>
        </w:rPr>
        <w:t>.1</w:t>
      </w:r>
      <w:r w:rsidR="003A18B8">
        <w:rPr>
          <w:b/>
          <w:snapToGrid/>
          <w:sz w:val="28"/>
          <w:lang w:val="de-DE"/>
        </w:rPr>
        <w:t xml:space="preserve"> </w:t>
      </w:r>
      <w:r w:rsidR="005D1225">
        <w:rPr>
          <w:b/>
          <w:snapToGrid/>
          <w:sz w:val="28"/>
          <w:lang w:val="de-DE"/>
        </w:rPr>
        <w:t>im Vergleich mit</w:t>
      </w:r>
      <w:r w:rsidR="00203AB3">
        <w:rPr>
          <w:b/>
          <w:snapToGrid/>
          <w:sz w:val="28"/>
          <w:lang w:val="de-DE"/>
        </w:rPr>
        <w:t xml:space="preserve"> 1.6.7.2.2.2</w:t>
      </w:r>
      <w:r w:rsidR="005D1225">
        <w:rPr>
          <w:b/>
          <w:snapToGrid/>
          <w:sz w:val="28"/>
          <w:lang w:val="de-DE"/>
        </w:rPr>
        <w:br/>
        <w:t xml:space="preserve">und </w:t>
      </w:r>
      <w:r w:rsidR="00203AB3">
        <w:rPr>
          <w:b/>
          <w:snapToGrid/>
          <w:sz w:val="28"/>
          <w:lang w:val="de-DE"/>
        </w:rPr>
        <w:t>Absatz 9.3.3.8.1</w:t>
      </w:r>
      <w:r w:rsidR="003A18B8">
        <w:rPr>
          <w:b/>
          <w:snapToGrid/>
          <w:sz w:val="28"/>
          <w:lang w:val="de-DE"/>
        </w:rPr>
        <w:t xml:space="preserve"> ADN</w:t>
      </w:r>
      <w:r w:rsidR="00E472A8" w:rsidRPr="00E472A8">
        <w:rPr>
          <w:b/>
          <w:snapToGrid/>
          <w:sz w:val="28"/>
          <w:lang w:val="de-DE"/>
        </w:rPr>
        <w:t xml:space="preserve"> </w:t>
      </w:r>
      <w:r w:rsidR="003A18B8">
        <w:rPr>
          <w:b/>
          <w:snapToGrid/>
          <w:sz w:val="28"/>
          <w:lang w:val="de-DE"/>
        </w:rPr>
        <w:t>–</w:t>
      </w:r>
      <w:r w:rsidR="00E472A8">
        <w:rPr>
          <w:b/>
          <w:snapToGrid/>
          <w:sz w:val="28"/>
          <w:lang w:val="de-DE"/>
        </w:rPr>
        <w:t xml:space="preserve"> </w:t>
      </w:r>
      <w:r w:rsidR="00203AB3">
        <w:rPr>
          <w:b/>
          <w:snapToGrid/>
          <w:sz w:val="28"/>
          <w:lang w:val="de-DE"/>
        </w:rPr>
        <w:t>Laufende Klasse</w:t>
      </w:r>
    </w:p>
    <w:p w14:paraId="0DA53BFD" w14:textId="37528F37" w:rsidR="00273EA1" w:rsidRPr="00273EA1" w:rsidRDefault="009F0D42" w:rsidP="00AA601A">
      <w:pPr>
        <w:spacing w:after="120"/>
        <w:ind w:left="1134" w:right="567"/>
        <w:rPr>
          <w:b/>
          <w:vertAlign w:val="superscript"/>
          <w:lang w:val="de-DE"/>
        </w:rPr>
      </w:pPr>
      <w:r w:rsidRPr="002D550A">
        <w:rPr>
          <w:b/>
          <w:snapToGrid/>
          <w:sz w:val="24"/>
          <w:lang w:val="de-DE"/>
        </w:rPr>
        <w:tab/>
      </w:r>
      <w:r w:rsidR="00EE1D86" w:rsidRPr="00DA3278">
        <w:rPr>
          <w:b/>
          <w:snapToGrid/>
          <w:sz w:val="24"/>
          <w:lang w:val="de-DE"/>
        </w:rPr>
        <w:t>Vorgelegt von Deutschland</w:t>
      </w:r>
      <w:r w:rsidR="00273EA1" w:rsidRPr="00273EA1">
        <w:rPr>
          <w:bCs/>
          <w:snapToGrid/>
          <w:vertAlign w:val="superscript"/>
          <w:lang w:val="de-DE" w:eastAsia="en-US"/>
        </w:rPr>
        <w:footnoteReference w:customMarkFollows="1" w:id="2"/>
        <w:t>*,</w:t>
      </w:r>
      <w:r w:rsidR="00273EA1" w:rsidRPr="00273EA1">
        <w:rPr>
          <w:bCs/>
          <w:snapToGrid/>
          <w:vertAlign w:val="superscript"/>
          <w:lang w:val="de-DE" w:eastAsia="en-US"/>
        </w:rPr>
        <w:footnoteReference w:customMarkFollows="1" w:id="3"/>
        <w:t>**</w:t>
      </w:r>
    </w:p>
    <w:p w14:paraId="3FB42CBA" w14:textId="77777777" w:rsidR="00EA6913" w:rsidRPr="00DA3278" w:rsidRDefault="00EA6913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14:paraId="7E24BE79" w14:textId="51CC1BB7" w:rsidR="00FD5786" w:rsidRPr="00852F91" w:rsidRDefault="00FD5786" w:rsidP="00DC7824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right="567"/>
        <w:jc w:val="both"/>
        <w:textAlignment w:val="baseline"/>
        <w:rPr>
          <w:b/>
          <w:bCs/>
          <w:snapToGrid/>
          <w:sz w:val="24"/>
          <w:szCs w:val="24"/>
          <w:lang w:val="de-DE"/>
        </w:rPr>
      </w:pPr>
      <w:r w:rsidRPr="00852F91">
        <w:rPr>
          <w:b/>
          <w:bCs/>
          <w:snapToGrid/>
          <w:sz w:val="24"/>
          <w:szCs w:val="24"/>
          <w:lang w:val="de-DE"/>
        </w:rPr>
        <w:t>Einleitung</w:t>
      </w:r>
    </w:p>
    <w:p w14:paraId="62AC1F2B" w14:textId="77777777" w:rsid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14:paraId="00348E2A" w14:textId="77777777" w:rsidR="000E7AA3" w:rsidRPr="00BA2C43" w:rsidRDefault="000E7AA3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 w:rsidRPr="00BA2C43">
        <w:rPr>
          <w:bCs/>
          <w:snapToGrid/>
          <w:lang w:val="de-DE"/>
        </w:rPr>
        <w:t>1.</w:t>
      </w:r>
      <w:r w:rsidRPr="00BA2C43">
        <w:rPr>
          <w:bCs/>
          <w:snapToGrid/>
          <w:lang w:val="de-DE"/>
        </w:rPr>
        <w:tab/>
      </w:r>
      <w:r w:rsidR="003A18B8">
        <w:rPr>
          <w:bCs/>
          <w:snapToGrid/>
          <w:lang w:val="de-DE"/>
        </w:rPr>
        <w:t>Ein in Betrieb befindliches Schiff kann Übergangsvorschriften nach Abschnitt 1.6.7 ADN in Anspruch nehmen.</w:t>
      </w:r>
    </w:p>
    <w:p w14:paraId="7B3E970E" w14:textId="77777777" w:rsidR="000E7AA3" w:rsidRPr="00BA2C43" w:rsidRDefault="000E7AA3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2B35DDF6" w14:textId="77777777" w:rsidR="00CD4433" w:rsidRDefault="000E7AA3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 w:rsidRPr="00BA2C43">
        <w:rPr>
          <w:bCs/>
          <w:snapToGrid/>
          <w:lang w:val="de-DE"/>
        </w:rPr>
        <w:t>2.</w:t>
      </w:r>
      <w:r w:rsidRPr="00BA2C43">
        <w:rPr>
          <w:bCs/>
          <w:snapToGrid/>
          <w:lang w:val="de-DE"/>
        </w:rPr>
        <w:tab/>
      </w:r>
      <w:r w:rsidR="00CD4433">
        <w:rPr>
          <w:bCs/>
          <w:snapToGrid/>
          <w:lang w:val="de-DE"/>
        </w:rPr>
        <w:t xml:space="preserve">Nach </w:t>
      </w:r>
      <w:r w:rsidR="00DD1B54">
        <w:rPr>
          <w:bCs/>
          <w:snapToGrid/>
          <w:lang w:val="de-DE"/>
        </w:rPr>
        <w:t xml:space="preserve">Absatz </w:t>
      </w:r>
      <w:r w:rsidR="00CD4433">
        <w:rPr>
          <w:bCs/>
          <w:snapToGrid/>
          <w:lang w:val="de-DE"/>
        </w:rPr>
        <w:t xml:space="preserve">1.6.7.2.2.2 </w:t>
      </w:r>
      <w:r w:rsidR="00DD1B54">
        <w:rPr>
          <w:bCs/>
          <w:snapToGrid/>
          <w:lang w:val="de-DE"/>
        </w:rPr>
        <w:t xml:space="preserve">ADN </w:t>
      </w:r>
      <w:r w:rsidR="00CD4433">
        <w:rPr>
          <w:bCs/>
          <w:snapToGrid/>
          <w:lang w:val="de-DE"/>
        </w:rPr>
        <w:t>Tabelle der allgemeinen Übergangsvorschriften: Tankschiffe</w:t>
      </w:r>
      <w:r w:rsidR="00DD1B54">
        <w:rPr>
          <w:bCs/>
          <w:snapToGrid/>
          <w:lang w:val="de-DE"/>
        </w:rPr>
        <w:t>, Übergangsvorschrift zu</w:t>
      </w:r>
      <w:r w:rsidR="00CD4433">
        <w:rPr>
          <w:bCs/>
          <w:snapToGrid/>
          <w:lang w:val="de-DE"/>
        </w:rPr>
        <w:t xml:space="preserve"> Absatz 9.3.3.8.1</w:t>
      </w:r>
      <w:r w:rsidR="00DD1B54">
        <w:rPr>
          <w:bCs/>
          <w:snapToGrid/>
          <w:lang w:val="de-DE"/>
        </w:rPr>
        <w:t>,</w:t>
      </w:r>
      <w:r w:rsidR="00CD4433">
        <w:rPr>
          <w:bCs/>
          <w:snapToGrid/>
          <w:lang w:val="de-DE"/>
        </w:rPr>
        <w:t xml:space="preserve"> Laufende Klasse, müssen </w:t>
      </w:r>
      <w:r w:rsidR="008F2597">
        <w:rPr>
          <w:bCs/>
          <w:snapToGrid/>
          <w:lang w:val="de-DE"/>
        </w:rPr>
        <w:t xml:space="preserve">in Betrieb befindliche </w:t>
      </w:r>
      <w:r w:rsidR="00CD4433">
        <w:rPr>
          <w:bCs/>
          <w:snapToGrid/>
          <w:lang w:val="de-DE"/>
        </w:rPr>
        <w:t>Schiffe des Typs N offen mit Flammendurchschlagsicheru</w:t>
      </w:r>
      <w:r w:rsidR="00DD1B54">
        <w:rPr>
          <w:bCs/>
          <w:snapToGrid/>
          <w:lang w:val="de-DE"/>
        </w:rPr>
        <w:t>ng und Schiffs des Typs N offen</w:t>
      </w:r>
      <w:r w:rsidR="00CD4433">
        <w:rPr>
          <w:bCs/>
          <w:snapToGrid/>
          <w:lang w:val="de-DE"/>
        </w:rPr>
        <w:t xml:space="preserve"> die Forderung nach </w:t>
      </w:r>
      <w:r w:rsidR="008F2597">
        <w:rPr>
          <w:bCs/>
          <w:snapToGrid/>
          <w:lang w:val="de-DE"/>
        </w:rPr>
        <w:t>Laufender</w:t>
      </w:r>
      <w:r w:rsidR="00CD4433">
        <w:rPr>
          <w:bCs/>
          <w:snapToGrid/>
          <w:lang w:val="de-DE"/>
        </w:rPr>
        <w:t xml:space="preserve"> Klasse erst mit Erneuerung des Zulassungszeugnisses nach dem 31. Dezember 2044 erfüllen.</w:t>
      </w:r>
    </w:p>
    <w:p w14:paraId="4C91018E" w14:textId="77777777" w:rsidR="00CD4433" w:rsidRDefault="00CD4433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71F58098" w14:textId="77777777" w:rsidR="00D02284" w:rsidRDefault="00CD4433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 w:rsidRPr="006E0871">
        <w:rPr>
          <w:bCs/>
          <w:snapToGrid/>
          <w:lang w:val="de-DE"/>
        </w:rPr>
        <w:t>3.</w:t>
      </w:r>
      <w:r w:rsidRPr="006E0871">
        <w:rPr>
          <w:bCs/>
          <w:snapToGrid/>
          <w:lang w:val="de-DE"/>
        </w:rPr>
        <w:tab/>
        <w:t xml:space="preserve">Absatz 9.3.3.8.1 </w:t>
      </w:r>
      <w:r w:rsidR="00F224EF" w:rsidRPr="006E0871">
        <w:rPr>
          <w:bCs/>
          <w:snapToGrid/>
          <w:lang w:val="de-DE"/>
        </w:rPr>
        <w:t>hatte</w:t>
      </w:r>
      <w:r w:rsidR="00962600" w:rsidRPr="006E0871">
        <w:rPr>
          <w:bCs/>
          <w:snapToGrid/>
          <w:lang w:val="de-DE"/>
        </w:rPr>
        <w:t xml:space="preserve"> mit Wirkung vom 1. Januar </w:t>
      </w:r>
      <w:r w:rsidR="006355CB" w:rsidRPr="006E0871">
        <w:rPr>
          <w:bCs/>
          <w:snapToGrid/>
          <w:lang w:val="de-DE"/>
        </w:rPr>
        <w:t>2003</w:t>
      </w:r>
      <w:r w:rsidR="00F224EF" w:rsidRPr="006E0871">
        <w:rPr>
          <w:bCs/>
          <w:snapToGrid/>
          <w:lang w:val="de-DE"/>
        </w:rPr>
        <w:t xml:space="preserve"> seit der Umstellung des</w:t>
      </w:r>
      <w:r w:rsidR="00962600" w:rsidRPr="006E0871">
        <w:rPr>
          <w:bCs/>
          <w:snapToGrid/>
          <w:lang w:val="de-DE"/>
        </w:rPr>
        <w:t xml:space="preserve"> ADNR </w:t>
      </w:r>
      <w:r w:rsidR="00534BCF" w:rsidRPr="006E0871">
        <w:rPr>
          <w:bCs/>
          <w:snapToGrid/>
          <w:lang w:val="de-DE"/>
        </w:rPr>
        <w:t>vo</w:t>
      </w:r>
      <w:r w:rsidR="00F224EF" w:rsidRPr="006E0871">
        <w:rPr>
          <w:bCs/>
          <w:snapToGrid/>
          <w:lang w:val="de-DE"/>
        </w:rPr>
        <w:t xml:space="preserve">n Randnummern auf </w:t>
      </w:r>
      <w:r w:rsidR="00534BCF" w:rsidRPr="006E0871">
        <w:rPr>
          <w:bCs/>
          <w:snapToGrid/>
          <w:lang w:val="de-DE"/>
        </w:rPr>
        <w:t>die dem ADN entsprechende Gliederung folgenden Wortlaut</w:t>
      </w:r>
      <w:r w:rsidR="006355CB" w:rsidRPr="006E0871">
        <w:rPr>
          <w:bCs/>
          <w:snapToGrid/>
          <w:lang w:val="de-DE"/>
        </w:rPr>
        <w:t>, der auch in das ADN 2009 aufgenommen wurde</w:t>
      </w:r>
      <w:r w:rsidR="00D02284" w:rsidRPr="006E0871">
        <w:rPr>
          <w:bCs/>
          <w:snapToGrid/>
          <w:lang w:val="de-DE"/>
        </w:rPr>
        <w:t>:</w:t>
      </w:r>
    </w:p>
    <w:p w14:paraId="72534984" w14:textId="77777777" w:rsidR="00D02284" w:rsidRDefault="00D0228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0038485D" w14:textId="77777777" w:rsidR="00D02284" w:rsidRPr="00D02284" w:rsidRDefault="00687118" w:rsidP="00D02284">
      <w:pPr>
        <w:widowControl w:val="0"/>
        <w:suppressAutoHyphens w:val="0"/>
        <w:overflowPunct w:val="0"/>
        <w:autoSpaceDE w:val="0"/>
        <w:autoSpaceDN w:val="0"/>
        <w:adjustRightInd w:val="0"/>
        <w:ind w:left="1134" w:right="567" w:hanging="1134"/>
        <w:jc w:val="both"/>
        <w:textAlignment w:val="baseline"/>
        <w:rPr>
          <w:bCs/>
          <w:snapToGrid/>
          <w:lang w:val="de-DE"/>
        </w:rPr>
      </w:pPr>
      <w:r>
        <w:rPr>
          <w:b/>
          <w:bCs/>
          <w:snapToGrid/>
          <w:lang w:val="de-DE"/>
        </w:rPr>
        <w:t>„</w:t>
      </w:r>
      <w:r w:rsidR="00D02284" w:rsidRPr="00D02284">
        <w:rPr>
          <w:b/>
          <w:bCs/>
          <w:snapToGrid/>
          <w:lang w:val="de-DE"/>
        </w:rPr>
        <w:t>9.3.3.8.1</w:t>
      </w:r>
      <w:r w:rsidR="00D02284" w:rsidRPr="00D02284">
        <w:rPr>
          <w:bCs/>
          <w:snapToGrid/>
          <w:lang w:val="de-DE"/>
        </w:rPr>
        <w:tab/>
        <w:t>Das Tankschiff muss unter Aufsicht einer anerkannten Klassifikationsgesellschaft für deren höchste Klasse gebaut und in ihre höchste Klasse eingestuft sein.</w:t>
      </w:r>
    </w:p>
    <w:p w14:paraId="0A3CD18F" w14:textId="77777777" w:rsidR="00D02284" w:rsidRDefault="00D02284" w:rsidP="00D02284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 w:firstLine="567"/>
        <w:jc w:val="both"/>
        <w:textAlignment w:val="baseline"/>
        <w:rPr>
          <w:bCs/>
          <w:snapToGrid/>
          <w:lang w:val="de-DE"/>
        </w:rPr>
      </w:pPr>
    </w:p>
    <w:p w14:paraId="5A401026" w14:textId="77777777" w:rsidR="00D02284" w:rsidRPr="00D02284" w:rsidRDefault="00D02284" w:rsidP="00D02284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 w:firstLine="567"/>
        <w:jc w:val="both"/>
        <w:textAlignment w:val="baseline"/>
        <w:rPr>
          <w:bCs/>
          <w:snapToGrid/>
          <w:lang w:val="de-DE"/>
        </w:rPr>
      </w:pPr>
      <w:r w:rsidRPr="00D02284">
        <w:rPr>
          <w:bCs/>
          <w:snapToGrid/>
          <w:lang w:val="de-DE"/>
        </w:rPr>
        <w:t>Die höchste Klasse muss aufrechterhalten werden.</w:t>
      </w:r>
      <w:r w:rsidR="00687118">
        <w:rPr>
          <w:bCs/>
          <w:snapToGrid/>
          <w:lang w:val="de-DE"/>
        </w:rPr>
        <w:t>“</w:t>
      </w:r>
    </w:p>
    <w:p w14:paraId="66B868AB" w14:textId="77777777" w:rsidR="00D02284" w:rsidRDefault="00D0228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2BAA97D2" w14:textId="77777777" w:rsidR="00D45AF8" w:rsidRDefault="00D45AF8">
      <w:pPr>
        <w:suppressAutoHyphens w:val="0"/>
        <w:spacing w:line="240" w:lineRule="auto"/>
        <w:rPr>
          <w:bCs/>
          <w:snapToGrid/>
          <w:lang w:val="de-DE"/>
        </w:rPr>
      </w:pPr>
      <w:r>
        <w:rPr>
          <w:bCs/>
          <w:snapToGrid/>
          <w:lang w:val="de-DE"/>
        </w:rPr>
        <w:br w:type="page"/>
      </w:r>
    </w:p>
    <w:p w14:paraId="4B946819" w14:textId="38F860E9" w:rsidR="00D02284" w:rsidRDefault="00D0228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lastRenderedPageBreak/>
        <w:t>4.</w:t>
      </w:r>
      <w:r>
        <w:rPr>
          <w:bCs/>
          <w:snapToGrid/>
          <w:lang w:val="de-DE"/>
        </w:rPr>
        <w:tab/>
        <w:t>Zum 1. Januar 20</w:t>
      </w:r>
      <w:r w:rsidR="00687118">
        <w:rPr>
          <w:bCs/>
          <w:snapToGrid/>
          <w:lang w:val="de-DE"/>
        </w:rPr>
        <w:t>15</w:t>
      </w:r>
      <w:r w:rsidR="006355CB">
        <w:rPr>
          <w:bCs/>
          <w:snapToGrid/>
          <w:lang w:val="de-DE"/>
        </w:rPr>
        <w:t xml:space="preserve"> </w:t>
      </w:r>
      <w:r>
        <w:rPr>
          <w:bCs/>
          <w:snapToGrid/>
          <w:lang w:val="de-DE"/>
        </w:rPr>
        <w:t xml:space="preserve">wurde </w:t>
      </w:r>
      <w:r w:rsidR="006355CB">
        <w:rPr>
          <w:bCs/>
          <w:snapToGrid/>
          <w:lang w:val="de-DE"/>
        </w:rPr>
        <w:t xml:space="preserve">im dann ausschließlich anwendbaren ADN </w:t>
      </w:r>
      <w:r>
        <w:rPr>
          <w:bCs/>
          <w:snapToGrid/>
          <w:lang w:val="de-DE"/>
        </w:rPr>
        <w:t>folgender Satz angefügt:</w:t>
      </w:r>
    </w:p>
    <w:p w14:paraId="176A6A37" w14:textId="77777777" w:rsidR="00D02284" w:rsidRDefault="00D0228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68797F5E" w14:textId="3F76D768" w:rsidR="00D02284" w:rsidRPr="00D02284" w:rsidRDefault="00687118" w:rsidP="00D02284">
      <w:pPr>
        <w:widowControl w:val="0"/>
        <w:suppressAutoHyphens w:val="0"/>
        <w:overflowPunct w:val="0"/>
        <w:autoSpaceDE w:val="0"/>
        <w:autoSpaceDN w:val="0"/>
        <w:adjustRightInd w:val="0"/>
        <w:ind w:left="1134"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„</w:t>
      </w:r>
      <w:r w:rsidR="00D02284" w:rsidRPr="00D02284">
        <w:rPr>
          <w:bCs/>
          <w:snapToGrid/>
          <w:lang w:val="de-DE"/>
        </w:rPr>
        <w:t>Dies muss durch eine entsprechende Bescheinigung der anerkannten Klassifikationsgesellschaft (Klassifikationszeugnis) bestätigt sein.</w:t>
      </w:r>
      <w:r>
        <w:rPr>
          <w:bCs/>
          <w:snapToGrid/>
          <w:lang w:val="de-DE"/>
        </w:rPr>
        <w:t>“</w:t>
      </w:r>
      <w:r w:rsidR="00DC7824">
        <w:rPr>
          <w:bCs/>
          <w:snapToGrid/>
          <w:lang w:val="de-DE"/>
        </w:rPr>
        <w:t>.</w:t>
      </w:r>
    </w:p>
    <w:p w14:paraId="0BF82346" w14:textId="4A8F3093" w:rsidR="00571D01" w:rsidRDefault="00571D01">
      <w:pPr>
        <w:suppressAutoHyphens w:val="0"/>
        <w:spacing w:line="240" w:lineRule="auto"/>
        <w:rPr>
          <w:bCs/>
          <w:snapToGrid/>
          <w:lang w:val="de-DE"/>
        </w:rPr>
      </w:pPr>
    </w:p>
    <w:p w14:paraId="7274595A" w14:textId="550DC2D4" w:rsidR="00962600" w:rsidRDefault="00687118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5.</w:t>
      </w:r>
      <w:r>
        <w:rPr>
          <w:bCs/>
          <w:snapToGrid/>
          <w:lang w:val="de-DE"/>
        </w:rPr>
        <w:tab/>
      </w:r>
      <w:r w:rsidR="00962600">
        <w:rPr>
          <w:bCs/>
          <w:snapToGrid/>
          <w:lang w:val="de-DE"/>
        </w:rPr>
        <w:t>Die Übergangsvorschrift in 1.6.7.2.</w:t>
      </w:r>
      <w:r w:rsidR="00A64AEE">
        <w:rPr>
          <w:bCs/>
          <w:snapToGrid/>
          <w:lang w:val="de-DE"/>
        </w:rPr>
        <w:t>1</w:t>
      </w:r>
      <w:r w:rsidR="00962600">
        <w:rPr>
          <w:bCs/>
          <w:snapToGrid/>
          <w:lang w:val="de-DE"/>
        </w:rPr>
        <w:t xml:space="preserve"> ADNR (Stand 200</w:t>
      </w:r>
      <w:r w:rsidR="00137881">
        <w:rPr>
          <w:bCs/>
          <w:snapToGrid/>
          <w:lang w:val="de-DE"/>
        </w:rPr>
        <w:t>3</w:t>
      </w:r>
      <w:r w:rsidR="00962600">
        <w:rPr>
          <w:bCs/>
          <w:snapToGrid/>
          <w:lang w:val="de-DE"/>
        </w:rPr>
        <w:t>) lautete wie folgt:</w:t>
      </w:r>
    </w:p>
    <w:p w14:paraId="7494B51F" w14:textId="77777777" w:rsidR="00A769E3" w:rsidRDefault="00A769E3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3260"/>
        <w:gridCol w:w="5108"/>
      </w:tblGrid>
      <w:tr w:rsidR="00326926" w:rsidRPr="00191751" w14:paraId="52816002" w14:textId="77777777" w:rsidTr="00326926">
        <w:tc>
          <w:tcPr>
            <w:tcW w:w="1281" w:type="dxa"/>
          </w:tcPr>
          <w:p w14:paraId="07F567F7" w14:textId="77777777" w:rsidR="00A769E3" w:rsidRDefault="00A769E3" w:rsidP="008F25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7" w:right="142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9.3.3.8.1 in Verbindung mit 7.2.2.8</w:t>
            </w:r>
          </w:p>
        </w:tc>
        <w:tc>
          <w:tcPr>
            <w:tcW w:w="3260" w:type="dxa"/>
          </w:tcPr>
          <w:p w14:paraId="6CA23263" w14:textId="77777777" w:rsidR="00A769E3" w:rsidRDefault="00687118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1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Laufende Klasse</w:t>
            </w:r>
          </w:p>
          <w:p w14:paraId="257400FE" w14:textId="77777777" w:rsidR="00A769E3" w:rsidRDefault="00A769E3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1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Typ N offen mit Flammendurchschlagsicher</w:t>
            </w:r>
            <w:r w:rsidR="00326926">
              <w:rPr>
                <w:bCs/>
                <w:lang w:val="de-DE"/>
              </w:rPr>
              <w:t>ungen</w:t>
            </w:r>
          </w:p>
          <w:p w14:paraId="6E56E205" w14:textId="77777777" w:rsidR="00A769E3" w:rsidRDefault="00A769E3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1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Typ N offen</w:t>
            </w:r>
          </w:p>
        </w:tc>
        <w:tc>
          <w:tcPr>
            <w:tcW w:w="5108" w:type="dxa"/>
          </w:tcPr>
          <w:p w14:paraId="1629BA2D" w14:textId="77777777" w:rsidR="00A769E3" w:rsidRDefault="00A769E3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N.E.U. ab 01.01.1995</w:t>
            </w:r>
          </w:p>
          <w:p w14:paraId="59D81A9A" w14:textId="77777777" w:rsidR="00A769E3" w:rsidRDefault="00A769E3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An Bord von in Betrieb befindlichen Schiffen müssen </w:t>
            </w:r>
            <w:r w:rsidR="00385327">
              <w:rPr>
                <w:bCs/>
                <w:lang w:val="de-DE"/>
              </w:rPr>
              <w:t>folgende Vorschriften eingehalten werden: Sofern nicht etwas anderes vorgeschrieben ist</w:t>
            </w:r>
            <w:r w:rsidR="00AB6415">
              <w:rPr>
                <w:bCs/>
                <w:lang w:val="de-DE"/>
              </w:rPr>
              <w:t>,</w:t>
            </w:r>
            <w:r w:rsidR="00385327">
              <w:rPr>
                <w:bCs/>
                <w:lang w:val="de-DE"/>
              </w:rPr>
              <w:t xml:space="preserve"> müssen </w:t>
            </w:r>
            <w:r>
              <w:rPr>
                <w:bCs/>
                <w:lang w:val="de-DE"/>
              </w:rPr>
              <w:t>Bauart, Festigkeit, Raumeinteilung, Einrichtung und Ausrüstung des Schiffes den Bauvorschriften einer anerkannten Klassifikationsgesellschaft für die höchste Klasse entsprechen oder ihnen gleichwertig sein.</w:t>
            </w:r>
          </w:p>
        </w:tc>
      </w:tr>
    </w:tbl>
    <w:p w14:paraId="484D134E" w14:textId="77777777" w:rsidR="001C2B65" w:rsidRDefault="001C2B65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4FEA645D" w14:textId="131FA772" w:rsidR="00962600" w:rsidRDefault="00612B4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6</w:t>
      </w:r>
      <w:r w:rsidR="005103F9">
        <w:rPr>
          <w:bCs/>
          <w:snapToGrid/>
          <w:lang w:val="de-DE"/>
        </w:rPr>
        <w:t>.</w:t>
      </w:r>
      <w:r w:rsidR="00ED5788">
        <w:rPr>
          <w:bCs/>
          <w:snapToGrid/>
          <w:lang w:val="de-DE"/>
        </w:rPr>
        <w:tab/>
      </w:r>
      <w:r w:rsidR="005103F9">
        <w:rPr>
          <w:bCs/>
          <w:snapToGrid/>
          <w:lang w:val="de-DE"/>
        </w:rPr>
        <w:t>In die erste Ausgabe der dem ADN beigefügten Verordnung (2009) wurde folgende Übergang</w:t>
      </w:r>
      <w:r w:rsidR="00086DEC">
        <w:rPr>
          <w:bCs/>
          <w:snapToGrid/>
          <w:lang w:val="de-DE"/>
        </w:rPr>
        <w:t>s</w:t>
      </w:r>
      <w:r w:rsidR="005103F9">
        <w:rPr>
          <w:bCs/>
          <w:snapToGrid/>
          <w:lang w:val="de-DE"/>
        </w:rPr>
        <w:t>vorschrift aufgenommen:</w:t>
      </w:r>
    </w:p>
    <w:p w14:paraId="6E191322" w14:textId="77777777" w:rsidR="005103F9" w:rsidRDefault="005103F9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3260"/>
        <w:gridCol w:w="5108"/>
      </w:tblGrid>
      <w:tr w:rsidR="005103F9" w:rsidRPr="00191751" w14:paraId="165DF030" w14:textId="77777777" w:rsidTr="00326926">
        <w:tc>
          <w:tcPr>
            <w:tcW w:w="1281" w:type="dxa"/>
          </w:tcPr>
          <w:p w14:paraId="52FFE6E7" w14:textId="77777777" w:rsidR="005103F9" w:rsidRDefault="005103F9" w:rsidP="00634E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7" w:right="142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9.3.3.8.1 </w:t>
            </w:r>
          </w:p>
        </w:tc>
        <w:tc>
          <w:tcPr>
            <w:tcW w:w="3260" w:type="dxa"/>
          </w:tcPr>
          <w:p w14:paraId="3E4A06F5" w14:textId="77777777" w:rsidR="005103F9" w:rsidRDefault="005103F9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1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Laufende Klasse </w:t>
            </w:r>
          </w:p>
          <w:p w14:paraId="38F9B314" w14:textId="77777777" w:rsidR="005103F9" w:rsidRDefault="005103F9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1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Typ N offen mit Flammendurchschlagsicher</w:t>
            </w:r>
            <w:r w:rsidR="00326926">
              <w:rPr>
                <w:bCs/>
                <w:lang w:val="de-DE"/>
              </w:rPr>
              <w:t>ung</w:t>
            </w:r>
          </w:p>
          <w:p w14:paraId="5E57EA71" w14:textId="77777777" w:rsidR="005103F9" w:rsidRDefault="005103F9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1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Typ N offen</w:t>
            </w:r>
          </w:p>
        </w:tc>
        <w:tc>
          <w:tcPr>
            <w:tcW w:w="5108" w:type="dxa"/>
          </w:tcPr>
          <w:p w14:paraId="6DC9EBA2" w14:textId="77777777" w:rsidR="005103F9" w:rsidRDefault="005A6450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N.E.U.</w:t>
            </w:r>
          </w:p>
          <w:p w14:paraId="766185FB" w14:textId="77777777" w:rsidR="005103F9" w:rsidRDefault="00385327" w:rsidP="0032692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 Bord von in Betrieb befindlichen Schiffen müssen folgende Vorschriften eingehalten werden: Sofern nicht etwas anderes vorgeschrieben ist</w:t>
            </w:r>
            <w:r w:rsidR="00AB6415">
              <w:rPr>
                <w:bCs/>
                <w:lang w:val="de-DE"/>
              </w:rPr>
              <w:t>,</w:t>
            </w:r>
            <w:r>
              <w:rPr>
                <w:bCs/>
                <w:lang w:val="de-DE"/>
              </w:rPr>
              <w:t xml:space="preserve"> müssen Bauart, Festigkeit, Raumeinteilung, Einrichtung und Ausrüstung des Schiffes den Bauvorschriften einer anerkannten Klassifikationsgesellschaft für die höchste Klasse entsprechen oder ihnen gleichwertig sein.</w:t>
            </w:r>
          </w:p>
        </w:tc>
      </w:tr>
    </w:tbl>
    <w:p w14:paraId="2CD41A9C" w14:textId="77777777" w:rsidR="005A6450" w:rsidRDefault="005A6450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600D9CD9" w14:textId="77CD33FC" w:rsidR="005103F9" w:rsidRDefault="00612B4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7</w:t>
      </w:r>
      <w:r w:rsidR="00385327">
        <w:rPr>
          <w:bCs/>
          <w:snapToGrid/>
          <w:lang w:val="de-DE"/>
        </w:rPr>
        <w:t>.</w:t>
      </w:r>
      <w:r w:rsidR="00ED5788">
        <w:rPr>
          <w:bCs/>
          <w:snapToGrid/>
          <w:lang w:val="de-DE"/>
        </w:rPr>
        <w:tab/>
      </w:r>
      <w:r w:rsidR="00385327">
        <w:rPr>
          <w:bCs/>
          <w:snapToGrid/>
          <w:lang w:val="de-DE"/>
        </w:rPr>
        <w:t>Diese Übergangsvorschrift wurde mit Wirkung vom 1. Januar 2011 (ADN 2011) wie folgt neu gefasst</w:t>
      </w:r>
      <w:r w:rsidR="005A6450">
        <w:rPr>
          <w:bCs/>
          <w:snapToGrid/>
          <w:lang w:val="de-DE"/>
        </w:rPr>
        <w:t xml:space="preserve">, in dem das Ende der Übergangsvorschrift auf </w:t>
      </w:r>
      <w:r w:rsidR="00A42809">
        <w:rPr>
          <w:bCs/>
          <w:snapToGrid/>
          <w:lang w:val="de-DE"/>
        </w:rPr>
        <w:t>„Erneuerung des Zulassungszeugnisses nach dem</w:t>
      </w:r>
      <w:r w:rsidR="005A6450">
        <w:rPr>
          <w:bCs/>
          <w:snapToGrid/>
          <w:lang w:val="de-DE"/>
        </w:rPr>
        <w:t xml:space="preserve"> 31.</w:t>
      </w:r>
      <w:r w:rsidR="00634E3E">
        <w:rPr>
          <w:bCs/>
          <w:snapToGrid/>
          <w:lang w:val="de-DE"/>
        </w:rPr>
        <w:t xml:space="preserve"> Dezember 2044</w:t>
      </w:r>
      <w:r w:rsidR="00A42809">
        <w:rPr>
          <w:bCs/>
          <w:snapToGrid/>
          <w:lang w:val="de-DE"/>
        </w:rPr>
        <w:t>“</w:t>
      </w:r>
      <w:r w:rsidR="00634E3E">
        <w:rPr>
          <w:bCs/>
          <w:snapToGrid/>
          <w:lang w:val="de-DE"/>
        </w:rPr>
        <w:t xml:space="preserve"> festgelegt wurde:</w:t>
      </w:r>
    </w:p>
    <w:p w14:paraId="05472A4B" w14:textId="77777777" w:rsidR="00385327" w:rsidRDefault="00385327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3260"/>
        <w:gridCol w:w="5108"/>
      </w:tblGrid>
      <w:tr w:rsidR="00385327" w:rsidRPr="00191751" w14:paraId="20B4EE19" w14:textId="77777777" w:rsidTr="005A6450">
        <w:tc>
          <w:tcPr>
            <w:tcW w:w="1281" w:type="dxa"/>
          </w:tcPr>
          <w:p w14:paraId="162E4395" w14:textId="77777777" w:rsidR="00385327" w:rsidRPr="00326926" w:rsidRDefault="00385327" w:rsidP="00634E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7" w:right="142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9.3.3.8.1 </w:t>
            </w:r>
          </w:p>
        </w:tc>
        <w:tc>
          <w:tcPr>
            <w:tcW w:w="3260" w:type="dxa"/>
          </w:tcPr>
          <w:p w14:paraId="3C770687" w14:textId="1C7571C9" w:rsidR="0064385C" w:rsidRDefault="00D02284" w:rsidP="005A645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567"/>
              <w:jc w:val="both"/>
              <w:textAlignment w:val="baseli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Laufende Klasse</w:t>
            </w:r>
          </w:p>
          <w:p w14:paraId="3D423ED6" w14:textId="77777777" w:rsidR="00385327" w:rsidRPr="00326926" w:rsidRDefault="00385327" w:rsidP="009E472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bCs/>
                <w:lang w:val="de-DE"/>
              </w:rPr>
            </w:pPr>
          </w:p>
        </w:tc>
        <w:tc>
          <w:tcPr>
            <w:tcW w:w="5108" w:type="dxa"/>
          </w:tcPr>
          <w:p w14:paraId="52E62F10" w14:textId="2DAA3266" w:rsidR="002A60DA" w:rsidRPr="002A60DA" w:rsidRDefault="002A60DA" w:rsidP="002A60D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  <w:r w:rsidRPr="002A60DA">
              <w:rPr>
                <w:bCs/>
                <w:lang w:val="de-DE"/>
              </w:rPr>
              <w:t>N.E.U., Erneuerung des Zulassungszeugnisses nach dem</w:t>
            </w:r>
            <w:r w:rsidR="00ED5788">
              <w:rPr>
                <w:bCs/>
                <w:lang w:val="de-DE"/>
              </w:rPr>
              <w:t xml:space="preserve"> </w:t>
            </w:r>
            <w:r w:rsidRPr="002A60DA">
              <w:rPr>
                <w:bCs/>
                <w:lang w:val="de-DE"/>
              </w:rPr>
              <w:t>31. Dezember 2044 für Schiffe des Typs N offen mit</w:t>
            </w:r>
            <w:r w:rsidR="00ED5788">
              <w:rPr>
                <w:bCs/>
                <w:lang w:val="de-DE"/>
              </w:rPr>
              <w:t xml:space="preserve"> </w:t>
            </w:r>
            <w:r w:rsidRPr="002A60DA">
              <w:rPr>
                <w:bCs/>
                <w:lang w:val="de-DE"/>
              </w:rPr>
              <w:t>Flammendurchschlagsicherung und des Typs N offen</w:t>
            </w:r>
          </w:p>
          <w:p w14:paraId="63A86947" w14:textId="77777777" w:rsidR="002A60DA" w:rsidRDefault="002A60DA" w:rsidP="002A60D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</w:p>
          <w:p w14:paraId="4EDBBB48" w14:textId="77777777" w:rsidR="002A60DA" w:rsidRPr="002A60DA" w:rsidRDefault="002A60DA" w:rsidP="002A60D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  <w:r w:rsidRPr="002A60DA">
              <w:rPr>
                <w:bCs/>
                <w:lang w:val="de-DE"/>
              </w:rPr>
              <w:t>An Bord von in Betrieb befindlichen Schiffen müssen bis</w:t>
            </w:r>
            <w:r>
              <w:rPr>
                <w:bCs/>
                <w:lang w:val="de-DE"/>
              </w:rPr>
              <w:t xml:space="preserve"> </w:t>
            </w:r>
            <w:r w:rsidRPr="002A60DA">
              <w:rPr>
                <w:bCs/>
                <w:lang w:val="de-DE"/>
              </w:rPr>
              <w:t>dahin folgende Vorschriften eingehalten werden:</w:t>
            </w:r>
          </w:p>
          <w:p w14:paraId="5EACA7F9" w14:textId="77777777" w:rsidR="00E977C2" w:rsidRPr="00326926" w:rsidRDefault="002A60DA" w:rsidP="00A4280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146"/>
              <w:jc w:val="both"/>
              <w:textAlignment w:val="baseline"/>
              <w:rPr>
                <w:bCs/>
                <w:lang w:val="de-DE"/>
              </w:rPr>
            </w:pPr>
            <w:r w:rsidRPr="002A60DA">
              <w:rPr>
                <w:bCs/>
                <w:lang w:val="de-DE"/>
              </w:rPr>
              <w:t>Sofern nicht etwas anderes vorgeschrieben ist, müssen</w:t>
            </w:r>
            <w:r>
              <w:rPr>
                <w:bCs/>
                <w:lang w:val="de-DE"/>
              </w:rPr>
              <w:t xml:space="preserve"> </w:t>
            </w:r>
            <w:r w:rsidRPr="002A60DA">
              <w:rPr>
                <w:bCs/>
                <w:lang w:val="de-DE"/>
              </w:rPr>
              <w:t>Bauart, Festigkeit, Raumeinteilung, Einrichtung und Ausrüstung</w:t>
            </w:r>
            <w:r>
              <w:rPr>
                <w:bCs/>
                <w:lang w:val="de-DE"/>
              </w:rPr>
              <w:t xml:space="preserve"> </w:t>
            </w:r>
            <w:r w:rsidRPr="002A60DA">
              <w:rPr>
                <w:bCs/>
                <w:lang w:val="de-DE"/>
              </w:rPr>
              <w:t>des Schiffes den Bauvorschriften einer anerkannten</w:t>
            </w:r>
            <w:r>
              <w:rPr>
                <w:bCs/>
                <w:lang w:val="de-DE"/>
              </w:rPr>
              <w:t xml:space="preserve"> </w:t>
            </w:r>
            <w:r w:rsidRPr="002A60DA">
              <w:rPr>
                <w:bCs/>
                <w:lang w:val="de-DE"/>
              </w:rPr>
              <w:t>Klassifikationsgesellschaft für die höchste Klasse entsprechen</w:t>
            </w:r>
            <w:r>
              <w:rPr>
                <w:bCs/>
                <w:lang w:val="de-DE"/>
              </w:rPr>
              <w:t xml:space="preserve"> </w:t>
            </w:r>
            <w:r w:rsidRPr="002A60DA">
              <w:rPr>
                <w:bCs/>
                <w:lang w:val="de-DE"/>
              </w:rPr>
              <w:t>oder ihnen gleichwertig sein.</w:t>
            </w:r>
          </w:p>
        </w:tc>
      </w:tr>
    </w:tbl>
    <w:p w14:paraId="581F0B79" w14:textId="77777777" w:rsidR="00385327" w:rsidRDefault="00385327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3A080B5B" w14:textId="20F19DD7" w:rsidR="00FF3E28" w:rsidRDefault="00612B44" w:rsidP="006E0871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lang w:val="de-DE"/>
        </w:rPr>
      </w:pPr>
      <w:r>
        <w:rPr>
          <w:bCs/>
          <w:snapToGrid/>
          <w:lang w:val="de-DE"/>
        </w:rPr>
        <w:t>8</w:t>
      </w:r>
      <w:r w:rsidR="001C2B65" w:rsidRPr="006E0871">
        <w:rPr>
          <w:bCs/>
          <w:snapToGrid/>
          <w:lang w:val="de-DE"/>
        </w:rPr>
        <w:t>.</w:t>
      </w:r>
      <w:r w:rsidR="001C2B65" w:rsidRPr="006E0871">
        <w:rPr>
          <w:bCs/>
          <w:snapToGrid/>
          <w:lang w:val="de-DE"/>
        </w:rPr>
        <w:tab/>
      </w:r>
      <w:r w:rsidR="00284E10">
        <w:rPr>
          <w:bCs/>
          <w:snapToGrid/>
          <w:lang w:val="de-DE"/>
        </w:rPr>
        <w:t>Bis 1994 galt für Tankschiffe</w:t>
      </w:r>
      <w:r w:rsidR="00BA2B41">
        <w:rPr>
          <w:bCs/>
          <w:snapToGrid/>
          <w:lang w:val="de-DE"/>
        </w:rPr>
        <w:t xml:space="preserve"> der Typen N offen und N offen </w:t>
      </w:r>
      <w:r w:rsidR="00284E10">
        <w:rPr>
          <w:bCs/>
          <w:snapToGrid/>
          <w:lang w:val="de-DE"/>
        </w:rPr>
        <w:t>mit Flammendurchschlagsicherung</w:t>
      </w:r>
      <w:r w:rsidR="00A43072">
        <w:rPr>
          <w:bCs/>
          <w:snapToGrid/>
          <w:lang w:val="de-DE"/>
        </w:rPr>
        <w:t xml:space="preserve">, dass „Bauart, Festigkeit, Raumeinteilung, Einrichtung und </w:t>
      </w:r>
      <w:r w:rsidR="00FF3E28">
        <w:rPr>
          <w:bCs/>
          <w:snapToGrid/>
          <w:lang w:val="de-DE"/>
        </w:rPr>
        <w:t>Ausrüstung des Schiffes den Bau</w:t>
      </w:r>
      <w:r w:rsidR="00A43072">
        <w:rPr>
          <w:bCs/>
          <w:snapToGrid/>
          <w:lang w:val="de-DE"/>
        </w:rPr>
        <w:t xml:space="preserve">vorschriften einer anerkannten Klassifikationsgesellschaft für die höchste Klasse entsprechen [musste] oder ihnen gleichwertig sein [musste]“. </w:t>
      </w:r>
      <w:r w:rsidR="00FF3E28">
        <w:rPr>
          <w:bCs/>
          <w:snapToGrid/>
          <w:lang w:val="de-DE"/>
        </w:rPr>
        <w:t>De</w:t>
      </w:r>
      <w:r w:rsidR="00A43072">
        <w:rPr>
          <w:bCs/>
          <w:snapToGrid/>
          <w:lang w:val="de-DE"/>
        </w:rPr>
        <w:t>r Bau unter Aufsicht einer anerkannten Klassifikationsgesellschaft und die Einstufung in ihre höchste Klasse war dagegen bis 31. Dezember 1995 nicht erforderlich.</w:t>
      </w:r>
      <w:r w:rsidR="00C2168C" w:rsidRPr="006E0871">
        <w:rPr>
          <w:bCs/>
          <w:snapToGrid/>
          <w:lang w:val="de-DE"/>
        </w:rPr>
        <w:t xml:space="preserve"> </w:t>
      </w:r>
      <w:r w:rsidR="00ED3E08">
        <w:rPr>
          <w:bCs/>
          <w:snapToGrid/>
          <w:lang w:val="de-DE"/>
        </w:rPr>
        <w:t xml:space="preserve">(vergleiche Randnummer </w:t>
      </w:r>
      <w:r w:rsidR="00ED3E08">
        <w:rPr>
          <w:lang w:val="de-DE"/>
        </w:rPr>
        <w:t xml:space="preserve">131 208 des ADNR </w:t>
      </w:r>
      <w:r w:rsidR="00284E10">
        <w:rPr>
          <w:lang w:val="de-DE"/>
        </w:rPr>
        <w:t>1994</w:t>
      </w:r>
      <w:r w:rsidR="00FF3E28">
        <w:rPr>
          <w:lang w:val="de-DE"/>
        </w:rPr>
        <w:t>).</w:t>
      </w:r>
    </w:p>
    <w:p w14:paraId="09CB9F92" w14:textId="77777777" w:rsidR="001D49CE" w:rsidRDefault="001D49CE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61A87933" w14:textId="331ADCC4" w:rsidR="00C2168C" w:rsidRPr="006E0871" w:rsidRDefault="001D49CE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9.</w:t>
      </w:r>
      <w:r>
        <w:rPr>
          <w:bCs/>
          <w:snapToGrid/>
          <w:lang w:val="de-DE"/>
        </w:rPr>
        <w:tab/>
      </w:r>
      <w:r w:rsidR="00C2168C" w:rsidRPr="006E0871">
        <w:rPr>
          <w:bCs/>
          <w:snapToGrid/>
          <w:lang w:val="de-DE"/>
        </w:rPr>
        <w:t xml:space="preserve">Deswegen bezieht sich die Übergangsvorschrift auf die Sätze 1 </w:t>
      </w:r>
      <w:r w:rsidR="00FF3E28">
        <w:rPr>
          <w:bCs/>
          <w:snapToGrid/>
          <w:lang w:val="de-DE"/>
        </w:rPr>
        <w:t>bis 3</w:t>
      </w:r>
      <w:r w:rsidR="00C2168C" w:rsidRPr="006E0871">
        <w:rPr>
          <w:bCs/>
          <w:snapToGrid/>
          <w:lang w:val="de-DE"/>
        </w:rPr>
        <w:t xml:space="preserve"> des Absatzes 9.3.3.8.1 ADN.</w:t>
      </w:r>
    </w:p>
    <w:p w14:paraId="173E7CE3" w14:textId="77777777" w:rsidR="00FF3E28" w:rsidRDefault="00FF3E28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5349BE65" w14:textId="5353CCB9" w:rsidR="007C2D3B" w:rsidRPr="006E0871" w:rsidRDefault="001D49CE" w:rsidP="006E0871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10.</w:t>
      </w:r>
      <w:r>
        <w:rPr>
          <w:bCs/>
          <w:snapToGrid/>
          <w:lang w:val="de-DE"/>
        </w:rPr>
        <w:tab/>
      </w:r>
      <w:r w:rsidR="007C2D3B" w:rsidRPr="006E0871">
        <w:rPr>
          <w:bCs/>
          <w:snapToGrid/>
          <w:lang w:val="de-DE"/>
        </w:rPr>
        <w:t xml:space="preserve">Die in Spalte 3 geforderte Situation muss bei jeder wiederkehrenden Prüfung des Schiffes </w:t>
      </w:r>
      <w:r w:rsidR="005179ED" w:rsidRPr="006E0871">
        <w:rPr>
          <w:bCs/>
          <w:snapToGrid/>
          <w:lang w:val="de-DE"/>
        </w:rPr>
        <w:t>im Rahmen der Untersuchung nach 1.16.3 ADN vor der Erteilung des Zulassungszeugnisses</w:t>
      </w:r>
      <w:r w:rsidR="005179ED">
        <w:rPr>
          <w:bCs/>
          <w:snapToGrid/>
          <w:lang w:val="de-DE"/>
        </w:rPr>
        <w:t xml:space="preserve"> </w:t>
      </w:r>
      <w:r w:rsidR="007C2D3B" w:rsidRPr="006E0871">
        <w:rPr>
          <w:bCs/>
          <w:snapToGrid/>
          <w:lang w:val="de-DE"/>
        </w:rPr>
        <w:t>neu durch eine anerkannte Klassifikationsgesellschaft</w:t>
      </w:r>
      <w:r w:rsidR="00A64AEE">
        <w:rPr>
          <w:bCs/>
          <w:snapToGrid/>
          <w:lang w:val="de-DE"/>
        </w:rPr>
        <w:t xml:space="preserve"> bzw. die Untersuchungsstelle</w:t>
      </w:r>
      <w:r w:rsidR="005179ED">
        <w:rPr>
          <w:bCs/>
          <w:snapToGrid/>
          <w:lang w:val="de-DE"/>
        </w:rPr>
        <w:t xml:space="preserve"> </w:t>
      </w:r>
      <w:r w:rsidR="00A64AEE">
        <w:rPr>
          <w:bCs/>
          <w:snapToGrid/>
          <w:lang w:val="de-DE"/>
        </w:rPr>
        <w:t>geprüft</w:t>
      </w:r>
      <w:r w:rsidR="00A64AEE" w:rsidRPr="006E0871">
        <w:rPr>
          <w:bCs/>
          <w:snapToGrid/>
          <w:lang w:val="de-DE"/>
        </w:rPr>
        <w:t xml:space="preserve"> </w:t>
      </w:r>
      <w:r w:rsidR="00C40D31">
        <w:rPr>
          <w:bCs/>
          <w:snapToGrid/>
          <w:lang w:val="de-DE"/>
        </w:rPr>
        <w:t xml:space="preserve">und bescheinigt </w:t>
      </w:r>
      <w:r w:rsidR="007C2D3B" w:rsidRPr="006E0871">
        <w:rPr>
          <w:bCs/>
          <w:snapToGrid/>
          <w:lang w:val="de-DE"/>
        </w:rPr>
        <w:t>werden.</w:t>
      </w:r>
    </w:p>
    <w:p w14:paraId="4F1A0FCB" w14:textId="77777777" w:rsidR="001C2B65" w:rsidRDefault="001C2B65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70615C0F" w14:textId="77777777" w:rsidR="00571D01" w:rsidRDefault="00571D01">
      <w:pPr>
        <w:suppressAutoHyphens w:val="0"/>
        <w:spacing w:line="240" w:lineRule="auto"/>
        <w:rPr>
          <w:bCs/>
          <w:snapToGrid/>
          <w:lang w:val="de-DE"/>
        </w:rPr>
      </w:pPr>
      <w:r>
        <w:rPr>
          <w:bCs/>
          <w:snapToGrid/>
          <w:lang w:val="de-DE"/>
        </w:rPr>
        <w:br w:type="page"/>
      </w:r>
    </w:p>
    <w:p w14:paraId="35DCB630" w14:textId="1A161950" w:rsidR="00FF3E28" w:rsidRDefault="001D49CE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lastRenderedPageBreak/>
        <w:t>11</w:t>
      </w:r>
      <w:r w:rsidR="00FF3E28" w:rsidRPr="00617FAE">
        <w:rPr>
          <w:bCs/>
          <w:snapToGrid/>
          <w:lang w:val="de-DE"/>
        </w:rPr>
        <w:t>.</w:t>
      </w:r>
      <w:r w:rsidR="00FF3E28" w:rsidRPr="00617FAE">
        <w:rPr>
          <w:bCs/>
          <w:snapToGrid/>
          <w:lang w:val="de-DE"/>
        </w:rPr>
        <w:tab/>
      </w:r>
      <w:r w:rsidR="00FF3E28">
        <w:rPr>
          <w:bCs/>
          <w:snapToGrid/>
          <w:lang w:val="de-DE"/>
        </w:rPr>
        <w:t>Für den Erhalt des Zulassungszeugnisses vor dem 1. Januar 1995 mussten die Eigentümer eines Tankschiffes e</w:t>
      </w:r>
      <w:r w:rsidR="005179ED">
        <w:rPr>
          <w:bCs/>
          <w:snapToGrid/>
          <w:lang w:val="de-DE"/>
        </w:rPr>
        <w:t>ntweder:</w:t>
      </w:r>
    </w:p>
    <w:p w14:paraId="6F46284D" w14:textId="77777777" w:rsidR="00FF3E28" w:rsidRDefault="00FF3E28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7184FC25" w14:textId="1D82C735" w:rsidR="00FF3E28" w:rsidRPr="00ED5788" w:rsidRDefault="0051292C" w:rsidP="00ED5788">
      <w:pPr>
        <w:pStyle w:val="ListParagraph"/>
        <w:widowControl w:val="0"/>
        <w:numPr>
          <w:ilvl w:val="0"/>
          <w:numId w:val="3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 w:rsidRPr="00ED5788">
        <w:rPr>
          <w:bCs/>
          <w:snapToGrid/>
          <w:lang w:val="de-DE"/>
        </w:rPr>
        <w:t xml:space="preserve">„das Klassezeugnis“ </w:t>
      </w:r>
      <w:r w:rsidR="00FF3E28" w:rsidRPr="00ED5788">
        <w:rPr>
          <w:bCs/>
          <w:snapToGrid/>
          <w:u w:val="single"/>
          <w:lang w:val="de-DE"/>
        </w:rPr>
        <w:t>oder</w:t>
      </w:r>
    </w:p>
    <w:p w14:paraId="15CA001E" w14:textId="77777777" w:rsidR="00FF3E28" w:rsidRDefault="00FF3E28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01734F4D" w14:textId="01CBC4C3" w:rsidR="00FF3E28" w:rsidRPr="00ED5788" w:rsidRDefault="0051292C" w:rsidP="00ED5788">
      <w:pPr>
        <w:pStyle w:val="ListParagraph"/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 w:rsidRPr="00ED5788">
        <w:rPr>
          <w:bCs/>
          <w:snapToGrid/>
          <w:lang w:val="de-DE"/>
        </w:rPr>
        <w:t xml:space="preserve">„eine Bescheinigung einer anerkannten Klassifikationsgesellschaft, dass der Bau ihren Vorschriften entspricht und in der im einzelnen </w:t>
      </w:r>
      <w:r w:rsidR="00DC06C8" w:rsidRPr="00ED5788">
        <w:rPr>
          <w:bCs/>
          <w:snapToGrid/>
          <w:lang w:val="de-DE"/>
        </w:rPr>
        <w:t xml:space="preserve">(sic!) </w:t>
      </w:r>
      <w:r w:rsidRPr="00ED5788">
        <w:rPr>
          <w:bCs/>
          <w:snapToGrid/>
          <w:lang w:val="de-DE"/>
        </w:rPr>
        <w:t>angegeben ist, welche Abweichungen von ihren Bauvorschriften als gleichwertig angesehen werden,“</w:t>
      </w:r>
      <w:r w:rsidR="00DC06C8" w:rsidRPr="00ED5788">
        <w:rPr>
          <w:bCs/>
          <w:snapToGrid/>
          <w:lang w:val="de-DE"/>
        </w:rPr>
        <w:t>.</w:t>
      </w:r>
    </w:p>
    <w:p w14:paraId="3FB5ECA1" w14:textId="77777777" w:rsidR="00FF3E28" w:rsidRDefault="00FF3E28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4143A40C" w14:textId="77777777" w:rsidR="00FF3E28" w:rsidRDefault="00FF3E28" w:rsidP="00FF3E28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v</w:t>
      </w:r>
      <w:r w:rsidR="005B1B0F">
        <w:rPr>
          <w:bCs/>
          <w:snapToGrid/>
          <w:lang w:val="de-DE"/>
        </w:rPr>
        <w:t>orlegen</w:t>
      </w:r>
      <w:r>
        <w:rPr>
          <w:bCs/>
          <w:snapToGrid/>
          <w:lang w:val="de-DE"/>
        </w:rPr>
        <w:t xml:space="preserve"> (vergleiche </w:t>
      </w:r>
      <w:r>
        <w:rPr>
          <w:lang w:val="de-DE"/>
        </w:rPr>
        <w:t>Randnummer 131 182 ADNR 1994).</w:t>
      </w:r>
    </w:p>
    <w:p w14:paraId="5AF93135" w14:textId="77777777" w:rsidR="00FF3E28" w:rsidRDefault="00FF3E28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24E197B8" w14:textId="10F985F2" w:rsidR="0051292C" w:rsidRDefault="00612B44" w:rsidP="0051292C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1</w:t>
      </w:r>
      <w:r w:rsidR="001D49CE">
        <w:rPr>
          <w:bCs/>
          <w:snapToGrid/>
          <w:lang w:val="de-DE"/>
        </w:rPr>
        <w:t>2</w:t>
      </w:r>
      <w:r w:rsidR="0051292C">
        <w:rPr>
          <w:bCs/>
          <w:snapToGrid/>
          <w:lang w:val="de-DE"/>
        </w:rPr>
        <w:t>.</w:t>
      </w:r>
      <w:r w:rsidR="0051292C">
        <w:rPr>
          <w:bCs/>
          <w:snapToGrid/>
          <w:lang w:val="de-DE"/>
        </w:rPr>
        <w:tab/>
        <w:t>Zwischen „Klassezeugnis“ und „Bescheinigung“ besteht ein qualitativer Unterschied</w:t>
      </w:r>
      <w:r w:rsidR="006E0871">
        <w:rPr>
          <w:bCs/>
          <w:snapToGrid/>
          <w:lang w:val="de-DE"/>
        </w:rPr>
        <w:t>.</w:t>
      </w:r>
      <w:r w:rsidR="0051292C">
        <w:rPr>
          <w:bCs/>
          <w:snapToGrid/>
          <w:lang w:val="de-DE"/>
        </w:rPr>
        <w:t xml:space="preserve"> </w:t>
      </w:r>
      <w:r w:rsidR="006E0871">
        <w:rPr>
          <w:bCs/>
          <w:snapToGrid/>
          <w:lang w:val="de-DE"/>
        </w:rPr>
        <w:t>Während</w:t>
      </w:r>
      <w:r w:rsidR="006E0871" w:rsidRPr="006E0871">
        <w:rPr>
          <w:bCs/>
          <w:snapToGrid/>
          <w:lang w:val="de-DE"/>
        </w:rPr>
        <w:t xml:space="preserve"> </w:t>
      </w:r>
      <w:r w:rsidR="006E0871">
        <w:rPr>
          <w:bCs/>
          <w:snapToGrid/>
          <w:lang w:val="de-DE"/>
        </w:rPr>
        <w:t>das Klassifikationszeugnis das Einhalten aller zutreffenden Bauvorschriften der untersuchenden und klassifizierenden Klassifikationsgesellschaft bestätigt</w:t>
      </w:r>
      <w:r w:rsidR="00126F65">
        <w:rPr>
          <w:bCs/>
          <w:snapToGrid/>
          <w:lang w:val="de-DE"/>
        </w:rPr>
        <w:t xml:space="preserve"> (also auch der, die nicht im ADNR/ADN</w:t>
      </w:r>
      <w:r w:rsidR="00DC06C8">
        <w:rPr>
          <w:bCs/>
          <w:snapToGrid/>
          <w:lang w:val="de-DE"/>
        </w:rPr>
        <w:t xml:space="preserve"> begründet sind)</w:t>
      </w:r>
      <w:r w:rsidR="006E0871">
        <w:rPr>
          <w:bCs/>
          <w:snapToGrid/>
          <w:lang w:val="de-DE"/>
        </w:rPr>
        <w:t xml:space="preserve">, bestätigt die </w:t>
      </w:r>
      <w:r w:rsidR="00DC06C8">
        <w:rPr>
          <w:bCs/>
          <w:snapToGrid/>
          <w:lang w:val="de-DE"/>
        </w:rPr>
        <w:t xml:space="preserve">in der Übergangsvorschrift verlangte </w:t>
      </w:r>
      <w:r w:rsidR="006E0871">
        <w:rPr>
          <w:bCs/>
          <w:snapToGrid/>
          <w:lang w:val="de-DE"/>
        </w:rPr>
        <w:t xml:space="preserve">Bescheinigung nur, dass das Fahrzeug in Bauart, Festigkeit, Raumeinteilung, Einrichtung und Ausrüstung zum Zeitpunkt der Inbetriebnahme den Bauvorschriften der anerkannten Klassifikationsgesellschaft entspricht oder diesen gleichwertig ist. </w:t>
      </w:r>
      <w:r w:rsidR="00DC06C8">
        <w:rPr>
          <w:bCs/>
          <w:snapToGrid/>
          <w:lang w:val="de-DE"/>
        </w:rPr>
        <w:t>Das ist nur ein Ausschnitt der Bauvorschriften einer Klassifikationsgesellschaft.</w:t>
      </w:r>
    </w:p>
    <w:p w14:paraId="7D864309" w14:textId="77777777" w:rsidR="0051292C" w:rsidRDefault="0051292C" w:rsidP="0051292C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22C69E44" w14:textId="06763855" w:rsidR="0051292C" w:rsidRDefault="00612B4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1</w:t>
      </w:r>
      <w:r w:rsidR="001D49CE">
        <w:rPr>
          <w:bCs/>
          <w:snapToGrid/>
          <w:lang w:val="de-DE"/>
        </w:rPr>
        <w:t>3</w:t>
      </w:r>
      <w:r w:rsidR="00943DC9">
        <w:rPr>
          <w:bCs/>
          <w:snapToGrid/>
          <w:lang w:val="de-DE"/>
        </w:rPr>
        <w:t>.</w:t>
      </w:r>
      <w:r w:rsidR="00ED5788">
        <w:rPr>
          <w:bCs/>
          <w:snapToGrid/>
          <w:lang w:val="de-DE"/>
        </w:rPr>
        <w:tab/>
      </w:r>
      <w:r w:rsidR="00943DC9">
        <w:rPr>
          <w:bCs/>
          <w:snapToGrid/>
          <w:lang w:val="de-DE"/>
        </w:rPr>
        <w:t xml:space="preserve">Es </w:t>
      </w:r>
      <w:r w:rsidR="00943DC9" w:rsidRPr="00212E01">
        <w:rPr>
          <w:bCs/>
          <w:snapToGrid/>
          <w:lang w:val="de-DE"/>
        </w:rPr>
        <w:t>sind mehrere Fälle</w:t>
      </w:r>
      <w:r w:rsidR="00894264">
        <w:rPr>
          <w:bCs/>
          <w:snapToGrid/>
          <w:lang w:val="de-DE"/>
        </w:rPr>
        <w:t xml:space="preserve"> </w:t>
      </w:r>
      <w:r w:rsidR="00943DC9">
        <w:rPr>
          <w:bCs/>
          <w:snapToGrid/>
          <w:lang w:val="de-DE"/>
        </w:rPr>
        <w:t xml:space="preserve">bekannt, in denen schon vor dem Jahr 1995 Eigner von Tankschiffen N offen mit oder ohne Flammendurchschlagsicherung bei der erstmaligen Erteilung oder der Erneuerung des Zulassungszeugnisses </w:t>
      </w:r>
      <w:r w:rsidR="00943DC9" w:rsidRPr="005B1B0F">
        <w:rPr>
          <w:b/>
          <w:bCs/>
          <w:snapToGrid/>
          <w:lang w:val="de-DE"/>
        </w:rPr>
        <w:t>freiwillig</w:t>
      </w:r>
      <w:r w:rsidR="00943DC9">
        <w:rPr>
          <w:bCs/>
          <w:snapToGrid/>
          <w:lang w:val="de-DE"/>
        </w:rPr>
        <w:t xml:space="preserve"> </w:t>
      </w:r>
      <w:r w:rsidR="00894264">
        <w:rPr>
          <w:bCs/>
          <w:snapToGrid/>
          <w:lang w:val="de-DE"/>
        </w:rPr>
        <w:t xml:space="preserve">zusätzlich </w:t>
      </w:r>
      <w:r w:rsidR="00943DC9">
        <w:rPr>
          <w:bCs/>
          <w:snapToGrid/>
          <w:lang w:val="de-DE"/>
        </w:rPr>
        <w:t>ein „Klassezeugnis“ vorgelegt haben.</w:t>
      </w:r>
      <w:r w:rsidR="005711D0">
        <w:rPr>
          <w:bCs/>
          <w:snapToGrid/>
          <w:lang w:val="de-DE"/>
        </w:rPr>
        <w:t xml:space="preserve"> Irgendwann nach 1995 wurde dann </w:t>
      </w:r>
      <w:r w:rsidR="0051292C">
        <w:rPr>
          <w:bCs/>
          <w:snapToGrid/>
          <w:lang w:val="de-DE"/>
        </w:rPr>
        <w:t xml:space="preserve">anstelle eines Klassezeugnisses </w:t>
      </w:r>
      <w:r w:rsidR="005711D0">
        <w:rPr>
          <w:bCs/>
          <w:snapToGrid/>
          <w:lang w:val="de-DE"/>
        </w:rPr>
        <w:t>eine einfache Bescheinigung der Klassifikationsgesellschaft über den in Spalte 3 der Übergangsvorschrift genannten Bauzustand vorgelegt.</w:t>
      </w:r>
    </w:p>
    <w:p w14:paraId="38B2630E" w14:textId="77777777" w:rsidR="0051292C" w:rsidRDefault="0051292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2E8EED73" w14:textId="5BAF21E7" w:rsidR="00A42809" w:rsidRDefault="0051292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1</w:t>
      </w:r>
      <w:r w:rsidR="001D49CE">
        <w:rPr>
          <w:bCs/>
          <w:snapToGrid/>
          <w:lang w:val="de-DE"/>
        </w:rPr>
        <w:t>4</w:t>
      </w:r>
      <w:r w:rsidR="002A60DA">
        <w:rPr>
          <w:bCs/>
          <w:snapToGrid/>
          <w:lang w:val="de-DE"/>
        </w:rPr>
        <w:t>.</w:t>
      </w:r>
      <w:r w:rsidR="002A60DA">
        <w:rPr>
          <w:bCs/>
          <w:snapToGrid/>
          <w:lang w:val="de-DE"/>
        </w:rPr>
        <w:tab/>
        <w:t>Die allgemeine Übergangsvorschrift</w:t>
      </w:r>
      <w:r w:rsidR="00CD4433">
        <w:rPr>
          <w:bCs/>
          <w:snapToGrid/>
          <w:lang w:val="de-DE"/>
        </w:rPr>
        <w:t xml:space="preserve"> </w:t>
      </w:r>
      <w:r w:rsidR="003A18B8">
        <w:rPr>
          <w:bCs/>
          <w:snapToGrid/>
          <w:lang w:val="de-DE"/>
        </w:rPr>
        <w:t>Absatz 1.6.7.</w:t>
      </w:r>
      <w:r w:rsidR="00B67F7D">
        <w:rPr>
          <w:bCs/>
          <w:snapToGrid/>
          <w:lang w:val="de-DE"/>
        </w:rPr>
        <w:t>2</w:t>
      </w:r>
      <w:r w:rsidR="003A18B8">
        <w:rPr>
          <w:bCs/>
          <w:snapToGrid/>
          <w:lang w:val="de-DE"/>
        </w:rPr>
        <w:t>.2</w:t>
      </w:r>
      <w:r w:rsidR="00B67F7D">
        <w:rPr>
          <w:bCs/>
          <w:snapToGrid/>
          <w:lang w:val="de-DE"/>
        </w:rPr>
        <w:t>.1</w:t>
      </w:r>
      <w:r w:rsidR="003A18B8">
        <w:rPr>
          <w:bCs/>
          <w:snapToGrid/>
          <w:lang w:val="de-DE"/>
        </w:rPr>
        <w:t xml:space="preserve"> ADN </w:t>
      </w:r>
      <w:r w:rsidR="00BB3FE6">
        <w:rPr>
          <w:bCs/>
          <w:snapToGrid/>
          <w:lang w:val="de-DE"/>
        </w:rPr>
        <w:t xml:space="preserve">legt </w:t>
      </w:r>
      <w:r w:rsidR="00563F28">
        <w:rPr>
          <w:bCs/>
          <w:snapToGrid/>
          <w:lang w:val="de-DE"/>
        </w:rPr>
        <w:t xml:space="preserve">im </w:t>
      </w:r>
      <w:r w:rsidR="00B67F7D">
        <w:rPr>
          <w:bCs/>
          <w:snapToGrid/>
          <w:lang w:val="de-DE"/>
        </w:rPr>
        <w:t>2</w:t>
      </w:r>
      <w:r w:rsidR="00563F28">
        <w:rPr>
          <w:bCs/>
          <w:snapToGrid/>
          <w:lang w:val="de-DE"/>
        </w:rPr>
        <w:t xml:space="preserve">. Satz </w:t>
      </w:r>
      <w:r w:rsidR="00A42809">
        <w:rPr>
          <w:bCs/>
          <w:snapToGrid/>
          <w:lang w:val="de-DE"/>
        </w:rPr>
        <w:t>fest:</w:t>
      </w:r>
    </w:p>
    <w:p w14:paraId="3C3814B1" w14:textId="77777777" w:rsidR="005A4F07" w:rsidRDefault="005A4F07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4E7EA1D1" w14:textId="77777777" w:rsidR="00A42809" w:rsidRDefault="00B67F7D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bCs/>
          <w:snapToGrid/>
          <w:lang w:val="de-DE"/>
        </w:rPr>
        <w:t>„Bau und Ausrüstung der in Betrieb befindlichen Schiffe müssen</w:t>
      </w:r>
      <w:r w:rsidR="00AA6B29">
        <w:rPr>
          <w:bCs/>
          <w:snapToGrid/>
          <w:lang w:val="de-DE"/>
        </w:rPr>
        <w:t xml:space="preserve"> mindestens auf dem bisherigen S</w:t>
      </w:r>
      <w:r>
        <w:rPr>
          <w:bCs/>
          <w:snapToGrid/>
          <w:lang w:val="de-DE"/>
        </w:rPr>
        <w:t>icherheitsstand gehalten werden“</w:t>
      </w:r>
      <w:r w:rsidR="003915CC">
        <w:rPr>
          <w:bCs/>
          <w:snapToGrid/>
          <w:lang w:val="de-DE"/>
        </w:rPr>
        <w:t xml:space="preserve">. </w:t>
      </w:r>
    </w:p>
    <w:p w14:paraId="6B12AEC2" w14:textId="77777777" w:rsidR="005A4F07" w:rsidRDefault="005A4F07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46C72E87" w14:textId="484961C5" w:rsidR="000E7AA3" w:rsidRDefault="001D49C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  <w:r>
        <w:rPr>
          <w:bCs/>
          <w:snapToGrid/>
          <w:lang w:val="de-DE"/>
        </w:rPr>
        <w:t>15.</w:t>
      </w:r>
      <w:r>
        <w:rPr>
          <w:bCs/>
          <w:snapToGrid/>
          <w:lang w:val="de-DE"/>
        </w:rPr>
        <w:tab/>
      </w:r>
      <w:r w:rsidR="005711D0">
        <w:rPr>
          <w:bCs/>
          <w:snapToGrid/>
          <w:lang w:val="de-DE"/>
        </w:rPr>
        <w:t>Das bedeutet in diesem Fall, bei Nutzung der Übergangsvorschrift müssen Tankschiffe</w:t>
      </w:r>
      <w:r w:rsidR="00C10998">
        <w:rPr>
          <w:bCs/>
          <w:snapToGrid/>
          <w:lang w:val="de-DE"/>
        </w:rPr>
        <w:t xml:space="preserve"> auf dem vor dem 1.1.1995 geltenden Sicherheitsstand bezüglich der Klassifikation gehalten werden.</w:t>
      </w:r>
      <w:r w:rsidR="00A64AEE">
        <w:rPr>
          <w:bCs/>
          <w:snapToGrid/>
          <w:lang w:val="de-DE"/>
        </w:rPr>
        <w:t xml:space="preserve"> </w:t>
      </w:r>
    </w:p>
    <w:p w14:paraId="6250DA2A" w14:textId="6215A6C8" w:rsidR="001C2B65" w:rsidRDefault="001C2B65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73AC1FE5" w14:textId="77777777" w:rsidR="00571D01" w:rsidRDefault="00571D0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52CE7764" w14:textId="1E50249B" w:rsidR="00FD5786" w:rsidRDefault="003151F1" w:rsidP="00316FF5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I.</w:t>
      </w:r>
      <w:r w:rsidRPr="00827320">
        <w:rPr>
          <w:b/>
          <w:snapToGrid/>
          <w:sz w:val="24"/>
          <w:szCs w:val="24"/>
          <w:lang w:val="de-DE"/>
        </w:rPr>
        <w:tab/>
      </w:r>
      <w:r w:rsidR="00BB3FE6">
        <w:rPr>
          <w:b/>
          <w:snapToGrid/>
          <w:sz w:val="24"/>
          <w:szCs w:val="24"/>
          <w:lang w:val="de-DE"/>
        </w:rPr>
        <w:t>Auslegungsfrage</w:t>
      </w:r>
    </w:p>
    <w:p w14:paraId="55C71403" w14:textId="77777777" w:rsidR="008A3FAA" w:rsidRPr="008A3FAA" w:rsidRDefault="008A3FAA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14:paraId="5157AB61" w14:textId="43ABCC07" w:rsidR="00C64C80" w:rsidRDefault="00B5192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1</w:t>
      </w:r>
      <w:r w:rsidR="001D49CE">
        <w:rPr>
          <w:snapToGrid/>
          <w:lang w:val="de-DE"/>
        </w:rPr>
        <w:t>6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3915CC">
        <w:rPr>
          <w:snapToGrid/>
          <w:lang w:val="de-DE"/>
        </w:rPr>
        <w:t>Fraglich i</w:t>
      </w:r>
      <w:r w:rsidR="00BB3FE6">
        <w:rPr>
          <w:snapToGrid/>
          <w:lang w:val="de-DE"/>
        </w:rPr>
        <w:t>st</w:t>
      </w:r>
      <w:r w:rsidR="00AA6B29">
        <w:rPr>
          <w:snapToGrid/>
          <w:lang w:val="de-DE"/>
        </w:rPr>
        <w:t>,</w:t>
      </w:r>
      <w:r w:rsidR="00BB3FE6">
        <w:rPr>
          <w:snapToGrid/>
          <w:lang w:val="de-DE"/>
        </w:rPr>
        <w:t xml:space="preserve"> </w:t>
      </w:r>
      <w:r w:rsidR="003915CC">
        <w:rPr>
          <w:snapToGrid/>
          <w:lang w:val="de-DE"/>
        </w:rPr>
        <w:t xml:space="preserve">ob </w:t>
      </w:r>
      <w:r w:rsidR="005419E9">
        <w:rPr>
          <w:snapToGrid/>
          <w:lang w:val="de-DE"/>
        </w:rPr>
        <w:t xml:space="preserve">zur Aufrechterhaltung des </w:t>
      </w:r>
      <w:r w:rsidR="00135D19">
        <w:rPr>
          <w:snapToGrid/>
          <w:lang w:val="de-DE"/>
        </w:rPr>
        <w:t xml:space="preserve">„bisherigen </w:t>
      </w:r>
      <w:r w:rsidR="005419E9">
        <w:rPr>
          <w:snapToGrid/>
          <w:lang w:val="de-DE"/>
        </w:rPr>
        <w:t>Sicherheitsstandes</w:t>
      </w:r>
      <w:r w:rsidR="00135D19">
        <w:rPr>
          <w:snapToGrid/>
          <w:lang w:val="de-DE"/>
        </w:rPr>
        <w:t>“</w:t>
      </w:r>
      <w:r w:rsidR="005419E9">
        <w:rPr>
          <w:snapToGrid/>
          <w:lang w:val="de-DE"/>
        </w:rPr>
        <w:t xml:space="preserve"> </w:t>
      </w:r>
      <w:r w:rsidR="005419E9">
        <w:rPr>
          <w:bCs/>
          <w:snapToGrid/>
          <w:lang w:val="de-DE"/>
        </w:rPr>
        <w:t xml:space="preserve">ein einmal erteiltes Klassifikationszeugnis dauerhaft aufrecht erhalten </w:t>
      </w:r>
      <w:r w:rsidR="00135D19">
        <w:rPr>
          <w:bCs/>
          <w:snapToGrid/>
          <w:lang w:val="de-DE"/>
        </w:rPr>
        <w:t>werden muss</w:t>
      </w:r>
      <w:r w:rsidR="005419E9">
        <w:rPr>
          <w:bCs/>
          <w:snapToGrid/>
          <w:lang w:val="de-DE"/>
        </w:rPr>
        <w:t xml:space="preserve"> und ob </w:t>
      </w:r>
      <w:r w:rsidR="00C64C80">
        <w:rPr>
          <w:snapToGrid/>
          <w:lang w:val="de-DE"/>
        </w:rPr>
        <w:t xml:space="preserve">sich dieser „bisherige Sicherheitsstandard“ </w:t>
      </w:r>
      <w:r w:rsidR="00A02B0C">
        <w:rPr>
          <w:snapToGrid/>
          <w:lang w:val="de-DE"/>
        </w:rPr>
        <w:t xml:space="preserve">nach unten </w:t>
      </w:r>
      <w:r w:rsidR="003D0149">
        <w:rPr>
          <w:snapToGrid/>
          <w:lang w:val="de-DE"/>
        </w:rPr>
        <w:t xml:space="preserve">verändert, wenn ursprünglich bei </w:t>
      </w:r>
      <w:r w:rsidR="00A02B0C">
        <w:rPr>
          <w:snapToGrid/>
          <w:lang w:val="de-DE"/>
        </w:rPr>
        <w:t>Erteilung und</w:t>
      </w:r>
      <w:r w:rsidR="003D0149">
        <w:rPr>
          <w:snapToGrid/>
          <w:lang w:val="de-DE"/>
        </w:rPr>
        <w:t xml:space="preserve"> Erneuerung des Zulassungszeugnisses ein „Klassezeugnis“ vorgelegt wurde, </w:t>
      </w:r>
      <w:r w:rsidR="00894264">
        <w:rPr>
          <w:snapToGrid/>
          <w:lang w:val="de-DE"/>
        </w:rPr>
        <w:t>zu einem späteren Zeitpunkt</w:t>
      </w:r>
      <w:r w:rsidR="003D0149">
        <w:rPr>
          <w:snapToGrid/>
          <w:lang w:val="de-DE"/>
        </w:rPr>
        <w:t xml:space="preserve"> jedoch </w:t>
      </w:r>
      <w:r w:rsidR="00A02B0C">
        <w:rPr>
          <w:snapToGrid/>
          <w:lang w:val="de-DE"/>
        </w:rPr>
        <w:t xml:space="preserve">nur </w:t>
      </w:r>
      <w:r w:rsidR="00894264">
        <w:rPr>
          <w:snapToGrid/>
          <w:lang w:val="de-DE"/>
        </w:rPr>
        <w:t xml:space="preserve">noch </w:t>
      </w:r>
      <w:r w:rsidR="00A02B0C">
        <w:rPr>
          <w:snapToGrid/>
          <w:lang w:val="de-DE"/>
        </w:rPr>
        <w:t>die einfache Bescheinigung einer Klassifikationsgesellschaft.</w:t>
      </w:r>
    </w:p>
    <w:p w14:paraId="2B04B8B0" w14:textId="77777777" w:rsidR="001D49CE" w:rsidRDefault="001D49C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14:paraId="7E8197D2" w14:textId="54FE090B" w:rsidR="0051292C" w:rsidRDefault="001D49C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  <w:r>
        <w:rPr>
          <w:snapToGrid/>
          <w:lang w:val="de-DE"/>
        </w:rPr>
        <w:t>17.</w:t>
      </w:r>
      <w:r>
        <w:rPr>
          <w:snapToGrid/>
          <w:lang w:val="de-DE"/>
        </w:rPr>
        <w:tab/>
      </w:r>
      <w:r w:rsidR="00A02B0C">
        <w:rPr>
          <w:snapToGrid/>
          <w:lang w:val="de-DE"/>
        </w:rPr>
        <w:t>Fa</w:t>
      </w:r>
      <w:r w:rsidR="005179ED">
        <w:rPr>
          <w:snapToGrid/>
          <w:lang w:val="de-DE"/>
        </w:rPr>
        <w:t>lls das bejaht wird, dürfte ein</w:t>
      </w:r>
      <w:r w:rsidR="00A02B0C">
        <w:rPr>
          <w:snapToGrid/>
          <w:lang w:val="de-DE"/>
        </w:rPr>
        <w:t xml:space="preserve"> Zulassungszeugnis nur erneuert werden, wenn </w:t>
      </w:r>
      <w:r w:rsidR="00E87D14">
        <w:rPr>
          <w:snapToGrid/>
          <w:lang w:val="de-DE"/>
        </w:rPr>
        <w:t xml:space="preserve">die Anforderung des Absatzes 9.3.3.8.1 </w:t>
      </w:r>
      <w:r w:rsidR="00E87D14" w:rsidRPr="00E87D14">
        <w:rPr>
          <w:b/>
          <w:snapToGrid/>
          <w:lang w:val="de-DE"/>
        </w:rPr>
        <w:t>zweiter Satz</w:t>
      </w:r>
      <w:r w:rsidR="00E87D14">
        <w:rPr>
          <w:b/>
          <w:snapToGrid/>
          <w:lang w:val="de-DE"/>
        </w:rPr>
        <w:t xml:space="preserve"> </w:t>
      </w:r>
      <w:r w:rsidR="00E87D14" w:rsidRPr="00E87D14">
        <w:rPr>
          <w:snapToGrid/>
          <w:lang w:val="de-DE"/>
        </w:rPr>
        <w:t>erfüllt wird.</w:t>
      </w:r>
      <w:r w:rsidR="00E87D14">
        <w:rPr>
          <w:snapToGrid/>
          <w:lang w:val="de-DE"/>
        </w:rPr>
        <w:t xml:space="preserve"> D.h., die Übergangsvorschrift </w:t>
      </w:r>
      <w:r w:rsidR="005179ED">
        <w:rPr>
          <w:snapToGrid/>
          <w:lang w:val="de-DE"/>
        </w:rPr>
        <w:t>findet</w:t>
      </w:r>
      <w:r w:rsidR="00E87D14">
        <w:rPr>
          <w:snapToGrid/>
          <w:lang w:val="de-DE"/>
        </w:rPr>
        <w:t xml:space="preserve"> in diesem Fall</w:t>
      </w:r>
      <w:r w:rsidR="005179ED">
        <w:rPr>
          <w:snapToGrid/>
          <w:lang w:val="de-DE"/>
        </w:rPr>
        <w:t xml:space="preserve"> der freiwilligen Vorlage eines Klassezeugnisses</w:t>
      </w:r>
      <w:r w:rsidR="00E87D14">
        <w:rPr>
          <w:snapToGrid/>
          <w:lang w:val="de-DE"/>
        </w:rPr>
        <w:t xml:space="preserve"> keine Anwendung.</w:t>
      </w:r>
    </w:p>
    <w:p w14:paraId="0385849E" w14:textId="35D65FC1" w:rsidR="00571D01" w:rsidRDefault="00571D01">
      <w:pPr>
        <w:suppressAutoHyphens w:val="0"/>
        <w:spacing w:line="240" w:lineRule="auto"/>
        <w:rPr>
          <w:b/>
          <w:snapToGrid/>
          <w:sz w:val="24"/>
          <w:szCs w:val="24"/>
          <w:lang w:val="de-DE"/>
        </w:rPr>
      </w:pPr>
    </w:p>
    <w:p w14:paraId="7C244EA5" w14:textId="77777777" w:rsidR="00D45AF8" w:rsidRDefault="00D45AF8">
      <w:pPr>
        <w:suppressAutoHyphens w:val="0"/>
        <w:spacing w:line="240" w:lineRule="auto"/>
        <w:rPr>
          <w:b/>
          <w:snapToGrid/>
          <w:sz w:val="24"/>
          <w:szCs w:val="24"/>
          <w:lang w:val="de-DE"/>
        </w:rPr>
      </w:pPr>
    </w:p>
    <w:p w14:paraId="4CAA5C42" w14:textId="03992215" w:rsidR="0051292C" w:rsidRPr="0051292C" w:rsidRDefault="0051292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51292C">
        <w:rPr>
          <w:b/>
          <w:snapToGrid/>
          <w:sz w:val="24"/>
          <w:szCs w:val="24"/>
          <w:lang w:val="de-DE"/>
        </w:rPr>
        <w:t>II.</w:t>
      </w:r>
      <w:r w:rsidRPr="0051292C">
        <w:rPr>
          <w:b/>
          <w:snapToGrid/>
          <w:sz w:val="24"/>
          <w:szCs w:val="24"/>
          <w:lang w:val="de-DE"/>
        </w:rPr>
        <w:tab/>
        <w:t>Bewertung durch die deutsche Delegation</w:t>
      </w:r>
    </w:p>
    <w:p w14:paraId="3EA22B51" w14:textId="77777777" w:rsidR="0051292C" w:rsidRDefault="0051292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snapToGrid/>
          <w:lang w:val="de-DE"/>
        </w:rPr>
      </w:pPr>
    </w:p>
    <w:p w14:paraId="6E648602" w14:textId="13F2481A" w:rsidR="00326F72" w:rsidRDefault="00E87D1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lang w:val="de-DE"/>
        </w:rPr>
      </w:pPr>
      <w:r w:rsidRPr="00894264">
        <w:rPr>
          <w:bCs/>
          <w:lang w:val="de-DE"/>
        </w:rPr>
        <w:t>1</w:t>
      </w:r>
      <w:r w:rsidR="001D49CE">
        <w:rPr>
          <w:bCs/>
          <w:lang w:val="de-DE"/>
        </w:rPr>
        <w:t>8</w:t>
      </w:r>
      <w:r w:rsidRPr="00894264">
        <w:rPr>
          <w:bCs/>
          <w:lang w:val="de-DE"/>
        </w:rPr>
        <w:t>.</w:t>
      </w:r>
      <w:r w:rsidR="00ED5788">
        <w:rPr>
          <w:bCs/>
          <w:lang w:val="de-DE"/>
        </w:rPr>
        <w:tab/>
      </w:r>
      <w:r w:rsidR="00B71686" w:rsidRPr="00894264">
        <w:rPr>
          <w:bCs/>
          <w:lang w:val="de-DE"/>
        </w:rPr>
        <w:t xml:space="preserve">Deutschland ist der Meinung, dass </w:t>
      </w:r>
      <w:r w:rsidR="00F90CC7" w:rsidRPr="00894264">
        <w:rPr>
          <w:bCs/>
          <w:lang w:val="de-DE"/>
        </w:rPr>
        <w:t>eine</w:t>
      </w:r>
      <w:r w:rsidRPr="00894264">
        <w:rPr>
          <w:bCs/>
          <w:lang w:val="de-DE"/>
        </w:rPr>
        <w:t xml:space="preserve"> während der Anwendbarkeit des ADNR vor 1995</w:t>
      </w:r>
      <w:r w:rsidR="00F90CC7" w:rsidRPr="00894264">
        <w:rPr>
          <w:bCs/>
          <w:lang w:val="de-DE"/>
        </w:rPr>
        <w:t xml:space="preserve"> </w:t>
      </w:r>
      <w:r w:rsidR="00A046BE" w:rsidRPr="00894264">
        <w:rPr>
          <w:b/>
          <w:bCs/>
          <w:lang w:val="de-DE"/>
        </w:rPr>
        <w:t>freiwillig</w:t>
      </w:r>
      <w:r w:rsidR="00B71686" w:rsidRPr="00894264">
        <w:rPr>
          <w:bCs/>
          <w:lang w:val="de-DE"/>
        </w:rPr>
        <w:t xml:space="preserve"> </w:t>
      </w:r>
      <w:r w:rsidR="00BA2B41" w:rsidRPr="00894264">
        <w:rPr>
          <w:bCs/>
          <w:lang w:val="de-DE"/>
        </w:rPr>
        <w:t>durch die Vorlage eines „Klassezeugnisses“ begründete</w:t>
      </w:r>
      <w:r w:rsidR="00B71686" w:rsidRPr="00894264">
        <w:rPr>
          <w:bCs/>
          <w:lang w:val="de-DE"/>
        </w:rPr>
        <w:t xml:space="preserve"> laufende Klasse </w:t>
      </w:r>
      <w:r w:rsidR="00A046BE" w:rsidRPr="00894264">
        <w:rPr>
          <w:bCs/>
          <w:lang w:val="de-DE"/>
        </w:rPr>
        <w:t xml:space="preserve">seit dem Übergang auf das ADN </w:t>
      </w:r>
      <w:r w:rsidR="00B71686" w:rsidRPr="00894264">
        <w:rPr>
          <w:bCs/>
          <w:lang w:val="de-DE"/>
        </w:rPr>
        <w:t xml:space="preserve">aufrechterhalten bleiben </w:t>
      </w:r>
      <w:r w:rsidR="00A046BE" w:rsidRPr="00894264">
        <w:rPr>
          <w:bCs/>
          <w:lang w:val="de-DE"/>
        </w:rPr>
        <w:t>muss</w:t>
      </w:r>
      <w:r w:rsidR="00B71686" w:rsidRPr="00894264">
        <w:rPr>
          <w:bCs/>
          <w:lang w:val="de-DE"/>
        </w:rPr>
        <w:t>, da ansonsten ein beabsichtigtes Abs</w:t>
      </w:r>
      <w:r w:rsidR="00A64AEE">
        <w:rPr>
          <w:bCs/>
          <w:lang w:val="de-DE"/>
        </w:rPr>
        <w:t>e</w:t>
      </w:r>
      <w:r w:rsidR="00B71686" w:rsidRPr="00894264">
        <w:rPr>
          <w:bCs/>
          <w:lang w:val="de-DE"/>
        </w:rPr>
        <w:t xml:space="preserve">nken des bereits </w:t>
      </w:r>
      <w:r w:rsidR="00A038CC">
        <w:rPr>
          <w:bCs/>
          <w:lang w:val="de-DE"/>
        </w:rPr>
        <w:t xml:space="preserve">vor </w:t>
      </w:r>
      <w:r w:rsidR="00A038CC" w:rsidRPr="00894264">
        <w:rPr>
          <w:bCs/>
          <w:lang w:val="de-DE"/>
        </w:rPr>
        <w:t>199</w:t>
      </w:r>
      <w:r w:rsidR="00A038CC">
        <w:rPr>
          <w:bCs/>
          <w:lang w:val="de-DE"/>
        </w:rPr>
        <w:t>5</w:t>
      </w:r>
      <w:r w:rsidR="00A038CC" w:rsidRPr="00894264">
        <w:rPr>
          <w:bCs/>
          <w:lang w:val="de-DE"/>
        </w:rPr>
        <w:t xml:space="preserve"> </w:t>
      </w:r>
      <w:r w:rsidR="00B71686" w:rsidRPr="00894264">
        <w:rPr>
          <w:bCs/>
          <w:lang w:val="de-DE"/>
        </w:rPr>
        <w:t xml:space="preserve">erreichten Sicherheitsstands zu befürchten </w:t>
      </w:r>
      <w:r w:rsidR="00A038CC">
        <w:rPr>
          <w:bCs/>
          <w:lang w:val="de-DE"/>
        </w:rPr>
        <w:t>ist.</w:t>
      </w:r>
    </w:p>
    <w:p w14:paraId="2175F4C9" w14:textId="77777777" w:rsidR="00326F72" w:rsidRDefault="00326F72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lang w:val="de-DE"/>
        </w:rPr>
      </w:pPr>
    </w:p>
    <w:p w14:paraId="799ED722" w14:textId="77777777" w:rsidR="00DC7824" w:rsidRDefault="00DC7824">
      <w:pPr>
        <w:suppressAutoHyphens w:val="0"/>
        <w:spacing w:line="240" w:lineRule="auto"/>
        <w:rPr>
          <w:bCs/>
          <w:lang w:val="de-DE"/>
        </w:rPr>
      </w:pPr>
      <w:r>
        <w:rPr>
          <w:bCs/>
          <w:lang w:val="de-DE"/>
        </w:rPr>
        <w:br w:type="page"/>
      </w:r>
    </w:p>
    <w:p w14:paraId="453C98D0" w14:textId="2FB62464" w:rsidR="005169C4" w:rsidRDefault="001D49CE" w:rsidP="00DC7824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ind w:right="567"/>
        <w:jc w:val="both"/>
        <w:textAlignment w:val="baseline"/>
        <w:rPr>
          <w:bCs/>
          <w:lang w:val="de-DE"/>
        </w:rPr>
      </w:pPr>
      <w:r>
        <w:rPr>
          <w:bCs/>
          <w:lang w:val="de-DE"/>
        </w:rPr>
        <w:lastRenderedPageBreak/>
        <w:t>19.</w:t>
      </w:r>
      <w:r>
        <w:rPr>
          <w:bCs/>
          <w:lang w:val="de-DE"/>
        </w:rPr>
        <w:tab/>
      </w:r>
      <w:r w:rsidR="00326F72">
        <w:rPr>
          <w:bCs/>
          <w:lang w:val="de-DE"/>
        </w:rPr>
        <w:t>Zwei Beispiele</w:t>
      </w:r>
      <w:r w:rsidR="005169C4">
        <w:rPr>
          <w:bCs/>
          <w:lang w:val="de-DE"/>
        </w:rPr>
        <w:t>:</w:t>
      </w:r>
    </w:p>
    <w:p w14:paraId="40BF3C94" w14:textId="4FE912C8" w:rsidR="005169C4" w:rsidRPr="00DC7824" w:rsidRDefault="00A038CC" w:rsidP="00DC7824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120"/>
        <w:ind w:left="993" w:right="567" w:hanging="426"/>
        <w:contextualSpacing w:val="0"/>
        <w:jc w:val="both"/>
        <w:textAlignment w:val="baseline"/>
        <w:rPr>
          <w:bCs/>
          <w:lang w:val="de-DE"/>
        </w:rPr>
      </w:pPr>
      <w:r w:rsidRPr="00DC7824">
        <w:rPr>
          <w:bCs/>
          <w:lang w:val="de-DE"/>
        </w:rPr>
        <w:t xml:space="preserve">im Falle eines nicht mehr zu fordernden Klassifikationszeugnisses </w:t>
      </w:r>
      <w:r w:rsidR="005169C4" w:rsidRPr="00DC7824">
        <w:rPr>
          <w:bCs/>
          <w:lang w:val="de-DE"/>
        </w:rPr>
        <w:t xml:space="preserve">würde </w:t>
      </w:r>
      <w:r w:rsidRPr="00DC7824">
        <w:rPr>
          <w:bCs/>
          <w:lang w:val="de-DE"/>
        </w:rPr>
        <w:t>die im dritten Jahr durchzuführende Zwischen</w:t>
      </w:r>
      <w:r w:rsidR="00212E01" w:rsidRPr="00DC7824">
        <w:rPr>
          <w:bCs/>
          <w:lang w:val="de-DE"/>
        </w:rPr>
        <w:t>besichtigung</w:t>
      </w:r>
      <w:r w:rsidRPr="00DC7824">
        <w:rPr>
          <w:bCs/>
          <w:lang w:val="de-DE"/>
        </w:rPr>
        <w:t xml:space="preserve"> </w:t>
      </w:r>
      <w:r w:rsidR="00135D19" w:rsidRPr="00DC7824">
        <w:rPr>
          <w:bCs/>
          <w:lang w:val="de-DE"/>
        </w:rPr>
        <w:t xml:space="preserve">des Schiffes durch die Klassifikationsgesellschaft </w:t>
      </w:r>
      <w:r w:rsidRPr="00DC7824">
        <w:rPr>
          <w:bCs/>
          <w:lang w:val="de-DE"/>
        </w:rPr>
        <w:t>entfallen.</w:t>
      </w:r>
    </w:p>
    <w:p w14:paraId="0383CB84" w14:textId="39DF4DD4" w:rsidR="005169C4" w:rsidRPr="00DC7824" w:rsidRDefault="005169C4" w:rsidP="00DC7824">
      <w:pPr>
        <w:pStyle w:val="ListParagraph"/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120"/>
        <w:ind w:left="993" w:right="567" w:hanging="426"/>
        <w:contextualSpacing w:val="0"/>
        <w:jc w:val="both"/>
        <w:textAlignment w:val="baseline"/>
        <w:rPr>
          <w:bCs/>
          <w:lang w:val="de-DE"/>
        </w:rPr>
      </w:pPr>
      <w:r w:rsidRPr="00DC7824">
        <w:rPr>
          <w:bCs/>
          <w:lang w:val="de-DE"/>
        </w:rPr>
        <w:t xml:space="preserve">die </w:t>
      </w:r>
      <w:r w:rsidR="00A038CC" w:rsidRPr="00DC7824">
        <w:rPr>
          <w:bCs/>
          <w:lang w:val="de-DE"/>
        </w:rPr>
        <w:t xml:space="preserve">Materialstärke der Außenhaut müsste </w:t>
      </w:r>
      <w:r w:rsidRPr="00DC7824">
        <w:rPr>
          <w:bCs/>
          <w:lang w:val="de-DE"/>
        </w:rPr>
        <w:t xml:space="preserve">nur </w:t>
      </w:r>
      <w:r w:rsidR="00A038CC" w:rsidRPr="00DC7824">
        <w:rPr>
          <w:bCs/>
          <w:lang w:val="de-DE"/>
        </w:rPr>
        <w:t>den Bestimmungen des ES-TRIN entsprechen</w:t>
      </w:r>
      <w:r w:rsidR="008A6CFB" w:rsidRPr="00DC7824">
        <w:rPr>
          <w:bCs/>
          <w:lang w:val="de-DE"/>
        </w:rPr>
        <w:t xml:space="preserve">, </w:t>
      </w:r>
      <w:r w:rsidRPr="00DC7824">
        <w:rPr>
          <w:bCs/>
          <w:lang w:val="de-DE"/>
        </w:rPr>
        <w:t>nach denen der Boden des Schiffes nicht alle fünf, sondern nur alle zehn Jahre zu überprüfen ist.</w:t>
      </w:r>
    </w:p>
    <w:p w14:paraId="722340F2" w14:textId="77777777" w:rsidR="00326F72" w:rsidRDefault="00326F72" w:rsidP="00DC7824">
      <w:pPr>
        <w:widowControl w:val="0"/>
        <w:suppressAutoHyphens w:val="0"/>
        <w:overflowPunct w:val="0"/>
        <w:autoSpaceDE w:val="0"/>
        <w:autoSpaceDN w:val="0"/>
        <w:adjustRightInd w:val="0"/>
        <w:ind w:left="993" w:right="567" w:hanging="426"/>
        <w:jc w:val="both"/>
        <w:textAlignment w:val="baseline"/>
        <w:rPr>
          <w:bCs/>
          <w:lang w:val="de-DE"/>
        </w:rPr>
      </w:pPr>
    </w:p>
    <w:p w14:paraId="4D7F7462" w14:textId="1DCD71B5" w:rsidR="00B71686" w:rsidRDefault="001D49C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lang w:val="de-DE"/>
        </w:rPr>
      </w:pPr>
      <w:r>
        <w:rPr>
          <w:bCs/>
          <w:lang w:val="de-DE"/>
        </w:rPr>
        <w:t>20.</w:t>
      </w:r>
      <w:r>
        <w:rPr>
          <w:bCs/>
          <w:lang w:val="de-DE"/>
        </w:rPr>
        <w:tab/>
      </w:r>
      <w:r w:rsidR="00A038CC">
        <w:rPr>
          <w:bCs/>
          <w:lang w:val="de-DE"/>
        </w:rPr>
        <w:t>Aus vorgenannten Gründen wäre aus Sicht der deutschen Delegation ein gleicher Sicherheitsstandard nicht mehr gewährlei</w:t>
      </w:r>
      <w:r w:rsidR="00A64AEE">
        <w:rPr>
          <w:bCs/>
          <w:lang w:val="de-DE"/>
        </w:rPr>
        <w:t>s</w:t>
      </w:r>
      <w:r w:rsidR="00A038CC">
        <w:rPr>
          <w:bCs/>
          <w:lang w:val="de-DE"/>
        </w:rPr>
        <w:t>tet.</w:t>
      </w:r>
    </w:p>
    <w:p w14:paraId="2DA09FCE" w14:textId="77777777" w:rsidR="00A038CC" w:rsidRDefault="00A038C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Cs/>
          <w:lang w:val="de-DE"/>
        </w:rPr>
      </w:pPr>
    </w:p>
    <w:p w14:paraId="061F7144" w14:textId="23D29EAC" w:rsidR="00A038CC" w:rsidRDefault="001D49C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bCs/>
          <w:lang w:val="de-DE"/>
        </w:rPr>
        <w:t>21.</w:t>
      </w:r>
      <w:r>
        <w:rPr>
          <w:bCs/>
          <w:lang w:val="de-DE"/>
        </w:rPr>
        <w:tab/>
      </w:r>
      <w:r w:rsidR="00A038CC">
        <w:rPr>
          <w:bCs/>
          <w:lang w:val="de-DE"/>
        </w:rPr>
        <w:t>Weiterhin ist zu berücksichtigen, dass im Falle einer „Rückstufung“ von einem Tankschiff N geschlossen zu einem Tankschiff des Typs N offen mit Flammendurchschlagsicherung bzw. ohne Flammendurchschlagsicherung</w:t>
      </w:r>
      <w:r w:rsidR="000B4F18">
        <w:rPr>
          <w:bCs/>
          <w:lang w:val="de-DE"/>
        </w:rPr>
        <w:t>, der Eigentümer ebenfalls mit Verweis auf die Übergangsvorschrift die nicht erforderliche Aufrechterhaltung der laufenden Klasse für sein Fahrzeug beanspruchen könnte. Hierin wird ein klares Absenken des bereits erreichten Sicherheitsstandards gesehen.</w:t>
      </w:r>
    </w:p>
    <w:p w14:paraId="7F48DF7E" w14:textId="77777777" w:rsidR="00D30118" w:rsidRDefault="00D30118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14:paraId="29B2E1E8" w14:textId="77777777" w:rsidR="00BD7264" w:rsidRPr="003151F1" w:rsidRDefault="00FD5786" w:rsidP="003177E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snapToGrid/>
          <w:lang w:val="de-DE"/>
        </w:rPr>
      </w:pPr>
      <w:r w:rsidRPr="00FD5786">
        <w:rPr>
          <w:snapToGrid/>
          <w:lang w:val="de-DE"/>
        </w:rPr>
        <w:t>***</w:t>
      </w:r>
    </w:p>
    <w:sectPr w:rsidR="00BD7264" w:rsidRPr="003151F1" w:rsidSect="005F30BB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7BAC" w14:textId="77777777" w:rsidR="00F8217E" w:rsidRDefault="00F8217E">
      <w:pPr>
        <w:rPr>
          <w:szCs w:val="24"/>
        </w:rPr>
      </w:pPr>
    </w:p>
  </w:endnote>
  <w:endnote w:type="continuationSeparator" w:id="0">
    <w:p w14:paraId="3C8A427A" w14:textId="77777777" w:rsidR="00F8217E" w:rsidRDefault="00F8217E">
      <w:pPr>
        <w:rPr>
          <w:szCs w:val="24"/>
        </w:rPr>
      </w:pPr>
    </w:p>
  </w:endnote>
  <w:endnote w:type="continuationNotice" w:id="1">
    <w:p w14:paraId="6EE844C1" w14:textId="77777777" w:rsidR="00F8217E" w:rsidRDefault="00F8217E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59A0" w14:textId="77777777" w:rsidR="00273EA1" w:rsidRPr="00951A0F" w:rsidRDefault="00273EA1" w:rsidP="00273EA1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</w:t>
    </w:r>
    <w:r>
      <w:rPr>
        <w:rFonts w:ascii="Arial" w:hAnsi="Arial"/>
        <w:noProof/>
        <w:snapToGrid/>
        <w:sz w:val="12"/>
        <w:szCs w:val="24"/>
        <w:lang w:val="en-US"/>
      </w:rPr>
      <w:t>20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>
      <w:rPr>
        <w:rFonts w:ascii="Arial" w:hAnsi="Arial"/>
        <w:noProof/>
        <w:snapToGrid/>
        <w:sz w:val="12"/>
        <w:szCs w:val="24"/>
        <w:lang w:val="en-US"/>
      </w:rPr>
      <w:t>09de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7C90" w14:textId="6707984C" w:rsidR="000A3F47" w:rsidRPr="00951A0F" w:rsidRDefault="000A3F47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</w:t>
    </w:r>
    <w:r w:rsidR="00ED5788">
      <w:rPr>
        <w:rFonts w:ascii="Arial" w:hAnsi="Arial"/>
        <w:noProof/>
        <w:snapToGrid/>
        <w:sz w:val="12"/>
        <w:szCs w:val="24"/>
        <w:lang w:val="en-US"/>
      </w:rPr>
      <w:t>20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273EA1">
      <w:rPr>
        <w:rFonts w:ascii="Arial" w:hAnsi="Arial"/>
        <w:noProof/>
        <w:snapToGrid/>
        <w:sz w:val="12"/>
        <w:szCs w:val="24"/>
        <w:lang w:val="en-US"/>
      </w:rPr>
      <w:t>09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8971" w14:textId="77777777" w:rsidR="00F8217E" w:rsidRDefault="00F8217E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05001237" w14:textId="77777777" w:rsidR="00F8217E" w:rsidRDefault="00F8217E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74E69409" w14:textId="77777777" w:rsidR="00F8217E" w:rsidRDefault="00F8217E">
      <w:pPr>
        <w:rPr>
          <w:szCs w:val="24"/>
        </w:rPr>
      </w:pPr>
    </w:p>
  </w:footnote>
  <w:footnote w:id="2">
    <w:p w14:paraId="3878BF3E" w14:textId="0BCE2734" w:rsidR="00273EA1" w:rsidRPr="00962008" w:rsidRDefault="00273EA1" w:rsidP="00273EA1">
      <w:pPr>
        <w:pStyle w:val="FootnoteText"/>
        <w:rPr>
          <w:lang w:val="de-DE"/>
        </w:rPr>
      </w:pPr>
      <w:r w:rsidRPr="005F51C2">
        <w:rPr>
          <w:lang w:val="fr-FR"/>
        </w:rPr>
        <w:tab/>
      </w:r>
      <w:r w:rsidRPr="00962008">
        <w:rPr>
          <w:rStyle w:val="FootnoteReference"/>
          <w:sz w:val="20"/>
          <w:lang w:val="de-DE"/>
        </w:rPr>
        <w:t>*</w:t>
      </w:r>
      <w:r w:rsidRPr="00962008">
        <w:rPr>
          <w:sz w:val="16"/>
          <w:szCs w:val="16"/>
          <w:lang w:val="de-DE"/>
        </w:rPr>
        <w:tab/>
      </w:r>
      <w:r w:rsidRPr="00947F64">
        <w:rPr>
          <w:lang w:val="de-DE"/>
        </w:rPr>
        <w:t>Von der UN-ECE in Englisch, Französisch und Russisch unter dem Aktenzeichen CCNR-ZKR/ADN/WP.15/AC.2/20</w:t>
      </w:r>
      <w:r>
        <w:rPr>
          <w:lang w:val="de-DE"/>
        </w:rPr>
        <w:t>20</w:t>
      </w:r>
      <w:r w:rsidRPr="00947F64">
        <w:rPr>
          <w:lang w:val="de-DE"/>
        </w:rPr>
        <w:t>/</w:t>
      </w:r>
      <w:r>
        <w:rPr>
          <w:lang w:val="de-DE"/>
        </w:rPr>
        <w:t>9</w:t>
      </w:r>
      <w:r w:rsidRPr="00947F64">
        <w:rPr>
          <w:lang w:val="de-DE"/>
        </w:rPr>
        <w:t xml:space="preserve"> verteilt.</w:t>
      </w:r>
    </w:p>
  </w:footnote>
  <w:footnote w:id="3">
    <w:p w14:paraId="0B4D6DE4" w14:textId="77777777" w:rsidR="00273EA1" w:rsidRPr="00962008" w:rsidRDefault="00273EA1" w:rsidP="00273EA1">
      <w:pPr>
        <w:pStyle w:val="FootnoteText"/>
        <w:rPr>
          <w:lang w:val="de-DE"/>
        </w:rPr>
      </w:pPr>
      <w:r w:rsidRPr="00962008">
        <w:rPr>
          <w:lang w:val="de-DE"/>
        </w:rPr>
        <w:tab/>
      </w:r>
      <w:r w:rsidRPr="00962008">
        <w:rPr>
          <w:rStyle w:val="FootnoteReference"/>
          <w:sz w:val="20"/>
          <w:lang w:val="de-DE"/>
        </w:rPr>
        <w:t>**</w:t>
      </w:r>
      <w:r w:rsidRPr="00962008">
        <w:rPr>
          <w:lang w:val="de-DE"/>
        </w:rPr>
        <w:tab/>
      </w:r>
      <w:r w:rsidRPr="00947F64">
        <w:rPr>
          <w:lang w:val="de-DE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7C35" w14:textId="2A01DED8"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</w:t>
    </w:r>
    <w:r w:rsidR="008D3E36">
      <w:rPr>
        <w:rFonts w:ascii="Arial" w:hAnsi="Arial"/>
        <w:b w:val="0"/>
        <w:sz w:val="16"/>
        <w:szCs w:val="16"/>
        <w:lang w:val="en-US"/>
      </w:rPr>
      <w:t>2020/</w:t>
    </w:r>
    <w:r w:rsidR="00273EA1">
      <w:rPr>
        <w:rFonts w:ascii="Arial" w:hAnsi="Arial"/>
        <w:b w:val="0"/>
        <w:sz w:val="16"/>
        <w:szCs w:val="16"/>
        <w:lang w:val="en-US"/>
      </w:rPr>
      <w:t>9</w:t>
    </w:r>
  </w:p>
  <w:p w14:paraId="11F1C869" w14:textId="77777777"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="008114DA"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="008114DA" w:rsidRPr="008F1455">
      <w:rPr>
        <w:rFonts w:ascii="Arial" w:hAnsi="Arial"/>
        <w:b w:val="0"/>
        <w:sz w:val="16"/>
        <w:szCs w:val="16"/>
      </w:rPr>
      <w:fldChar w:fldCharType="separate"/>
    </w:r>
    <w:r w:rsidR="00326F72">
      <w:rPr>
        <w:rFonts w:ascii="Arial" w:hAnsi="Arial"/>
        <w:b w:val="0"/>
        <w:noProof/>
        <w:sz w:val="16"/>
        <w:szCs w:val="16"/>
      </w:rPr>
      <w:t>2</w:t>
    </w:r>
    <w:r w:rsidR="008114DA"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1425" w14:textId="137FBD98"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</w:t>
    </w:r>
    <w:r w:rsidR="008D3E36">
      <w:rPr>
        <w:rFonts w:ascii="Arial" w:hAnsi="Arial"/>
        <w:b w:val="0"/>
        <w:sz w:val="16"/>
        <w:szCs w:val="16"/>
        <w:lang w:val="en-US"/>
      </w:rPr>
      <w:t>20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273EA1">
      <w:rPr>
        <w:rFonts w:ascii="Arial" w:hAnsi="Arial"/>
        <w:b w:val="0"/>
        <w:sz w:val="16"/>
        <w:szCs w:val="16"/>
        <w:lang w:val="en-US"/>
      </w:rPr>
      <w:t>9</w:t>
    </w:r>
  </w:p>
  <w:p w14:paraId="024BC755" w14:textId="77777777"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 w:rsidR="008114DA"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="008114DA" w:rsidRPr="008F1455">
      <w:rPr>
        <w:rFonts w:ascii="Arial" w:hAnsi="Arial"/>
        <w:b w:val="0"/>
        <w:sz w:val="16"/>
        <w:szCs w:val="16"/>
      </w:rPr>
      <w:fldChar w:fldCharType="separate"/>
    </w:r>
    <w:r w:rsidR="00326F72">
      <w:rPr>
        <w:rFonts w:ascii="Arial" w:hAnsi="Arial"/>
        <w:b w:val="0"/>
        <w:noProof/>
        <w:sz w:val="16"/>
        <w:szCs w:val="16"/>
      </w:rPr>
      <w:t>3</w:t>
    </w:r>
    <w:r w:rsidR="008114DA" w:rsidRPr="008F1455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3057EFE"/>
    <w:multiLevelType w:val="hybridMultilevel"/>
    <w:tmpl w:val="B5FC1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5" w15:restartNumberingAfterBreak="0">
    <w:nsid w:val="3B811387"/>
    <w:multiLevelType w:val="hybridMultilevel"/>
    <w:tmpl w:val="F91658BC"/>
    <w:lvl w:ilvl="0" w:tplc="90AA6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312946"/>
    <w:multiLevelType w:val="hybridMultilevel"/>
    <w:tmpl w:val="552E5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8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7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6"/>
  </w:num>
  <w:num w:numId="5">
    <w:abstractNumId w:val="38"/>
  </w:num>
  <w:num w:numId="6">
    <w:abstractNumId w:val="4"/>
  </w:num>
  <w:num w:numId="7">
    <w:abstractNumId w:val="7"/>
  </w:num>
  <w:num w:numId="8">
    <w:abstractNumId w:val="25"/>
  </w:num>
  <w:num w:numId="9">
    <w:abstractNumId w:val="14"/>
  </w:num>
  <w:num w:numId="10">
    <w:abstractNumId w:val="8"/>
  </w:num>
  <w:num w:numId="11">
    <w:abstractNumId w:val="27"/>
  </w:num>
  <w:num w:numId="12">
    <w:abstractNumId w:val="5"/>
  </w:num>
  <w:num w:numId="13">
    <w:abstractNumId w:val="36"/>
  </w:num>
  <w:num w:numId="14">
    <w:abstractNumId w:val="9"/>
  </w:num>
  <w:num w:numId="15">
    <w:abstractNumId w:val="40"/>
  </w:num>
  <w:num w:numId="16">
    <w:abstractNumId w:val="34"/>
  </w:num>
  <w:num w:numId="17">
    <w:abstractNumId w:val="23"/>
  </w:num>
  <w:num w:numId="18">
    <w:abstractNumId w:val="17"/>
  </w:num>
  <w:num w:numId="19">
    <w:abstractNumId w:val="26"/>
  </w:num>
  <w:num w:numId="20">
    <w:abstractNumId w:val="10"/>
  </w:num>
  <w:num w:numId="21">
    <w:abstractNumId w:val="31"/>
  </w:num>
  <w:num w:numId="22">
    <w:abstractNumId w:val="39"/>
  </w:num>
  <w:num w:numId="23">
    <w:abstractNumId w:val="32"/>
  </w:num>
  <w:num w:numId="24">
    <w:abstractNumId w:val="20"/>
  </w:num>
  <w:num w:numId="25">
    <w:abstractNumId w:val="30"/>
  </w:num>
  <w:num w:numId="26">
    <w:abstractNumId w:val="19"/>
  </w:num>
  <w:num w:numId="27">
    <w:abstractNumId w:val="18"/>
  </w:num>
  <w:num w:numId="28">
    <w:abstractNumId w:val="35"/>
  </w:num>
  <w:num w:numId="29">
    <w:abstractNumId w:val="21"/>
  </w:num>
  <w:num w:numId="30">
    <w:abstractNumId w:val="29"/>
  </w:num>
  <w:num w:numId="31">
    <w:abstractNumId w:val="22"/>
  </w:num>
  <w:num w:numId="32">
    <w:abstractNumId w:val="28"/>
  </w:num>
  <w:num w:numId="33">
    <w:abstractNumId w:val="3"/>
  </w:num>
  <w:num w:numId="34">
    <w:abstractNumId w:val="13"/>
  </w:num>
  <w:num w:numId="35">
    <w:abstractNumId w:val="37"/>
  </w:num>
  <w:num w:numId="36">
    <w:abstractNumId w:val="16"/>
  </w:num>
  <w:num w:numId="37">
    <w:abstractNumId w:val="2"/>
  </w:num>
  <w:num w:numId="38">
    <w:abstractNumId w:val="11"/>
  </w:num>
  <w:num w:numId="39">
    <w:abstractNumId w:val="12"/>
  </w:num>
  <w:num w:numId="40">
    <w:abstractNumId w:val="24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0680"/>
    <w:rsid w:val="000012AB"/>
    <w:rsid w:val="00001364"/>
    <w:rsid w:val="00004AD6"/>
    <w:rsid w:val="000053C5"/>
    <w:rsid w:val="00010CCD"/>
    <w:rsid w:val="00015FC7"/>
    <w:rsid w:val="00020B06"/>
    <w:rsid w:val="0002116F"/>
    <w:rsid w:val="0002461E"/>
    <w:rsid w:val="00024FB3"/>
    <w:rsid w:val="00030C06"/>
    <w:rsid w:val="00031537"/>
    <w:rsid w:val="00035613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076D"/>
    <w:rsid w:val="00081084"/>
    <w:rsid w:val="0008130D"/>
    <w:rsid w:val="0008130F"/>
    <w:rsid w:val="0008420F"/>
    <w:rsid w:val="0008613C"/>
    <w:rsid w:val="00086DE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4F18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C75B2"/>
    <w:rsid w:val="000D14D1"/>
    <w:rsid w:val="000D4206"/>
    <w:rsid w:val="000D4601"/>
    <w:rsid w:val="000D57E8"/>
    <w:rsid w:val="000E0415"/>
    <w:rsid w:val="000E520B"/>
    <w:rsid w:val="000E5475"/>
    <w:rsid w:val="000E54E6"/>
    <w:rsid w:val="000E566D"/>
    <w:rsid w:val="000E7062"/>
    <w:rsid w:val="000E7AA3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26F65"/>
    <w:rsid w:val="00130458"/>
    <w:rsid w:val="00131A08"/>
    <w:rsid w:val="0013213F"/>
    <w:rsid w:val="0013574C"/>
    <w:rsid w:val="00135BA5"/>
    <w:rsid w:val="00135D19"/>
    <w:rsid w:val="00136129"/>
    <w:rsid w:val="00137881"/>
    <w:rsid w:val="00137A57"/>
    <w:rsid w:val="001422F4"/>
    <w:rsid w:val="001426C0"/>
    <w:rsid w:val="00146FF1"/>
    <w:rsid w:val="001471A5"/>
    <w:rsid w:val="00155C78"/>
    <w:rsid w:val="0015793D"/>
    <w:rsid w:val="00161846"/>
    <w:rsid w:val="0016237E"/>
    <w:rsid w:val="001628F5"/>
    <w:rsid w:val="00172CF3"/>
    <w:rsid w:val="001730D3"/>
    <w:rsid w:val="0017430D"/>
    <w:rsid w:val="00174EA5"/>
    <w:rsid w:val="001817E0"/>
    <w:rsid w:val="00181A2A"/>
    <w:rsid w:val="001870ED"/>
    <w:rsid w:val="00191685"/>
    <w:rsid w:val="00191751"/>
    <w:rsid w:val="00193460"/>
    <w:rsid w:val="001938F0"/>
    <w:rsid w:val="00194E53"/>
    <w:rsid w:val="001A1048"/>
    <w:rsid w:val="001A148C"/>
    <w:rsid w:val="001A2704"/>
    <w:rsid w:val="001A35CB"/>
    <w:rsid w:val="001A4ED5"/>
    <w:rsid w:val="001A5BF9"/>
    <w:rsid w:val="001B3169"/>
    <w:rsid w:val="001B3934"/>
    <w:rsid w:val="001B4857"/>
    <w:rsid w:val="001B4B04"/>
    <w:rsid w:val="001B5B74"/>
    <w:rsid w:val="001C0E55"/>
    <w:rsid w:val="001C2B65"/>
    <w:rsid w:val="001C3971"/>
    <w:rsid w:val="001C5D76"/>
    <w:rsid w:val="001C6663"/>
    <w:rsid w:val="001C7895"/>
    <w:rsid w:val="001C7D91"/>
    <w:rsid w:val="001D184F"/>
    <w:rsid w:val="001D26DF"/>
    <w:rsid w:val="001D49CE"/>
    <w:rsid w:val="001D6796"/>
    <w:rsid w:val="001E73AA"/>
    <w:rsid w:val="001F09CD"/>
    <w:rsid w:val="001F1354"/>
    <w:rsid w:val="001F14EB"/>
    <w:rsid w:val="001F5DEF"/>
    <w:rsid w:val="00203AB3"/>
    <w:rsid w:val="00203DD1"/>
    <w:rsid w:val="00205464"/>
    <w:rsid w:val="00205B1D"/>
    <w:rsid w:val="00207CB9"/>
    <w:rsid w:val="00211454"/>
    <w:rsid w:val="00211E0B"/>
    <w:rsid w:val="00212E01"/>
    <w:rsid w:val="002161C2"/>
    <w:rsid w:val="00216E4A"/>
    <w:rsid w:val="00224AA7"/>
    <w:rsid w:val="00225418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3EA1"/>
    <w:rsid w:val="002745AF"/>
    <w:rsid w:val="00275092"/>
    <w:rsid w:val="00277B86"/>
    <w:rsid w:val="00284E10"/>
    <w:rsid w:val="00287ADB"/>
    <w:rsid w:val="0029135B"/>
    <w:rsid w:val="00293E45"/>
    <w:rsid w:val="0029559D"/>
    <w:rsid w:val="002A0F84"/>
    <w:rsid w:val="002A3AB5"/>
    <w:rsid w:val="002A60DA"/>
    <w:rsid w:val="002B431F"/>
    <w:rsid w:val="002B50AC"/>
    <w:rsid w:val="002B7E5F"/>
    <w:rsid w:val="002C017B"/>
    <w:rsid w:val="002C03A7"/>
    <w:rsid w:val="002C1D9F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100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F72"/>
    <w:rsid w:val="00316FF5"/>
    <w:rsid w:val="003177E7"/>
    <w:rsid w:val="003229D8"/>
    <w:rsid w:val="00323726"/>
    <w:rsid w:val="00324FA1"/>
    <w:rsid w:val="00326926"/>
    <w:rsid w:val="00326EAB"/>
    <w:rsid w:val="00326F72"/>
    <w:rsid w:val="0033023C"/>
    <w:rsid w:val="00332291"/>
    <w:rsid w:val="00333876"/>
    <w:rsid w:val="0033408B"/>
    <w:rsid w:val="00335A85"/>
    <w:rsid w:val="0033745A"/>
    <w:rsid w:val="00350559"/>
    <w:rsid w:val="00350993"/>
    <w:rsid w:val="00350DE1"/>
    <w:rsid w:val="00354544"/>
    <w:rsid w:val="003545F4"/>
    <w:rsid w:val="00362CBF"/>
    <w:rsid w:val="003632F3"/>
    <w:rsid w:val="003641EF"/>
    <w:rsid w:val="003709C2"/>
    <w:rsid w:val="00370F68"/>
    <w:rsid w:val="00371FB2"/>
    <w:rsid w:val="00375D3A"/>
    <w:rsid w:val="00380A4E"/>
    <w:rsid w:val="003820C5"/>
    <w:rsid w:val="00385327"/>
    <w:rsid w:val="0038591B"/>
    <w:rsid w:val="00385F86"/>
    <w:rsid w:val="003915CC"/>
    <w:rsid w:val="0039277A"/>
    <w:rsid w:val="00395B51"/>
    <w:rsid w:val="003972E0"/>
    <w:rsid w:val="003A18B8"/>
    <w:rsid w:val="003A1EBD"/>
    <w:rsid w:val="003A3950"/>
    <w:rsid w:val="003B071E"/>
    <w:rsid w:val="003B0BDF"/>
    <w:rsid w:val="003B1FD7"/>
    <w:rsid w:val="003B3F7F"/>
    <w:rsid w:val="003B4451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149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5017B"/>
    <w:rsid w:val="00451FF1"/>
    <w:rsid w:val="00452BB4"/>
    <w:rsid w:val="00453575"/>
    <w:rsid w:val="004535E7"/>
    <w:rsid w:val="0045394D"/>
    <w:rsid w:val="0045575E"/>
    <w:rsid w:val="004571ED"/>
    <w:rsid w:val="004578CF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867"/>
    <w:rsid w:val="00501AA2"/>
    <w:rsid w:val="00503228"/>
    <w:rsid w:val="005049C9"/>
    <w:rsid w:val="00505384"/>
    <w:rsid w:val="005103F9"/>
    <w:rsid w:val="0051292C"/>
    <w:rsid w:val="00513283"/>
    <w:rsid w:val="005134CA"/>
    <w:rsid w:val="0051520D"/>
    <w:rsid w:val="0051600A"/>
    <w:rsid w:val="005166F9"/>
    <w:rsid w:val="00516773"/>
    <w:rsid w:val="005169C4"/>
    <w:rsid w:val="005179ED"/>
    <w:rsid w:val="0052122E"/>
    <w:rsid w:val="00521ECF"/>
    <w:rsid w:val="005244B7"/>
    <w:rsid w:val="00526A9F"/>
    <w:rsid w:val="00526E25"/>
    <w:rsid w:val="00527CFD"/>
    <w:rsid w:val="0053266F"/>
    <w:rsid w:val="005331DC"/>
    <w:rsid w:val="005337C8"/>
    <w:rsid w:val="00534BCF"/>
    <w:rsid w:val="005405D1"/>
    <w:rsid w:val="005419E9"/>
    <w:rsid w:val="005420F2"/>
    <w:rsid w:val="00542286"/>
    <w:rsid w:val="00542DCC"/>
    <w:rsid w:val="00542FFC"/>
    <w:rsid w:val="005432AE"/>
    <w:rsid w:val="00543623"/>
    <w:rsid w:val="0054420A"/>
    <w:rsid w:val="005447B3"/>
    <w:rsid w:val="005458EF"/>
    <w:rsid w:val="00546CA9"/>
    <w:rsid w:val="00546E37"/>
    <w:rsid w:val="005470FF"/>
    <w:rsid w:val="005505B1"/>
    <w:rsid w:val="005506F2"/>
    <w:rsid w:val="00563F28"/>
    <w:rsid w:val="005711D0"/>
    <w:rsid w:val="005712C9"/>
    <w:rsid w:val="00571D01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4F07"/>
    <w:rsid w:val="005A56C5"/>
    <w:rsid w:val="005A63C6"/>
    <w:rsid w:val="005A6450"/>
    <w:rsid w:val="005B0C72"/>
    <w:rsid w:val="005B1B0F"/>
    <w:rsid w:val="005B353D"/>
    <w:rsid w:val="005B3DB3"/>
    <w:rsid w:val="005B4CE0"/>
    <w:rsid w:val="005C173D"/>
    <w:rsid w:val="005C3653"/>
    <w:rsid w:val="005C44BA"/>
    <w:rsid w:val="005C6DF8"/>
    <w:rsid w:val="005D0A7F"/>
    <w:rsid w:val="005D1225"/>
    <w:rsid w:val="005D3642"/>
    <w:rsid w:val="005D3FE8"/>
    <w:rsid w:val="005D5495"/>
    <w:rsid w:val="005D73B7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03C5"/>
    <w:rsid w:val="00601D72"/>
    <w:rsid w:val="0060248B"/>
    <w:rsid w:val="00603EBA"/>
    <w:rsid w:val="00606CF1"/>
    <w:rsid w:val="0061032A"/>
    <w:rsid w:val="00610834"/>
    <w:rsid w:val="00611FC4"/>
    <w:rsid w:val="00612B44"/>
    <w:rsid w:val="00617178"/>
    <w:rsid w:val="006176FB"/>
    <w:rsid w:val="00617FAE"/>
    <w:rsid w:val="0062304B"/>
    <w:rsid w:val="006249FB"/>
    <w:rsid w:val="00626B1C"/>
    <w:rsid w:val="00627ED0"/>
    <w:rsid w:val="00630B7D"/>
    <w:rsid w:val="00631FF4"/>
    <w:rsid w:val="00634E3E"/>
    <w:rsid w:val="006355CB"/>
    <w:rsid w:val="006364CC"/>
    <w:rsid w:val="00637CA2"/>
    <w:rsid w:val="00640B26"/>
    <w:rsid w:val="00642C2E"/>
    <w:rsid w:val="0064385C"/>
    <w:rsid w:val="00644FED"/>
    <w:rsid w:val="0064585E"/>
    <w:rsid w:val="006517B6"/>
    <w:rsid w:val="00651FC8"/>
    <w:rsid w:val="00665595"/>
    <w:rsid w:val="006659D9"/>
    <w:rsid w:val="00665BFA"/>
    <w:rsid w:val="00672F7A"/>
    <w:rsid w:val="00673795"/>
    <w:rsid w:val="00676EEB"/>
    <w:rsid w:val="00682DD7"/>
    <w:rsid w:val="0068316E"/>
    <w:rsid w:val="00683296"/>
    <w:rsid w:val="006833A6"/>
    <w:rsid w:val="0068441D"/>
    <w:rsid w:val="00687118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6C24"/>
    <w:rsid w:val="006D7D5B"/>
    <w:rsid w:val="006E0871"/>
    <w:rsid w:val="006E09C4"/>
    <w:rsid w:val="006E0D61"/>
    <w:rsid w:val="006E0E2C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310B"/>
    <w:rsid w:val="0075352F"/>
    <w:rsid w:val="00756A00"/>
    <w:rsid w:val="00757B9F"/>
    <w:rsid w:val="00760E3C"/>
    <w:rsid w:val="00760FCD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B3D45"/>
    <w:rsid w:val="007B64F2"/>
    <w:rsid w:val="007B6BA5"/>
    <w:rsid w:val="007B7B1E"/>
    <w:rsid w:val="007C169B"/>
    <w:rsid w:val="007C2D3B"/>
    <w:rsid w:val="007C3390"/>
    <w:rsid w:val="007C4F4B"/>
    <w:rsid w:val="007C7A4E"/>
    <w:rsid w:val="007D64B1"/>
    <w:rsid w:val="007D6B79"/>
    <w:rsid w:val="007E3BE8"/>
    <w:rsid w:val="007E49D5"/>
    <w:rsid w:val="007E5ABB"/>
    <w:rsid w:val="007E7364"/>
    <w:rsid w:val="007F0B83"/>
    <w:rsid w:val="007F2784"/>
    <w:rsid w:val="007F47D1"/>
    <w:rsid w:val="007F5967"/>
    <w:rsid w:val="007F6611"/>
    <w:rsid w:val="008002AF"/>
    <w:rsid w:val="0080128E"/>
    <w:rsid w:val="00801D46"/>
    <w:rsid w:val="00803656"/>
    <w:rsid w:val="00803D3F"/>
    <w:rsid w:val="008114DA"/>
    <w:rsid w:val="0081239D"/>
    <w:rsid w:val="008123EC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33C7"/>
    <w:rsid w:val="00836A0C"/>
    <w:rsid w:val="00837A3F"/>
    <w:rsid w:val="0084125D"/>
    <w:rsid w:val="00842AFA"/>
    <w:rsid w:val="00842B7B"/>
    <w:rsid w:val="00844584"/>
    <w:rsid w:val="00852092"/>
    <w:rsid w:val="00852F91"/>
    <w:rsid w:val="00853E16"/>
    <w:rsid w:val="0085417D"/>
    <w:rsid w:val="008550E6"/>
    <w:rsid w:val="00861AFA"/>
    <w:rsid w:val="008623E4"/>
    <w:rsid w:val="00862BB8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264"/>
    <w:rsid w:val="00894FF2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3FAA"/>
    <w:rsid w:val="008A6B25"/>
    <w:rsid w:val="008A6C4F"/>
    <w:rsid w:val="008A6CFB"/>
    <w:rsid w:val="008A7A81"/>
    <w:rsid w:val="008B70D8"/>
    <w:rsid w:val="008C57B1"/>
    <w:rsid w:val="008C78C7"/>
    <w:rsid w:val="008D054A"/>
    <w:rsid w:val="008D3C1D"/>
    <w:rsid w:val="008D3E36"/>
    <w:rsid w:val="008D4730"/>
    <w:rsid w:val="008D5935"/>
    <w:rsid w:val="008E0E46"/>
    <w:rsid w:val="008E1A7D"/>
    <w:rsid w:val="008E58A3"/>
    <w:rsid w:val="008E7D56"/>
    <w:rsid w:val="008F1455"/>
    <w:rsid w:val="008F2597"/>
    <w:rsid w:val="008F2F8A"/>
    <w:rsid w:val="008F4E42"/>
    <w:rsid w:val="008F561F"/>
    <w:rsid w:val="008F649A"/>
    <w:rsid w:val="008F663D"/>
    <w:rsid w:val="00906C0C"/>
    <w:rsid w:val="00907AD2"/>
    <w:rsid w:val="009124F2"/>
    <w:rsid w:val="00915860"/>
    <w:rsid w:val="00917C0E"/>
    <w:rsid w:val="00921D85"/>
    <w:rsid w:val="00925B30"/>
    <w:rsid w:val="0092768B"/>
    <w:rsid w:val="009316CC"/>
    <w:rsid w:val="00936C2E"/>
    <w:rsid w:val="00936F09"/>
    <w:rsid w:val="00940A5E"/>
    <w:rsid w:val="00943DC9"/>
    <w:rsid w:val="00945924"/>
    <w:rsid w:val="009464F5"/>
    <w:rsid w:val="00946B6A"/>
    <w:rsid w:val="0094776F"/>
    <w:rsid w:val="00950A26"/>
    <w:rsid w:val="00951A0F"/>
    <w:rsid w:val="00953A54"/>
    <w:rsid w:val="00957E2B"/>
    <w:rsid w:val="00960ED4"/>
    <w:rsid w:val="00962117"/>
    <w:rsid w:val="009624BC"/>
    <w:rsid w:val="00962600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4CC7"/>
    <w:rsid w:val="009F5056"/>
    <w:rsid w:val="009F5ED7"/>
    <w:rsid w:val="00A002DC"/>
    <w:rsid w:val="00A01E5A"/>
    <w:rsid w:val="00A02B0C"/>
    <w:rsid w:val="00A038CC"/>
    <w:rsid w:val="00A046BE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5E73"/>
    <w:rsid w:val="00A26CE4"/>
    <w:rsid w:val="00A318FF"/>
    <w:rsid w:val="00A33DF6"/>
    <w:rsid w:val="00A413F7"/>
    <w:rsid w:val="00A42809"/>
    <w:rsid w:val="00A42CEA"/>
    <w:rsid w:val="00A43072"/>
    <w:rsid w:val="00A478E2"/>
    <w:rsid w:val="00A52F74"/>
    <w:rsid w:val="00A541EA"/>
    <w:rsid w:val="00A55D32"/>
    <w:rsid w:val="00A5718A"/>
    <w:rsid w:val="00A64AEE"/>
    <w:rsid w:val="00A6700E"/>
    <w:rsid w:val="00A72F22"/>
    <w:rsid w:val="00A7307A"/>
    <w:rsid w:val="00A742F7"/>
    <w:rsid w:val="00A747E9"/>
    <w:rsid w:val="00A748A6"/>
    <w:rsid w:val="00A769E3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601A"/>
    <w:rsid w:val="00AA6B29"/>
    <w:rsid w:val="00AA771D"/>
    <w:rsid w:val="00AB3DA4"/>
    <w:rsid w:val="00AB6415"/>
    <w:rsid w:val="00AB7662"/>
    <w:rsid w:val="00AB7676"/>
    <w:rsid w:val="00AC1316"/>
    <w:rsid w:val="00AC2900"/>
    <w:rsid w:val="00AC6F63"/>
    <w:rsid w:val="00AC76F5"/>
    <w:rsid w:val="00AD7888"/>
    <w:rsid w:val="00AE20DC"/>
    <w:rsid w:val="00AE308A"/>
    <w:rsid w:val="00AE55CE"/>
    <w:rsid w:val="00AE7A4A"/>
    <w:rsid w:val="00AF2B04"/>
    <w:rsid w:val="00AF532B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1924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67F7D"/>
    <w:rsid w:val="00B71686"/>
    <w:rsid w:val="00B72BAF"/>
    <w:rsid w:val="00B75DBE"/>
    <w:rsid w:val="00B808A0"/>
    <w:rsid w:val="00B809B9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964BA"/>
    <w:rsid w:val="00BA2B41"/>
    <w:rsid w:val="00BA2B82"/>
    <w:rsid w:val="00BA2C43"/>
    <w:rsid w:val="00BA31B9"/>
    <w:rsid w:val="00BA4C2C"/>
    <w:rsid w:val="00BA512A"/>
    <w:rsid w:val="00BA6EB9"/>
    <w:rsid w:val="00BA75EC"/>
    <w:rsid w:val="00BA7A1C"/>
    <w:rsid w:val="00BB0E9C"/>
    <w:rsid w:val="00BB3C77"/>
    <w:rsid w:val="00BB3FE6"/>
    <w:rsid w:val="00BB4DC2"/>
    <w:rsid w:val="00BC027E"/>
    <w:rsid w:val="00BC73EE"/>
    <w:rsid w:val="00BC74E9"/>
    <w:rsid w:val="00BC775C"/>
    <w:rsid w:val="00BD1D9F"/>
    <w:rsid w:val="00BD2146"/>
    <w:rsid w:val="00BD2427"/>
    <w:rsid w:val="00BD30F9"/>
    <w:rsid w:val="00BD7264"/>
    <w:rsid w:val="00BE07FE"/>
    <w:rsid w:val="00BE2319"/>
    <w:rsid w:val="00BE2713"/>
    <w:rsid w:val="00BE4F74"/>
    <w:rsid w:val="00BE5BAE"/>
    <w:rsid w:val="00BE618E"/>
    <w:rsid w:val="00BF25C2"/>
    <w:rsid w:val="00C0023D"/>
    <w:rsid w:val="00C024CD"/>
    <w:rsid w:val="00C10998"/>
    <w:rsid w:val="00C1554D"/>
    <w:rsid w:val="00C17699"/>
    <w:rsid w:val="00C2168C"/>
    <w:rsid w:val="00C2337F"/>
    <w:rsid w:val="00C23F04"/>
    <w:rsid w:val="00C30246"/>
    <w:rsid w:val="00C30B51"/>
    <w:rsid w:val="00C3163F"/>
    <w:rsid w:val="00C32156"/>
    <w:rsid w:val="00C342A7"/>
    <w:rsid w:val="00C35F27"/>
    <w:rsid w:val="00C40D31"/>
    <w:rsid w:val="00C41A28"/>
    <w:rsid w:val="00C46154"/>
    <w:rsid w:val="00C463DD"/>
    <w:rsid w:val="00C5582C"/>
    <w:rsid w:val="00C60906"/>
    <w:rsid w:val="00C6118C"/>
    <w:rsid w:val="00C61A09"/>
    <w:rsid w:val="00C6435B"/>
    <w:rsid w:val="00C64C80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A68"/>
    <w:rsid w:val="00CC1B61"/>
    <w:rsid w:val="00CC3511"/>
    <w:rsid w:val="00CC4E3B"/>
    <w:rsid w:val="00CC6C36"/>
    <w:rsid w:val="00CD0AB3"/>
    <w:rsid w:val="00CD403A"/>
    <w:rsid w:val="00CD4433"/>
    <w:rsid w:val="00CD6B2E"/>
    <w:rsid w:val="00CD7454"/>
    <w:rsid w:val="00CE01C0"/>
    <w:rsid w:val="00CE0B4A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2284"/>
    <w:rsid w:val="00D04BA4"/>
    <w:rsid w:val="00D04E81"/>
    <w:rsid w:val="00D073C6"/>
    <w:rsid w:val="00D121B6"/>
    <w:rsid w:val="00D1389C"/>
    <w:rsid w:val="00D1425B"/>
    <w:rsid w:val="00D164DD"/>
    <w:rsid w:val="00D2031B"/>
    <w:rsid w:val="00D20C42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40A35"/>
    <w:rsid w:val="00D43252"/>
    <w:rsid w:val="00D45AF8"/>
    <w:rsid w:val="00D45D0A"/>
    <w:rsid w:val="00D46B40"/>
    <w:rsid w:val="00D55857"/>
    <w:rsid w:val="00D60CDC"/>
    <w:rsid w:val="00D6389B"/>
    <w:rsid w:val="00D66BBC"/>
    <w:rsid w:val="00D71B47"/>
    <w:rsid w:val="00D72DE1"/>
    <w:rsid w:val="00D768B4"/>
    <w:rsid w:val="00D85458"/>
    <w:rsid w:val="00D96269"/>
    <w:rsid w:val="00D978C6"/>
    <w:rsid w:val="00D97FD0"/>
    <w:rsid w:val="00DA3278"/>
    <w:rsid w:val="00DA3C6C"/>
    <w:rsid w:val="00DA5A0F"/>
    <w:rsid w:val="00DA67AD"/>
    <w:rsid w:val="00DB06D2"/>
    <w:rsid w:val="00DB2042"/>
    <w:rsid w:val="00DB2A63"/>
    <w:rsid w:val="00DB4C2A"/>
    <w:rsid w:val="00DB5D0F"/>
    <w:rsid w:val="00DC06C8"/>
    <w:rsid w:val="00DC4C63"/>
    <w:rsid w:val="00DC59B0"/>
    <w:rsid w:val="00DC6021"/>
    <w:rsid w:val="00DC7824"/>
    <w:rsid w:val="00DD1B54"/>
    <w:rsid w:val="00DD30B2"/>
    <w:rsid w:val="00DD415F"/>
    <w:rsid w:val="00DD56C9"/>
    <w:rsid w:val="00DE32AC"/>
    <w:rsid w:val="00DE3411"/>
    <w:rsid w:val="00DE4439"/>
    <w:rsid w:val="00DE4FE4"/>
    <w:rsid w:val="00DF0592"/>
    <w:rsid w:val="00DF12F7"/>
    <w:rsid w:val="00DF1747"/>
    <w:rsid w:val="00DF3292"/>
    <w:rsid w:val="00DF44B5"/>
    <w:rsid w:val="00DF495E"/>
    <w:rsid w:val="00DF6806"/>
    <w:rsid w:val="00DF73B7"/>
    <w:rsid w:val="00E01A8F"/>
    <w:rsid w:val="00E02C81"/>
    <w:rsid w:val="00E03DE2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947"/>
    <w:rsid w:val="00E37B82"/>
    <w:rsid w:val="00E37CA8"/>
    <w:rsid w:val="00E41CFE"/>
    <w:rsid w:val="00E43F71"/>
    <w:rsid w:val="00E46597"/>
    <w:rsid w:val="00E472A8"/>
    <w:rsid w:val="00E47898"/>
    <w:rsid w:val="00E53AC3"/>
    <w:rsid w:val="00E55279"/>
    <w:rsid w:val="00E65FE7"/>
    <w:rsid w:val="00E66F5C"/>
    <w:rsid w:val="00E7260F"/>
    <w:rsid w:val="00E773CD"/>
    <w:rsid w:val="00E819ED"/>
    <w:rsid w:val="00E842CE"/>
    <w:rsid w:val="00E847C3"/>
    <w:rsid w:val="00E87921"/>
    <w:rsid w:val="00E87D14"/>
    <w:rsid w:val="00E913FD"/>
    <w:rsid w:val="00E92905"/>
    <w:rsid w:val="00E951FE"/>
    <w:rsid w:val="00E96630"/>
    <w:rsid w:val="00E96675"/>
    <w:rsid w:val="00E977C2"/>
    <w:rsid w:val="00EA264E"/>
    <w:rsid w:val="00EA34E5"/>
    <w:rsid w:val="00EA6913"/>
    <w:rsid w:val="00EB247C"/>
    <w:rsid w:val="00EB36FE"/>
    <w:rsid w:val="00EB504F"/>
    <w:rsid w:val="00EB6BAC"/>
    <w:rsid w:val="00EC2F56"/>
    <w:rsid w:val="00EC54BA"/>
    <w:rsid w:val="00EC67F7"/>
    <w:rsid w:val="00ED095F"/>
    <w:rsid w:val="00ED3E08"/>
    <w:rsid w:val="00ED5788"/>
    <w:rsid w:val="00ED5D98"/>
    <w:rsid w:val="00ED621D"/>
    <w:rsid w:val="00ED7A2A"/>
    <w:rsid w:val="00EE17D9"/>
    <w:rsid w:val="00EE1D86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066"/>
    <w:rsid w:val="00F1366A"/>
    <w:rsid w:val="00F168BE"/>
    <w:rsid w:val="00F20E92"/>
    <w:rsid w:val="00F2154F"/>
    <w:rsid w:val="00F224E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17E"/>
    <w:rsid w:val="00F82A21"/>
    <w:rsid w:val="00F85F34"/>
    <w:rsid w:val="00F87B14"/>
    <w:rsid w:val="00F9011D"/>
    <w:rsid w:val="00F90CC7"/>
    <w:rsid w:val="00F96874"/>
    <w:rsid w:val="00F968DB"/>
    <w:rsid w:val="00F97B4D"/>
    <w:rsid w:val="00FA06F7"/>
    <w:rsid w:val="00FA0FB0"/>
    <w:rsid w:val="00FA1595"/>
    <w:rsid w:val="00FA1BD2"/>
    <w:rsid w:val="00FA2D8B"/>
    <w:rsid w:val="00FA7758"/>
    <w:rsid w:val="00FB0E8E"/>
    <w:rsid w:val="00FB0F05"/>
    <w:rsid w:val="00FB171A"/>
    <w:rsid w:val="00FB220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5786"/>
    <w:rsid w:val="00FD5ECB"/>
    <w:rsid w:val="00FD7BF6"/>
    <w:rsid w:val="00FE0BD6"/>
    <w:rsid w:val="00FE1700"/>
    <w:rsid w:val="00FE2A8B"/>
    <w:rsid w:val="00FE460C"/>
    <w:rsid w:val="00FE78C4"/>
    <w:rsid w:val="00FF1485"/>
    <w:rsid w:val="00FF2020"/>
    <w:rsid w:val="00FF2FF5"/>
    <w:rsid w:val="00FF3E28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E3C76"/>
  <w15:docId w15:val="{09F478E4-2A0A-4BFA-A4B9-3F8ED54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168C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Textkrper21">
    <w:name w:val="Textkörper 21"/>
    <w:basedOn w:val="Normal"/>
    <w:rsid w:val="00E472A8"/>
    <w:pPr>
      <w:widowControl w:val="0"/>
      <w:suppressAutoHyphens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snapToGrid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7AF0-0AAA-4144-B919-B103BAD0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4</Pages>
  <Words>1313</Words>
  <Characters>7488</Characters>
  <Application>Microsoft Office Word</Application>
  <DocSecurity>4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2</cp:revision>
  <cp:lastPrinted>2019-11-14T10:58:00Z</cp:lastPrinted>
  <dcterms:created xsi:type="dcterms:W3CDTF">2019-11-14T11:29:00Z</dcterms:created>
  <dcterms:modified xsi:type="dcterms:W3CDTF">2019-11-14T11:29:00Z</dcterms:modified>
</cp:coreProperties>
</file>