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846C340" w14:textId="77777777" w:rsidTr="005316B0">
        <w:trPr>
          <w:trHeight w:hRule="exact" w:val="851"/>
        </w:trPr>
        <w:tc>
          <w:tcPr>
            <w:tcW w:w="1276" w:type="dxa"/>
            <w:tcBorders>
              <w:bottom w:val="single" w:sz="4" w:space="0" w:color="auto"/>
            </w:tcBorders>
          </w:tcPr>
          <w:p w14:paraId="25FA768F" w14:textId="77777777" w:rsidR="001433FD" w:rsidRPr="00DB58B5" w:rsidRDefault="001433FD" w:rsidP="0001207F"/>
        </w:tc>
        <w:tc>
          <w:tcPr>
            <w:tcW w:w="2268" w:type="dxa"/>
            <w:tcBorders>
              <w:bottom w:val="single" w:sz="4" w:space="0" w:color="auto"/>
            </w:tcBorders>
            <w:vAlign w:val="bottom"/>
          </w:tcPr>
          <w:p w14:paraId="14A3178E"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CB60A0" w14:textId="77777777" w:rsidR="001433FD" w:rsidRPr="00DB58B5" w:rsidRDefault="00394DF0" w:rsidP="00394DF0">
            <w:pPr>
              <w:jc w:val="right"/>
            </w:pPr>
            <w:r w:rsidRPr="00394DF0">
              <w:rPr>
                <w:sz w:val="40"/>
              </w:rPr>
              <w:t>ECE</w:t>
            </w:r>
            <w:r>
              <w:t>/TRANS/WP.15/AC.2/2020/5</w:t>
            </w:r>
          </w:p>
        </w:tc>
      </w:tr>
      <w:tr w:rsidR="001433FD" w:rsidRPr="00DB58B5" w14:paraId="7449B5CB" w14:textId="77777777" w:rsidTr="007D3236">
        <w:trPr>
          <w:trHeight w:hRule="exact" w:val="2835"/>
        </w:trPr>
        <w:tc>
          <w:tcPr>
            <w:tcW w:w="1276" w:type="dxa"/>
            <w:tcBorders>
              <w:top w:val="single" w:sz="4" w:space="0" w:color="auto"/>
              <w:bottom w:val="single" w:sz="12" w:space="0" w:color="auto"/>
            </w:tcBorders>
          </w:tcPr>
          <w:p w14:paraId="5DBD4205" w14:textId="77777777" w:rsidR="001433FD" w:rsidRPr="00DB58B5" w:rsidRDefault="001433FD" w:rsidP="007D3236">
            <w:pPr>
              <w:spacing w:before="120"/>
              <w:jc w:val="center"/>
            </w:pPr>
            <w:r>
              <w:rPr>
                <w:noProof/>
                <w:lang w:eastAsia="fr-CH"/>
              </w:rPr>
              <w:drawing>
                <wp:inline distT="0" distB="0" distL="0" distR="0" wp14:anchorId="627FF5E1" wp14:editId="620894A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9A9681"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58CA0CB" w14:textId="77777777" w:rsidR="0001207F" w:rsidRDefault="00394DF0" w:rsidP="00394DF0">
            <w:pPr>
              <w:spacing w:before="240" w:line="240" w:lineRule="exact"/>
            </w:pPr>
            <w:proofErr w:type="spellStart"/>
            <w:r>
              <w:t>Distr</w:t>
            </w:r>
            <w:proofErr w:type="spellEnd"/>
            <w:r>
              <w:t>. générale</w:t>
            </w:r>
          </w:p>
          <w:p w14:paraId="7F013B9F" w14:textId="77777777" w:rsidR="00394DF0" w:rsidRDefault="008B74BE" w:rsidP="00394DF0">
            <w:pPr>
              <w:spacing w:line="240" w:lineRule="exact"/>
            </w:pPr>
            <w:r>
              <w:t>7</w:t>
            </w:r>
            <w:r w:rsidR="00394DF0">
              <w:t xml:space="preserve"> novembre 2019</w:t>
            </w:r>
          </w:p>
          <w:p w14:paraId="6D594596" w14:textId="77777777" w:rsidR="00394DF0" w:rsidRDefault="00394DF0" w:rsidP="00394DF0">
            <w:pPr>
              <w:spacing w:line="240" w:lineRule="exact"/>
            </w:pPr>
          </w:p>
          <w:p w14:paraId="14CF6B07" w14:textId="77777777" w:rsidR="00394DF0" w:rsidRPr="00DB58B5" w:rsidRDefault="00394DF0" w:rsidP="00394DF0">
            <w:pPr>
              <w:spacing w:line="240" w:lineRule="exact"/>
            </w:pPr>
            <w:r>
              <w:t>Original : français</w:t>
            </w:r>
          </w:p>
        </w:tc>
      </w:tr>
    </w:tbl>
    <w:p w14:paraId="4AD02D2C" w14:textId="77777777" w:rsidR="004A4600" w:rsidRDefault="004A4600" w:rsidP="00FD1581">
      <w:pPr>
        <w:spacing w:before="120"/>
        <w:rPr>
          <w:b/>
          <w:sz w:val="28"/>
          <w:szCs w:val="28"/>
        </w:rPr>
      </w:pPr>
      <w:r w:rsidRPr="00883605">
        <w:rPr>
          <w:b/>
          <w:sz w:val="28"/>
          <w:szCs w:val="28"/>
        </w:rPr>
        <w:t>Commission économique pour l’Europe</w:t>
      </w:r>
    </w:p>
    <w:p w14:paraId="2F61D7B6" w14:textId="77777777" w:rsidR="004A4600" w:rsidRDefault="004A4600" w:rsidP="00FD1581">
      <w:pPr>
        <w:spacing w:before="120"/>
        <w:rPr>
          <w:sz w:val="28"/>
          <w:szCs w:val="28"/>
        </w:rPr>
      </w:pPr>
      <w:r w:rsidRPr="00685843">
        <w:rPr>
          <w:sz w:val="28"/>
          <w:szCs w:val="28"/>
        </w:rPr>
        <w:t>Comité des transports intérieurs</w:t>
      </w:r>
    </w:p>
    <w:p w14:paraId="579D3C14" w14:textId="77777777" w:rsidR="004A4600" w:rsidRPr="009E01B8" w:rsidRDefault="004A4600" w:rsidP="00FD1581">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4616B8BC" w14:textId="77777777" w:rsidR="004A4600" w:rsidRPr="004812F5" w:rsidRDefault="004A4600" w:rsidP="00FD1581">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70B9EC98" w14:textId="77777777" w:rsidR="004A4600" w:rsidRPr="00234E40" w:rsidRDefault="004A4600" w:rsidP="00FD1581">
      <w:pPr>
        <w:spacing w:before="120"/>
        <w:rPr>
          <w:b/>
        </w:rPr>
      </w:pPr>
      <w:r>
        <w:rPr>
          <w:b/>
        </w:rPr>
        <w:t xml:space="preserve">Trente-sixième </w:t>
      </w:r>
      <w:r w:rsidRPr="00234E40">
        <w:rPr>
          <w:b/>
        </w:rPr>
        <w:t>session</w:t>
      </w:r>
    </w:p>
    <w:p w14:paraId="27B67D6E" w14:textId="77777777" w:rsidR="004A4600" w:rsidRDefault="004A4600" w:rsidP="00FD1581">
      <w:r>
        <w:t>Genève, 27-31 janvier 2020</w:t>
      </w:r>
    </w:p>
    <w:p w14:paraId="1EF6A254" w14:textId="77777777" w:rsidR="004A4600" w:rsidRDefault="004A4600" w:rsidP="00FD1581">
      <w:r w:rsidRPr="00B93E72">
        <w:t xml:space="preserve">Point </w:t>
      </w:r>
      <w:r>
        <w:t xml:space="preserve">5 b) </w:t>
      </w:r>
      <w:r w:rsidRPr="00B93E72">
        <w:t>de l’ordre du jour provisoire</w:t>
      </w:r>
    </w:p>
    <w:p w14:paraId="76BE4149" w14:textId="77777777" w:rsidR="004A4600" w:rsidRPr="004A4600" w:rsidRDefault="004A4600" w:rsidP="00FD1581">
      <w:pPr>
        <w:rPr>
          <w:b/>
          <w:bCs/>
        </w:rPr>
      </w:pPr>
      <w:r w:rsidRPr="004A4600">
        <w:rPr>
          <w:b/>
          <w:bCs/>
        </w:rPr>
        <w:t>Propositions d’amendements au Règlement annexé à l’ADN :</w:t>
      </w:r>
    </w:p>
    <w:p w14:paraId="7BDB8660" w14:textId="77777777" w:rsidR="004A4600" w:rsidRDefault="004A4600" w:rsidP="004A4600">
      <w:pPr>
        <w:spacing w:after="240"/>
        <w:rPr>
          <w:b/>
          <w:bCs/>
        </w:rPr>
      </w:pPr>
      <w:proofErr w:type="gramStart"/>
      <w:r w:rsidRPr="004A4600">
        <w:rPr>
          <w:b/>
          <w:bCs/>
        </w:rPr>
        <w:t>autres</w:t>
      </w:r>
      <w:proofErr w:type="gramEnd"/>
      <w:r w:rsidRPr="004A4600">
        <w:rPr>
          <w:b/>
          <w:bCs/>
        </w:rPr>
        <w:t xml:space="preserve"> propositions</w:t>
      </w:r>
    </w:p>
    <w:p w14:paraId="2FBF10A1" w14:textId="77777777" w:rsidR="004A4600" w:rsidRDefault="004A4600" w:rsidP="004A4600">
      <w:pPr>
        <w:pStyle w:val="HChG"/>
        <w:keepNext w:val="0"/>
        <w:keepLines w:val="0"/>
        <w:tabs>
          <w:tab w:val="clear" w:pos="851"/>
        </w:tabs>
        <w:spacing w:before="0" w:after="0" w:line="240" w:lineRule="auto"/>
        <w:ind w:right="0" w:firstLine="0"/>
        <w:jc w:val="both"/>
        <w:rPr>
          <w:bCs/>
          <w:szCs w:val="24"/>
          <w:lang w:val="fr-FR"/>
        </w:rPr>
      </w:pPr>
      <w:bookmarkStart w:id="0" w:name="_GoBack"/>
      <w:r w:rsidRPr="00E257C6">
        <w:rPr>
          <w:bCs/>
          <w:szCs w:val="24"/>
          <w:lang w:val="fr-FR"/>
        </w:rPr>
        <w:t>7.2</w:t>
      </w:r>
      <w:r w:rsidR="002871C0">
        <w:rPr>
          <w:bCs/>
          <w:szCs w:val="24"/>
          <w:lang w:val="fr-FR"/>
        </w:rPr>
        <w:t xml:space="preserve"> de l’</w:t>
      </w:r>
      <w:r w:rsidRPr="00E257C6">
        <w:rPr>
          <w:bCs/>
          <w:szCs w:val="24"/>
          <w:lang w:val="fr-FR"/>
        </w:rPr>
        <w:t>ADN – Installations et équipements électriques</w:t>
      </w:r>
      <w:bookmarkEnd w:id="0"/>
    </w:p>
    <w:p w14:paraId="4FEDBECA" w14:textId="77777777" w:rsidR="004A4600" w:rsidRDefault="004A4600" w:rsidP="004A4600">
      <w:pPr>
        <w:pStyle w:val="H1G"/>
        <w:rPr>
          <w:b w:val="0"/>
          <w:bCs/>
          <w:sz w:val="18"/>
          <w:szCs w:val="18"/>
          <w:vertAlign w:val="superscript"/>
          <w:lang w:val="fr-FR"/>
        </w:rPr>
      </w:pPr>
      <w:r>
        <w:rPr>
          <w:lang w:val="fr-FR"/>
        </w:rPr>
        <w:tab/>
      </w:r>
      <w:r>
        <w:rPr>
          <w:lang w:val="fr-FR"/>
        </w:rPr>
        <w:tab/>
      </w:r>
      <w:r w:rsidRPr="00E257C6">
        <w:rPr>
          <w:lang w:val="fr-FR"/>
        </w:rPr>
        <w:t>Communication du Gouvernement de l’Allemagne</w:t>
      </w:r>
      <w:r w:rsidRPr="008134E7">
        <w:rPr>
          <w:rStyle w:val="FootnoteReference"/>
          <w:b w:val="0"/>
          <w:bCs/>
          <w:sz w:val="20"/>
        </w:rPr>
        <w:footnoteReference w:customMarkFollows="1" w:id="2"/>
        <w:t>*</w:t>
      </w:r>
      <w:r w:rsidRPr="002871C0">
        <w:rPr>
          <w:b w:val="0"/>
          <w:bCs/>
          <w:sz w:val="18"/>
          <w:szCs w:val="18"/>
          <w:vertAlign w:val="superscript"/>
          <w:lang w:val="fr-FR"/>
        </w:rPr>
        <w:t>,</w:t>
      </w:r>
      <w:r w:rsidRPr="008134E7">
        <w:rPr>
          <w:rStyle w:val="FootnoteReference"/>
          <w:b w:val="0"/>
          <w:bCs/>
          <w:sz w:val="20"/>
          <w:szCs w:val="18"/>
        </w:rPr>
        <w:footnoteReference w:customMarkFollows="1" w:id="3"/>
        <w:t>**</w:t>
      </w:r>
      <w:r w:rsidRPr="008134E7">
        <w:rPr>
          <w:b w:val="0"/>
          <w:bCs/>
          <w:sz w:val="18"/>
          <w:szCs w:val="18"/>
          <w:vertAlign w:val="superscript"/>
          <w:lang w:val="fr-FR"/>
        </w:rPr>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A4600" w14:paraId="6838B9AA" w14:textId="77777777" w:rsidTr="006E5E26">
        <w:trPr>
          <w:trHeight w:hRule="exact" w:val="240"/>
          <w:jc w:val="center"/>
        </w:trPr>
        <w:tc>
          <w:tcPr>
            <w:tcW w:w="7654" w:type="dxa"/>
            <w:tcBorders>
              <w:top w:val="single" w:sz="4" w:space="0" w:color="auto"/>
            </w:tcBorders>
            <w:shd w:val="clear" w:color="auto" w:fill="auto"/>
          </w:tcPr>
          <w:p w14:paraId="6EBD1E1A" w14:textId="77777777" w:rsidR="004A4600" w:rsidRDefault="004A4600" w:rsidP="006E5E26">
            <w:pPr>
              <w:spacing w:line="240" w:lineRule="auto"/>
            </w:pPr>
          </w:p>
        </w:tc>
      </w:tr>
      <w:tr w:rsidR="004A4600" w14:paraId="36F01F12" w14:textId="77777777" w:rsidTr="006E5E26">
        <w:trPr>
          <w:jc w:val="center"/>
        </w:trPr>
        <w:tc>
          <w:tcPr>
            <w:tcW w:w="7654" w:type="dxa"/>
            <w:tcBorders>
              <w:bottom w:val="nil"/>
            </w:tcBorders>
            <w:shd w:val="clear" w:color="auto" w:fill="auto"/>
            <w:tcMar>
              <w:left w:w="142" w:type="dxa"/>
              <w:right w:w="142" w:type="dxa"/>
            </w:tcMar>
          </w:tcPr>
          <w:p w14:paraId="63379016" w14:textId="77777777" w:rsidR="004A4600" w:rsidRPr="00E257C6" w:rsidRDefault="004A4600" w:rsidP="004A4600">
            <w:pPr>
              <w:rPr>
                <w:iCs/>
                <w:szCs w:val="18"/>
                <w:lang w:val="fr-FR"/>
              </w:rPr>
            </w:pPr>
            <w:r w:rsidRPr="00E257C6">
              <w:rPr>
                <w:u w:val="single"/>
                <w:lang w:val="fr-FR"/>
              </w:rPr>
              <w:t>Documents connexes</w:t>
            </w:r>
            <w:r w:rsidRPr="00E257C6">
              <w:rPr>
                <w:lang w:val="fr-FR"/>
              </w:rPr>
              <w:t xml:space="preserve"> :</w:t>
            </w:r>
            <w:r>
              <w:rPr>
                <w:lang w:val="fr-FR"/>
              </w:rPr>
              <w:tab/>
            </w:r>
            <w:r w:rsidRPr="00E257C6">
              <w:rPr>
                <w:iCs/>
                <w:szCs w:val="18"/>
                <w:lang w:val="fr-FR"/>
              </w:rPr>
              <w:t>Aucun</w:t>
            </w:r>
          </w:p>
          <w:p w14:paraId="659F9A52" w14:textId="77777777" w:rsidR="004A4600" w:rsidRDefault="004A4600" w:rsidP="006E5E26">
            <w:pPr>
              <w:spacing w:after="120"/>
              <w:jc w:val="both"/>
            </w:pPr>
          </w:p>
        </w:tc>
      </w:tr>
      <w:tr w:rsidR="004A4600" w14:paraId="47148382" w14:textId="77777777" w:rsidTr="006E5E26">
        <w:trPr>
          <w:trHeight w:hRule="exact" w:val="20"/>
          <w:jc w:val="center"/>
        </w:trPr>
        <w:tc>
          <w:tcPr>
            <w:tcW w:w="7654" w:type="dxa"/>
            <w:tcBorders>
              <w:bottom w:val="single" w:sz="4" w:space="0" w:color="auto"/>
            </w:tcBorders>
            <w:shd w:val="clear" w:color="auto" w:fill="auto"/>
          </w:tcPr>
          <w:p w14:paraId="34E4C2DE" w14:textId="77777777" w:rsidR="004A4600" w:rsidRDefault="004A4600" w:rsidP="006E5E26">
            <w:pPr>
              <w:spacing w:line="240" w:lineRule="auto"/>
            </w:pPr>
          </w:p>
        </w:tc>
      </w:tr>
    </w:tbl>
    <w:p w14:paraId="7905E94A" w14:textId="77777777" w:rsidR="004A4600" w:rsidRPr="00E257C6" w:rsidRDefault="004A4600" w:rsidP="004A4600">
      <w:pPr>
        <w:pStyle w:val="HChG"/>
        <w:rPr>
          <w:lang w:val="fr-FR"/>
        </w:rPr>
      </w:pPr>
      <w:r>
        <w:rPr>
          <w:lang w:val="fr-FR"/>
        </w:rPr>
        <w:tab/>
      </w:r>
      <w:r w:rsidR="00355AAE">
        <w:rPr>
          <w:lang w:val="fr-FR"/>
        </w:rPr>
        <w:tab/>
      </w:r>
      <w:r w:rsidRPr="00E257C6">
        <w:rPr>
          <w:lang w:val="fr-FR"/>
        </w:rPr>
        <w:t>Introduction</w:t>
      </w:r>
    </w:p>
    <w:p w14:paraId="72D3BEA1" w14:textId="77777777" w:rsidR="004A4600" w:rsidRDefault="004A4600" w:rsidP="004A4600">
      <w:pPr>
        <w:pStyle w:val="SingleTxtG"/>
        <w:rPr>
          <w:lang w:val="fr-FR"/>
        </w:rPr>
      </w:pPr>
      <w:r w:rsidRPr="00E257C6">
        <w:rPr>
          <w:lang w:val="fr-FR"/>
        </w:rPr>
        <w:t>1.</w:t>
      </w:r>
      <w:r w:rsidRPr="00E257C6">
        <w:rPr>
          <w:lang w:val="fr-FR"/>
        </w:rPr>
        <w:tab/>
        <w:t>L</w:t>
      </w:r>
      <w:r>
        <w:rPr>
          <w:lang w:val="fr-FR"/>
        </w:rPr>
        <w:t>’</w:t>
      </w:r>
      <w:r w:rsidRPr="00E257C6">
        <w:rPr>
          <w:lang w:val="fr-FR"/>
        </w:rPr>
        <w:t xml:space="preserve">Allemagne a constaté que le 7.2 </w:t>
      </w:r>
      <w:r w:rsidR="0010100C">
        <w:rPr>
          <w:lang w:val="fr-FR"/>
        </w:rPr>
        <w:t>de l’</w:t>
      </w:r>
      <w:r w:rsidRPr="00E257C6">
        <w:rPr>
          <w:lang w:val="fr-FR"/>
        </w:rPr>
        <w:t>ADN comporte deux sous-sections contenant des prescriptions relatives aux installations électriques</w:t>
      </w:r>
      <w:r>
        <w:rPr>
          <w:lang w:val="fr-FR"/>
        </w:rPr>
        <w:t> :</w:t>
      </w:r>
    </w:p>
    <w:p w14:paraId="40452558" w14:textId="77777777" w:rsidR="004A4600" w:rsidRPr="00E257C6" w:rsidRDefault="004A4600" w:rsidP="0010100C">
      <w:pPr>
        <w:pStyle w:val="SingleTxtG"/>
        <w:tabs>
          <w:tab w:val="left" w:pos="1985"/>
          <w:tab w:val="left" w:pos="2552"/>
        </w:tabs>
        <w:ind w:left="1701"/>
        <w:rPr>
          <w:lang w:val="fr-FR"/>
        </w:rPr>
      </w:pPr>
      <w:r w:rsidRPr="00E257C6">
        <w:rPr>
          <w:lang w:val="fr-FR"/>
        </w:rPr>
        <w:t>7.2.3</w:t>
      </w:r>
      <w:r w:rsidRPr="00E257C6">
        <w:rPr>
          <w:lang w:val="fr-FR"/>
        </w:rPr>
        <w:tab/>
        <w:t>Prescriptions générales de service</w:t>
      </w:r>
    </w:p>
    <w:p w14:paraId="37B66860" w14:textId="77777777" w:rsidR="004A4600" w:rsidRPr="00E257C6" w:rsidRDefault="004A4600" w:rsidP="0010100C">
      <w:pPr>
        <w:pStyle w:val="SingleTxtG"/>
        <w:tabs>
          <w:tab w:val="left" w:pos="1985"/>
          <w:tab w:val="left" w:pos="2552"/>
        </w:tabs>
        <w:ind w:left="1701"/>
        <w:rPr>
          <w:lang w:val="fr-FR"/>
        </w:rPr>
      </w:pPr>
      <w:r w:rsidRPr="00E257C6">
        <w:rPr>
          <w:lang w:val="fr-FR"/>
        </w:rPr>
        <w:t>7.2.3.51</w:t>
      </w:r>
      <w:r w:rsidRPr="00E257C6">
        <w:rPr>
          <w:lang w:val="fr-FR"/>
        </w:rPr>
        <w:tab/>
        <w:t>Installations et équipements électriques et non électriques</w:t>
      </w:r>
    </w:p>
    <w:p w14:paraId="6BCF08AF" w14:textId="77777777" w:rsidR="004A4600" w:rsidRPr="00E257C6" w:rsidRDefault="004A4600" w:rsidP="0010100C">
      <w:pPr>
        <w:pStyle w:val="SingleTxtG"/>
        <w:tabs>
          <w:tab w:val="left" w:pos="1985"/>
          <w:tab w:val="left" w:pos="2552"/>
        </w:tabs>
        <w:ind w:left="1701"/>
        <w:rPr>
          <w:lang w:val="fr-FR"/>
        </w:rPr>
      </w:pPr>
      <w:r w:rsidRPr="00E257C6">
        <w:rPr>
          <w:lang w:val="fr-FR"/>
        </w:rPr>
        <w:t>7.2.4</w:t>
      </w:r>
      <w:r w:rsidRPr="00E257C6">
        <w:rPr>
          <w:lang w:val="fr-FR"/>
        </w:rPr>
        <w:tab/>
        <w:t>Prescriptions supplémentaires relatives au chargement, au transport, au déchargement et à la manutention de la cargaison</w:t>
      </w:r>
    </w:p>
    <w:p w14:paraId="008D0B4D" w14:textId="77777777" w:rsidR="004A4600" w:rsidRPr="00E257C6" w:rsidRDefault="004A4600" w:rsidP="0010100C">
      <w:pPr>
        <w:pStyle w:val="SingleTxtG"/>
        <w:tabs>
          <w:tab w:val="left" w:pos="1985"/>
          <w:tab w:val="left" w:pos="2552"/>
        </w:tabs>
        <w:ind w:left="1701"/>
        <w:rPr>
          <w:lang w:val="fr-FR"/>
        </w:rPr>
      </w:pPr>
      <w:r w:rsidRPr="00E257C6">
        <w:rPr>
          <w:lang w:val="fr-FR"/>
        </w:rPr>
        <w:t>7.2.4.51</w:t>
      </w:r>
      <w:r w:rsidRPr="00E257C6">
        <w:rPr>
          <w:lang w:val="fr-FR"/>
        </w:rPr>
        <w:tab/>
        <w:t>Installations et équipements électriques</w:t>
      </w:r>
    </w:p>
    <w:p w14:paraId="3DF747D7" w14:textId="77777777" w:rsidR="004A4600" w:rsidRPr="00E257C6" w:rsidRDefault="004A4600" w:rsidP="0029591A">
      <w:pPr>
        <w:pStyle w:val="SingleTxtG"/>
        <w:rPr>
          <w:lang w:val="fr-FR"/>
        </w:rPr>
      </w:pPr>
      <w:r w:rsidRPr="00E257C6">
        <w:rPr>
          <w:lang w:val="fr-FR"/>
        </w:rPr>
        <w:t>2.</w:t>
      </w:r>
      <w:r w:rsidRPr="00E257C6">
        <w:rPr>
          <w:lang w:val="fr-FR"/>
        </w:rPr>
        <w:tab/>
        <w:t xml:space="preserve">Étant donné que la sous-section 7.2.4.51 </w:t>
      </w:r>
      <w:r w:rsidR="0010100C">
        <w:rPr>
          <w:lang w:val="fr-FR"/>
        </w:rPr>
        <w:t>de l’</w:t>
      </w:r>
      <w:r w:rsidRPr="00E257C6">
        <w:rPr>
          <w:lang w:val="fr-FR"/>
        </w:rPr>
        <w:t xml:space="preserve">ADN ne comporte plus qu'un seul paragraphe de prescriptions sur quatre, deux étant indiqués comme « supprimés » et un autre </w:t>
      </w:r>
      <w:r w:rsidRPr="00E257C6">
        <w:rPr>
          <w:lang w:val="fr-FR"/>
        </w:rPr>
        <w:lastRenderedPageBreak/>
        <w:t xml:space="preserve">comme « réservé », la teneur de ce seul paragraphe restant devrait être déplacée au 7.2.3.51 </w:t>
      </w:r>
      <w:r w:rsidR="0010100C">
        <w:rPr>
          <w:lang w:val="fr-FR"/>
        </w:rPr>
        <w:t>de l’</w:t>
      </w:r>
      <w:r w:rsidRPr="00E257C6">
        <w:rPr>
          <w:lang w:val="fr-FR"/>
        </w:rPr>
        <w:t>ADN.</w:t>
      </w:r>
    </w:p>
    <w:p w14:paraId="528BC5CB" w14:textId="77777777" w:rsidR="0029591A" w:rsidRPr="00E257C6" w:rsidRDefault="0029591A" w:rsidP="0029591A">
      <w:pPr>
        <w:pStyle w:val="HChG"/>
        <w:rPr>
          <w:lang w:val="fr-FR"/>
        </w:rPr>
      </w:pPr>
      <w:r>
        <w:rPr>
          <w:lang w:val="fr-FR"/>
        </w:rPr>
        <w:tab/>
      </w:r>
      <w:r w:rsidRPr="00E257C6">
        <w:rPr>
          <w:lang w:val="fr-FR"/>
        </w:rPr>
        <w:t>I.</w:t>
      </w:r>
      <w:r w:rsidRPr="00E257C6">
        <w:rPr>
          <w:lang w:val="fr-FR"/>
        </w:rPr>
        <w:tab/>
        <w:t>Demande</w:t>
      </w:r>
    </w:p>
    <w:p w14:paraId="572FD503" w14:textId="77777777" w:rsidR="0029591A" w:rsidRPr="00E257C6" w:rsidRDefault="0029591A" w:rsidP="0029591A">
      <w:pPr>
        <w:pStyle w:val="SingleTxtG"/>
        <w:rPr>
          <w:lang w:val="fr-FR"/>
        </w:rPr>
      </w:pPr>
      <w:r w:rsidRPr="00E257C6">
        <w:rPr>
          <w:lang w:val="fr-FR"/>
        </w:rPr>
        <w:t>3.</w:t>
      </w:r>
      <w:r w:rsidRPr="00E257C6">
        <w:rPr>
          <w:lang w:val="fr-FR"/>
        </w:rPr>
        <w:tab/>
        <w:t xml:space="preserve">Dans la sous-section 7.2.3.51 ADN, ajouter le 7.2.3.51.9 </w:t>
      </w:r>
      <w:proofErr w:type="gramStart"/>
      <w:r w:rsidRPr="00E257C6">
        <w:rPr>
          <w:lang w:val="fr-FR"/>
        </w:rPr>
        <w:t>libellé</w:t>
      </w:r>
      <w:proofErr w:type="gramEnd"/>
      <w:r w:rsidRPr="00E257C6">
        <w:rPr>
          <w:lang w:val="fr-FR"/>
        </w:rPr>
        <w:t xml:space="preserve"> comme suit :</w:t>
      </w:r>
    </w:p>
    <w:p w14:paraId="610BACE1" w14:textId="77777777" w:rsidR="0029591A" w:rsidRPr="00E257C6" w:rsidRDefault="0029591A" w:rsidP="008B74BE">
      <w:pPr>
        <w:pStyle w:val="SingleTxtG"/>
        <w:tabs>
          <w:tab w:val="left" w:pos="1701"/>
        </w:tabs>
        <w:ind w:left="1701" w:right="1133"/>
        <w:rPr>
          <w:lang w:val="fr-FR"/>
        </w:rPr>
      </w:pPr>
      <w:r w:rsidRPr="00E257C6">
        <w:rPr>
          <w:lang w:val="fr-FR"/>
        </w:rPr>
        <w:t>« 7.2.3.51.9</w:t>
      </w:r>
      <w:r w:rsidRPr="00E257C6">
        <w:rPr>
          <w:lang w:val="fr-FR"/>
        </w:rPr>
        <w:tab/>
        <w:t xml:space="preserve">Les équipements de protection cathodique contre la corrosion par </w:t>
      </w:r>
      <w:r>
        <w:rPr>
          <w:lang w:val="fr-FR"/>
        </w:rPr>
        <w:t xml:space="preserve">courants </w:t>
      </w:r>
      <w:r w:rsidRPr="00E257C6">
        <w:rPr>
          <w:lang w:val="fr-FR"/>
        </w:rPr>
        <w:t>externes doivent être débranchés avant l'accostage et ne peuvent être rebranchés au plus tôt qu'après le départ du bateau. »</w:t>
      </w:r>
    </w:p>
    <w:p w14:paraId="17F416F2" w14:textId="77777777" w:rsidR="0029591A" w:rsidRPr="00E257C6" w:rsidRDefault="0029591A" w:rsidP="0029591A">
      <w:pPr>
        <w:pStyle w:val="SingleTxtG"/>
        <w:rPr>
          <w:iCs/>
          <w:szCs w:val="18"/>
          <w:lang w:val="fr-FR"/>
        </w:rPr>
      </w:pPr>
      <w:r w:rsidRPr="00E257C6">
        <w:rPr>
          <w:iCs/>
          <w:szCs w:val="18"/>
          <w:lang w:val="fr-FR"/>
        </w:rPr>
        <w:t>4.</w:t>
      </w:r>
      <w:r w:rsidRPr="00E257C6">
        <w:rPr>
          <w:iCs/>
          <w:szCs w:val="18"/>
          <w:lang w:val="fr-FR"/>
        </w:rPr>
        <w:tab/>
        <w:t>Supprimer la sous-section 7.2.4.51.</w:t>
      </w:r>
    </w:p>
    <w:p w14:paraId="0A210846" w14:textId="77777777" w:rsidR="0029591A" w:rsidRPr="00E257C6" w:rsidRDefault="0029591A" w:rsidP="0029591A">
      <w:pPr>
        <w:pStyle w:val="HChG"/>
        <w:rPr>
          <w:lang w:val="fr-FR"/>
        </w:rPr>
      </w:pPr>
      <w:r>
        <w:rPr>
          <w:lang w:val="fr-FR"/>
        </w:rPr>
        <w:tab/>
      </w:r>
      <w:r w:rsidRPr="00E257C6">
        <w:rPr>
          <w:lang w:val="fr-FR"/>
        </w:rPr>
        <w:t>II.</w:t>
      </w:r>
      <w:r w:rsidRPr="00E257C6">
        <w:rPr>
          <w:lang w:val="fr-FR"/>
        </w:rPr>
        <w:tab/>
        <w:t>Motif</w:t>
      </w:r>
    </w:p>
    <w:p w14:paraId="30472E69" w14:textId="77777777" w:rsidR="0029591A" w:rsidRPr="00E257C6" w:rsidRDefault="0029591A" w:rsidP="0029591A">
      <w:pPr>
        <w:pStyle w:val="SingleTxtG"/>
        <w:rPr>
          <w:lang w:val="fr-FR"/>
        </w:rPr>
      </w:pPr>
      <w:r w:rsidRPr="00E257C6">
        <w:rPr>
          <w:lang w:val="fr-FR"/>
        </w:rPr>
        <w:t>5.</w:t>
      </w:r>
      <w:r w:rsidRPr="00E257C6">
        <w:rPr>
          <w:lang w:val="fr-FR"/>
        </w:rPr>
        <w:tab/>
        <w:t>La suppression d'emplacements vides, dépourvus de prescriptions et « réservés » contribue à simplifier le 7.2.</w:t>
      </w:r>
    </w:p>
    <w:p w14:paraId="35CC48D6" w14:textId="77777777" w:rsidR="0029591A" w:rsidRPr="00E257C6" w:rsidRDefault="000D5E00" w:rsidP="0029591A">
      <w:pPr>
        <w:pStyle w:val="SingleTxtG"/>
        <w:rPr>
          <w:lang w:val="fr-FR"/>
        </w:rPr>
      </w:pPr>
      <w:r>
        <w:rPr>
          <w:lang w:val="fr-FR"/>
        </w:rPr>
        <w:t>6.</w:t>
      </w:r>
      <w:r>
        <w:rPr>
          <w:lang w:val="fr-FR"/>
        </w:rPr>
        <w:tab/>
      </w:r>
      <w:r w:rsidR="0029591A" w:rsidRPr="00E257C6">
        <w:rPr>
          <w:lang w:val="fr-FR"/>
        </w:rPr>
        <w:t xml:space="preserve">La reprise du 7.2.4.51.3 </w:t>
      </w:r>
      <w:r>
        <w:rPr>
          <w:lang w:val="fr-FR"/>
        </w:rPr>
        <w:t>de l’</w:t>
      </w:r>
      <w:r w:rsidR="0029591A" w:rsidRPr="00E257C6">
        <w:rPr>
          <w:lang w:val="fr-FR"/>
        </w:rPr>
        <w:t xml:space="preserve">ADN dans la sous-section 7.2.3.51 </w:t>
      </w:r>
      <w:r>
        <w:rPr>
          <w:lang w:val="fr-FR"/>
        </w:rPr>
        <w:t>de l’</w:t>
      </w:r>
      <w:r w:rsidR="0029591A" w:rsidRPr="00E257C6">
        <w:rPr>
          <w:lang w:val="fr-FR"/>
        </w:rPr>
        <w:t>ADN permet de faire en sorte que toutes les prescriptions relatives aux installations et équipements électriques puissent être trouvées dans une même partie du règlement.</w:t>
      </w:r>
    </w:p>
    <w:p w14:paraId="791319A6" w14:textId="77777777" w:rsidR="0029591A" w:rsidRPr="00E257C6" w:rsidRDefault="000D5E00" w:rsidP="0029591A">
      <w:pPr>
        <w:pStyle w:val="SingleTxtG"/>
        <w:rPr>
          <w:lang w:val="fr-FR"/>
        </w:rPr>
      </w:pPr>
      <w:r>
        <w:rPr>
          <w:lang w:val="fr-FR"/>
        </w:rPr>
        <w:t>7.</w:t>
      </w:r>
      <w:r>
        <w:rPr>
          <w:lang w:val="fr-FR"/>
        </w:rPr>
        <w:tab/>
      </w:r>
      <w:r w:rsidR="0029591A" w:rsidRPr="00E257C6">
        <w:rPr>
          <w:lang w:val="fr-FR"/>
        </w:rPr>
        <w:t xml:space="preserve">La sous-section 7.2.4.51 </w:t>
      </w:r>
      <w:r>
        <w:rPr>
          <w:lang w:val="fr-FR"/>
        </w:rPr>
        <w:t>de l’</w:t>
      </w:r>
      <w:r w:rsidR="0029591A" w:rsidRPr="00E257C6">
        <w:rPr>
          <w:lang w:val="fr-FR"/>
        </w:rPr>
        <w:t>ADN actuelle porte de manière générale sur l'accostage, sans aucune indication concernant une activité quelconque telle que le chargement ou le déchargement. Par conséquent, il conviendrait qu'elle figure parmi les prescriptions générales de service.</w:t>
      </w:r>
    </w:p>
    <w:p w14:paraId="6CCBE253" w14:textId="77777777" w:rsidR="0029591A" w:rsidRPr="00E257C6" w:rsidRDefault="0029591A" w:rsidP="0029591A">
      <w:pPr>
        <w:pStyle w:val="HChG"/>
        <w:rPr>
          <w:rFonts w:cs="Arial"/>
          <w:lang w:val="fr-FR"/>
        </w:rPr>
      </w:pPr>
      <w:r>
        <w:rPr>
          <w:lang w:val="fr-FR"/>
        </w:rPr>
        <w:tab/>
      </w:r>
      <w:r w:rsidRPr="00E257C6">
        <w:rPr>
          <w:lang w:val="fr-FR"/>
        </w:rPr>
        <w:t>I</w:t>
      </w:r>
      <w:r w:rsidR="00355AAE">
        <w:rPr>
          <w:lang w:val="fr-FR"/>
        </w:rPr>
        <w:t>II</w:t>
      </w:r>
      <w:r w:rsidRPr="00E257C6">
        <w:rPr>
          <w:lang w:val="fr-FR"/>
        </w:rPr>
        <w:t>.</w:t>
      </w:r>
      <w:r w:rsidRPr="00E257C6">
        <w:rPr>
          <w:lang w:val="fr-FR"/>
        </w:rPr>
        <w:tab/>
        <w:t>Sécurité</w:t>
      </w:r>
    </w:p>
    <w:p w14:paraId="64B66F14" w14:textId="77777777" w:rsidR="0029591A" w:rsidRPr="00E257C6" w:rsidRDefault="000D5E00" w:rsidP="0029591A">
      <w:pPr>
        <w:pStyle w:val="SingleTxtG"/>
        <w:rPr>
          <w:lang w:val="fr-FR"/>
        </w:rPr>
      </w:pPr>
      <w:r>
        <w:rPr>
          <w:lang w:val="fr-FR"/>
        </w:rPr>
        <w:t>8</w:t>
      </w:r>
      <w:r w:rsidR="0029591A" w:rsidRPr="00E257C6">
        <w:rPr>
          <w:lang w:val="fr-FR"/>
        </w:rPr>
        <w:t>.</w:t>
      </w:r>
      <w:r w:rsidR="0029591A" w:rsidRPr="00E257C6">
        <w:rPr>
          <w:lang w:val="fr-FR"/>
        </w:rPr>
        <w:tab/>
        <w:t>Cette modification est sans incidence sur la sécurité. Aucune exigence de sécurité n'est supprimée. La sécurité se trouve améliorée par le fait qu'une prescription importante relative aux installations et équipements électriques figurera à un emplacement plus approprié et pourra être trouvée plus aisément.</w:t>
      </w:r>
    </w:p>
    <w:p w14:paraId="45D045E1" w14:textId="77777777" w:rsidR="0029591A" w:rsidRPr="00E257C6" w:rsidRDefault="0029591A" w:rsidP="0029591A">
      <w:pPr>
        <w:pStyle w:val="HChG"/>
        <w:rPr>
          <w:lang w:val="fr-FR"/>
        </w:rPr>
      </w:pPr>
      <w:r>
        <w:rPr>
          <w:lang w:val="fr-FR"/>
        </w:rPr>
        <w:tab/>
      </w:r>
      <w:r w:rsidR="00355AAE">
        <w:rPr>
          <w:lang w:val="fr-FR"/>
        </w:rPr>
        <w:t>I</w:t>
      </w:r>
      <w:r w:rsidRPr="00E257C6">
        <w:rPr>
          <w:lang w:val="fr-FR"/>
        </w:rPr>
        <w:t>V.</w:t>
      </w:r>
      <w:r w:rsidRPr="00E257C6">
        <w:rPr>
          <w:lang w:val="fr-FR"/>
        </w:rPr>
        <w:tab/>
        <w:t>Mise en œuvre</w:t>
      </w:r>
    </w:p>
    <w:p w14:paraId="6215ACFE" w14:textId="77777777" w:rsidR="0029591A" w:rsidRDefault="000D5E00" w:rsidP="0029591A">
      <w:pPr>
        <w:pStyle w:val="SingleTxtG"/>
        <w:rPr>
          <w:lang w:val="fr-FR"/>
        </w:rPr>
      </w:pPr>
      <w:r>
        <w:rPr>
          <w:lang w:val="fr-FR"/>
        </w:rPr>
        <w:t>9</w:t>
      </w:r>
      <w:r w:rsidR="0029591A" w:rsidRPr="00E257C6">
        <w:rPr>
          <w:lang w:val="fr-FR"/>
        </w:rPr>
        <w:t>.</w:t>
      </w:r>
      <w:r w:rsidR="0029591A" w:rsidRPr="00E257C6">
        <w:rPr>
          <w:lang w:val="fr-FR"/>
        </w:rPr>
        <w:tab/>
        <w:t>La demande n'implique aucune modification sur le plan de la construction navale ou de l'organisation du transport.</w:t>
      </w:r>
    </w:p>
    <w:p w14:paraId="749A6775" w14:textId="77777777" w:rsidR="0029591A" w:rsidRPr="0029591A" w:rsidRDefault="0029591A" w:rsidP="0029591A">
      <w:pPr>
        <w:spacing w:before="240"/>
        <w:jc w:val="center"/>
        <w:rPr>
          <w:u w:val="single"/>
          <w:lang w:val="fr-FR"/>
        </w:rPr>
      </w:pPr>
      <w:r>
        <w:rPr>
          <w:u w:val="single"/>
          <w:lang w:val="fr-FR"/>
        </w:rPr>
        <w:tab/>
      </w:r>
      <w:r>
        <w:rPr>
          <w:u w:val="single"/>
          <w:lang w:val="fr-FR"/>
        </w:rPr>
        <w:tab/>
      </w:r>
      <w:r>
        <w:rPr>
          <w:u w:val="single"/>
          <w:lang w:val="fr-FR"/>
        </w:rPr>
        <w:tab/>
      </w:r>
    </w:p>
    <w:sectPr w:rsidR="0029591A" w:rsidRPr="0029591A" w:rsidSect="004A460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F10A" w14:textId="77777777" w:rsidR="00394DF0" w:rsidRDefault="00394DF0" w:rsidP="00F95C08">
      <w:pPr>
        <w:spacing w:line="240" w:lineRule="auto"/>
      </w:pPr>
    </w:p>
  </w:endnote>
  <w:endnote w:type="continuationSeparator" w:id="0">
    <w:p w14:paraId="707D9134" w14:textId="77777777" w:rsidR="00394DF0" w:rsidRPr="00AC3823" w:rsidRDefault="00394DF0" w:rsidP="00AC3823">
      <w:pPr>
        <w:pStyle w:val="Footer"/>
      </w:pPr>
    </w:p>
  </w:endnote>
  <w:endnote w:type="continuationNotice" w:id="1">
    <w:p w14:paraId="39A10DB7" w14:textId="77777777" w:rsidR="00394DF0" w:rsidRDefault="00394D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766A" w14:textId="77777777" w:rsidR="00394DF0" w:rsidRPr="00394DF0" w:rsidRDefault="00394DF0" w:rsidP="00394DF0">
    <w:pPr>
      <w:pStyle w:val="Footer"/>
      <w:tabs>
        <w:tab w:val="right" w:pos="9638"/>
      </w:tabs>
      <w:rPr>
        <w:sz w:val="18"/>
      </w:rPr>
    </w:pPr>
    <w:r w:rsidRPr="00394DF0">
      <w:rPr>
        <w:b/>
        <w:sz w:val="18"/>
      </w:rPr>
      <w:fldChar w:fldCharType="begin"/>
    </w:r>
    <w:r w:rsidRPr="00394DF0">
      <w:rPr>
        <w:b/>
        <w:sz w:val="18"/>
      </w:rPr>
      <w:instrText xml:space="preserve"> PAGE  \* MERGEFORMAT </w:instrText>
    </w:r>
    <w:r w:rsidRPr="00394DF0">
      <w:rPr>
        <w:b/>
        <w:sz w:val="18"/>
      </w:rPr>
      <w:fldChar w:fldCharType="separate"/>
    </w:r>
    <w:r w:rsidRPr="00394DF0">
      <w:rPr>
        <w:b/>
        <w:noProof/>
        <w:sz w:val="18"/>
      </w:rPr>
      <w:t>2</w:t>
    </w:r>
    <w:r w:rsidRPr="00394D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51EE" w14:textId="77777777" w:rsidR="00394DF0" w:rsidRPr="00394DF0" w:rsidRDefault="00394DF0" w:rsidP="00394DF0">
    <w:pPr>
      <w:pStyle w:val="Footer"/>
      <w:tabs>
        <w:tab w:val="right" w:pos="9638"/>
      </w:tabs>
      <w:rPr>
        <w:b/>
        <w:sz w:val="18"/>
      </w:rPr>
    </w:pPr>
    <w:r>
      <w:tab/>
    </w:r>
    <w:r w:rsidRPr="00394DF0">
      <w:rPr>
        <w:b/>
        <w:sz w:val="18"/>
      </w:rPr>
      <w:fldChar w:fldCharType="begin"/>
    </w:r>
    <w:r w:rsidRPr="00394DF0">
      <w:rPr>
        <w:b/>
        <w:sz w:val="18"/>
      </w:rPr>
      <w:instrText xml:space="preserve"> PAGE  \* MERGEFORMAT </w:instrText>
    </w:r>
    <w:r w:rsidRPr="00394DF0">
      <w:rPr>
        <w:b/>
        <w:sz w:val="18"/>
      </w:rPr>
      <w:fldChar w:fldCharType="separate"/>
    </w:r>
    <w:r w:rsidRPr="00394DF0">
      <w:rPr>
        <w:b/>
        <w:noProof/>
        <w:sz w:val="18"/>
      </w:rPr>
      <w:t>3</w:t>
    </w:r>
    <w:r w:rsidRPr="00394D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D1D4" w14:textId="77777777" w:rsidR="000D3EE9" w:rsidRPr="00394DF0"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85D0" w14:textId="77777777" w:rsidR="00394DF0" w:rsidRPr="00AC3823" w:rsidRDefault="00394DF0" w:rsidP="00AC3823">
      <w:pPr>
        <w:pStyle w:val="Footer"/>
        <w:tabs>
          <w:tab w:val="right" w:pos="2155"/>
        </w:tabs>
        <w:spacing w:after="80" w:line="240" w:lineRule="atLeast"/>
        <w:ind w:left="680"/>
        <w:rPr>
          <w:u w:val="single"/>
        </w:rPr>
      </w:pPr>
      <w:r>
        <w:rPr>
          <w:u w:val="single"/>
        </w:rPr>
        <w:tab/>
      </w:r>
    </w:p>
  </w:footnote>
  <w:footnote w:type="continuationSeparator" w:id="0">
    <w:p w14:paraId="0F307E3F" w14:textId="77777777" w:rsidR="00394DF0" w:rsidRPr="00AC3823" w:rsidRDefault="00394DF0" w:rsidP="00AC3823">
      <w:pPr>
        <w:pStyle w:val="Footer"/>
        <w:tabs>
          <w:tab w:val="right" w:pos="2155"/>
        </w:tabs>
        <w:spacing w:after="80" w:line="240" w:lineRule="atLeast"/>
        <w:ind w:left="680"/>
        <w:rPr>
          <w:u w:val="single"/>
        </w:rPr>
      </w:pPr>
      <w:r>
        <w:rPr>
          <w:u w:val="single"/>
        </w:rPr>
        <w:tab/>
      </w:r>
    </w:p>
  </w:footnote>
  <w:footnote w:type="continuationNotice" w:id="1">
    <w:p w14:paraId="7900F329" w14:textId="77777777" w:rsidR="00394DF0" w:rsidRPr="00AC3823" w:rsidRDefault="00394DF0">
      <w:pPr>
        <w:spacing w:line="240" w:lineRule="auto"/>
        <w:rPr>
          <w:sz w:val="2"/>
          <w:szCs w:val="2"/>
        </w:rPr>
      </w:pPr>
    </w:p>
  </w:footnote>
  <w:footnote w:id="2">
    <w:p w14:paraId="0B0D8E5E" w14:textId="77777777" w:rsidR="004A4600" w:rsidRPr="004A4600" w:rsidRDefault="004A4600">
      <w:pPr>
        <w:pStyle w:val="FootnoteText"/>
      </w:pPr>
      <w:r>
        <w:rPr>
          <w:rStyle w:val="FootnoteReference"/>
        </w:rPr>
        <w:tab/>
      </w:r>
      <w:r w:rsidRPr="008134E7">
        <w:rPr>
          <w:rStyle w:val="FootnoteReference"/>
          <w:sz w:val="20"/>
        </w:rPr>
        <w:t>*</w:t>
      </w:r>
      <w:r>
        <w:rPr>
          <w:rStyle w:val="FootnoteReference"/>
          <w:sz w:val="20"/>
          <w:vertAlign w:val="baseline"/>
        </w:rPr>
        <w:tab/>
      </w:r>
      <w:r w:rsidRPr="00E257C6">
        <w:rPr>
          <w:sz w:val="16"/>
          <w:lang w:val="fr-FR"/>
        </w:rPr>
        <w:t xml:space="preserve">Diffusé en langue allemande par la Commission centrale pour la navigation du Rhin sous la cote </w:t>
      </w:r>
      <w:r w:rsidR="00355AAE">
        <w:rPr>
          <w:sz w:val="16"/>
          <w:lang w:val="fr-FR"/>
        </w:rPr>
        <w:tab/>
      </w:r>
      <w:r w:rsidR="002871C0">
        <w:rPr>
          <w:sz w:val="16"/>
          <w:lang w:val="fr-FR"/>
        </w:rPr>
        <w:br/>
      </w:r>
      <w:r w:rsidR="002871C0" w:rsidRPr="002871C0">
        <w:rPr>
          <w:sz w:val="16"/>
          <w:szCs w:val="16"/>
          <w:lang w:val="fr-FR"/>
        </w:rPr>
        <w:t>C</w:t>
      </w:r>
      <w:r w:rsidRPr="00E257C6">
        <w:rPr>
          <w:sz w:val="16"/>
          <w:lang w:val="fr-FR"/>
        </w:rPr>
        <w:t>CNR/ZKR/ADN/WP.15/AC.2/2020/</w:t>
      </w:r>
      <w:r w:rsidR="002871C0">
        <w:rPr>
          <w:sz w:val="16"/>
          <w:lang w:val="fr-FR"/>
        </w:rPr>
        <w:t>5</w:t>
      </w:r>
    </w:p>
  </w:footnote>
  <w:footnote w:id="3">
    <w:p w14:paraId="221B56EF" w14:textId="77777777" w:rsidR="004A4600" w:rsidRPr="004A4600" w:rsidRDefault="004A4600">
      <w:pPr>
        <w:pStyle w:val="FootnoteText"/>
      </w:pPr>
      <w:r>
        <w:rPr>
          <w:rStyle w:val="FootnoteReference"/>
        </w:rPr>
        <w:tab/>
      </w:r>
      <w:r w:rsidRPr="008134E7">
        <w:rPr>
          <w:rStyle w:val="FootnoteReference"/>
          <w:sz w:val="20"/>
        </w:rPr>
        <w:t>**</w:t>
      </w:r>
      <w:r>
        <w:rPr>
          <w:rStyle w:val="FootnoteReference"/>
          <w:sz w:val="20"/>
          <w:vertAlign w:val="baseline"/>
        </w:rPr>
        <w:tab/>
      </w:r>
      <w:r w:rsidRPr="0093256F">
        <w:rPr>
          <w:sz w:val="16"/>
          <w:szCs w:val="16"/>
          <w:lang w:val="fr-FR"/>
        </w:rPr>
        <w:t xml:space="preserve">Conformément au programme de travail du Comité des transports intérieurs pour 2018-2019 </w:t>
      </w:r>
      <w:r w:rsidRPr="004A4600">
        <w:rPr>
          <w:rStyle w:val="FootnoteReference"/>
          <w:vertAlign w:val="baseline"/>
          <w:lang w:val="fr-FR"/>
        </w:rPr>
        <w:t>(ECE/TRANS/2018/21/Add.1,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6024" w14:textId="05970A74" w:rsidR="00394DF0" w:rsidRPr="00394DF0" w:rsidRDefault="007A10D4">
    <w:pPr>
      <w:pStyle w:val="Header"/>
    </w:pPr>
    <w:r>
      <w:fldChar w:fldCharType="begin"/>
    </w:r>
    <w:r>
      <w:instrText xml:space="preserve"> TITLE  \* MERGEFORMAT </w:instrText>
    </w:r>
    <w:r>
      <w:fldChar w:fldCharType="separate"/>
    </w:r>
    <w:r>
      <w:t>ECE/TRANS/WP.15/AC.2/2020/5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156F" w14:textId="4A8A5EA7" w:rsidR="00394DF0" w:rsidRPr="00394DF0" w:rsidRDefault="007A10D4" w:rsidP="00394DF0">
    <w:pPr>
      <w:pStyle w:val="Header"/>
      <w:jc w:val="right"/>
    </w:pPr>
    <w:r>
      <w:fldChar w:fldCharType="begin"/>
    </w:r>
    <w:r>
      <w:instrText xml:space="preserve"> TITLE  \* MERGEFORMAT </w:instrText>
    </w:r>
    <w:r>
      <w:fldChar w:fldCharType="separate"/>
    </w:r>
    <w:r>
      <w:t>ECE/TRANS/WP.15/AC.2/2020/5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394DF0"/>
    <w:rsid w:val="0001207F"/>
    <w:rsid w:val="00017F94"/>
    <w:rsid w:val="00023842"/>
    <w:rsid w:val="000334F9"/>
    <w:rsid w:val="0004639C"/>
    <w:rsid w:val="0007796D"/>
    <w:rsid w:val="000942EE"/>
    <w:rsid w:val="000A52BF"/>
    <w:rsid w:val="000B7790"/>
    <w:rsid w:val="000D3EE9"/>
    <w:rsid w:val="000D5E00"/>
    <w:rsid w:val="000D62F3"/>
    <w:rsid w:val="0010100C"/>
    <w:rsid w:val="00111F2F"/>
    <w:rsid w:val="001433FD"/>
    <w:rsid w:val="0014365E"/>
    <w:rsid w:val="001541D3"/>
    <w:rsid w:val="00156B77"/>
    <w:rsid w:val="00176178"/>
    <w:rsid w:val="00177140"/>
    <w:rsid w:val="001D400F"/>
    <w:rsid w:val="001F525A"/>
    <w:rsid w:val="00223272"/>
    <w:rsid w:val="00240333"/>
    <w:rsid w:val="0024779E"/>
    <w:rsid w:val="002507CE"/>
    <w:rsid w:val="002832AC"/>
    <w:rsid w:val="002871C0"/>
    <w:rsid w:val="0029591A"/>
    <w:rsid w:val="002D7C93"/>
    <w:rsid w:val="00355AAE"/>
    <w:rsid w:val="0037241C"/>
    <w:rsid w:val="003819FF"/>
    <w:rsid w:val="00394DF0"/>
    <w:rsid w:val="00441C3B"/>
    <w:rsid w:val="00446B0A"/>
    <w:rsid w:val="00446FE5"/>
    <w:rsid w:val="00452396"/>
    <w:rsid w:val="00471288"/>
    <w:rsid w:val="0049687C"/>
    <w:rsid w:val="004A4600"/>
    <w:rsid w:val="004E468C"/>
    <w:rsid w:val="005316B0"/>
    <w:rsid w:val="005505B7"/>
    <w:rsid w:val="00573BE5"/>
    <w:rsid w:val="00586ED3"/>
    <w:rsid w:val="00596AA9"/>
    <w:rsid w:val="005B4D0F"/>
    <w:rsid w:val="00703D0F"/>
    <w:rsid w:val="00706363"/>
    <w:rsid w:val="007158BB"/>
    <w:rsid w:val="0071601D"/>
    <w:rsid w:val="0075410D"/>
    <w:rsid w:val="007A10D4"/>
    <w:rsid w:val="007A62E6"/>
    <w:rsid w:val="0080684C"/>
    <w:rsid w:val="008134E7"/>
    <w:rsid w:val="008204DA"/>
    <w:rsid w:val="008535AD"/>
    <w:rsid w:val="00871C75"/>
    <w:rsid w:val="008767E8"/>
    <w:rsid w:val="008776DC"/>
    <w:rsid w:val="00883605"/>
    <w:rsid w:val="008B74BE"/>
    <w:rsid w:val="008E6043"/>
    <w:rsid w:val="00961E7B"/>
    <w:rsid w:val="009705C8"/>
    <w:rsid w:val="009C1CF4"/>
    <w:rsid w:val="009C4DAE"/>
    <w:rsid w:val="009F02C9"/>
    <w:rsid w:val="00A30353"/>
    <w:rsid w:val="00A62D91"/>
    <w:rsid w:val="00A90D54"/>
    <w:rsid w:val="00AA113A"/>
    <w:rsid w:val="00AC3823"/>
    <w:rsid w:val="00AE323C"/>
    <w:rsid w:val="00AF774C"/>
    <w:rsid w:val="00B00181"/>
    <w:rsid w:val="00B00B0D"/>
    <w:rsid w:val="00B40927"/>
    <w:rsid w:val="00B50E25"/>
    <w:rsid w:val="00B64918"/>
    <w:rsid w:val="00B765F7"/>
    <w:rsid w:val="00BA0CA9"/>
    <w:rsid w:val="00BE42E5"/>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76118"/>
    <w:rsid w:val="00F95C08"/>
    <w:rsid w:val="00FC17B4"/>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B6C235"/>
  <w15:docId w15:val="{8709D528-B3C4-4BDE-8E50-3C7CFB11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58</TotalTime>
  <Pages>2</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ECE/TRANS/WP.15/AC.2/2020/5</vt:lpstr>
      <vt:lpstr>ECE/EX/22</vt:lpstr>
    </vt:vector>
  </TitlesOfParts>
  <Company>DCM</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ECE/TRANS/WP.15/AC.2/2020/5</dc:title>
  <dc:subject>FINAL</dc:subject>
  <dc:creator>Marie-Claude Collet</dc:creator>
  <cp:keywords/>
  <dc:description/>
  <cp:lastModifiedBy>Marie-Claude Collet</cp:lastModifiedBy>
  <cp:revision>14</cp:revision>
  <cp:lastPrinted>2019-11-11T14:17:00Z</cp:lastPrinted>
  <dcterms:created xsi:type="dcterms:W3CDTF">2019-10-23T08:46:00Z</dcterms:created>
  <dcterms:modified xsi:type="dcterms:W3CDTF">2019-11-11T14:19:00Z</dcterms:modified>
</cp:coreProperties>
</file>