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62A406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203D37" w14:textId="77777777" w:rsidR="002D5AAC" w:rsidRDefault="002D5AAC" w:rsidP="00CA2B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D93C4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E931DA" w14:textId="77777777" w:rsidR="002D5AAC" w:rsidRDefault="00CA2B35" w:rsidP="00CA2B35">
            <w:pPr>
              <w:jc w:val="right"/>
            </w:pPr>
            <w:r w:rsidRPr="00CA2B35">
              <w:rPr>
                <w:sz w:val="40"/>
              </w:rPr>
              <w:t>ECE</w:t>
            </w:r>
            <w:r>
              <w:t>/TRANS/WP.15/AC.2/2020/2</w:t>
            </w:r>
          </w:p>
        </w:tc>
      </w:tr>
      <w:tr w:rsidR="002D5AAC" w:rsidRPr="00CA2B35" w14:paraId="6963F13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F6735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CC337A" wp14:editId="1DDFCF8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B366A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7753E46" w14:textId="77777777" w:rsidR="002D5AAC" w:rsidRDefault="00CA2B3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7E2F327" w14:textId="77777777" w:rsidR="00CA2B35" w:rsidRDefault="00CA2B35" w:rsidP="00CA2B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2019</w:t>
            </w:r>
          </w:p>
          <w:p w14:paraId="7896CBF9" w14:textId="77777777" w:rsidR="00CA2B35" w:rsidRDefault="00CA2B35" w:rsidP="00CA2B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C1C011F" w14:textId="77777777" w:rsidR="00CA2B35" w:rsidRPr="008D53B6" w:rsidRDefault="00CA2B35" w:rsidP="00CA2B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3A2A3EA6" w14:textId="77777777" w:rsidR="00CA2B3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1B23476" w14:textId="77777777" w:rsidR="00CA2B35" w:rsidRPr="00EA733F" w:rsidRDefault="00CA2B35" w:rsidP="00CA2B35">
      <w:pPr>
        <w:spacing w:before="120"/>
        <w:rPr>
          <w:sz w:val="28"/>
          <w:szCs w:val="28"/>
        </w:rPr>
      </w:pPr>
      <w:r w:rsidRPr="00EA733F">
        <w:rPr>
          <w:sz w:val="28"/>
          <w:szCs w:val="28"/>
        </w:rPr>
        <w:t>Комитет по внутреннему транспорту</w:t>
      </w:r>
    </w:p>
    <w:p w14:paraId="2C93314A" w14:textId="77777777" w:rsidR="00CA2B35" w:rsidRPr="00EA733F" w:rsidRDefault="00CA2B35" w:rsidP="00CA2B35">
      <w:pPr>
        <w:spacing w:before="120"/>
        <w:rPr>
          <w:b/>
          <w:sz w:val="24"/>
          <w:szCs w:val="24"/>
        </w:rPr>
      </w:pPr>
      <w:r w:rsidRPr="00EA733F">
        <w:rPr>
          <w:b/>
          <w:bCs/>
          <w:sz w:val="24"/>
          <w:szCs w:val="24"/>
        </w:rPr>
        <w:t>Рабочая группа по перевозкам опасных грузов</w:t>
      </w:r>
    </w:p>
    <w:p w14:paraId="25D6B3FC" w14:textId="77777777" w:rsidR="00CA2B35" w:rsidRPr="004761E1" w:rsidRDefault="00CA2B35" w:rsidP="00CA2B35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E73DA6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E73DA6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E73DA6"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 w:rsidR="00E73DA6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38C39BB2" w14:textId="77777777" w:rsidR="00CA2B35" w:rsidRPr="004761E1" w:rsidRDefault="00CA2B35" w:rsidP="00CA2B35">
      <w:pPr>
        <w:spacing w:before="120"/>
        <w:rPr>
          <w:b/>
        </w:rPr>
      </w:pPr>
      <w:r>
        <w:rPr>
          <w:b/>
          <w:bCs/>
        </w:rPr>
        <w:t>Тридцать шестая сессия</w:t>
      </w:r>
    </w:p>
    <w:p w14:paraId="4338CAA3" w14:textId="77777777" w:rsidR="00CA2B35" w:rsidRPr="004761E1" w:rsidRDefault="00CA2B35" w:rsidP="00CA2B35">
      <w:r>
        <w:t>Женева, 27–31 января 2020 года</w:t>
      </w:r>
    </w:p>
    <w:p w14:paraId="74C2BA49" w14:textId="77777777" w:rsidR="00CA2B35" w:rsidRPr="004761E1" w:rsidRDefault="00CA2B35" w:rsidP="00CA2B35">
      <w:r>
        <w:t>Пункт 5 b) предварительной повестки дня</w:t>
      </w:r>
    </w:p>
    <w:p w14:paraId="6D717203" w14:textId="77777777" w:rsidR="00CA2B35" w:rsidRPr="004761E1" w:rsidRDefault="00CA2B35" w:rsidP="00CA2B35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 w:rsidR="00E73DA6">
        <w:rPr>
          <w:b/>
          <w:bCs/>
        </w:rPr>
        <w:br/>
      </w:r>
      <w:r>
        <w:rPr>
          <w:b/>
          <w:bCs/>
        </w:rPr>
        <w:t>прилагаемые к ВОПОГ:</w:t>
      </w:r>
      <w:r w:rsidR="00E73DA6" w:rsidRPr="00E73DA6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342FC1B8" w14:textId="77777777" w:rsidR="00CA2B35" w:rsidRPr="004761E1" w:rsidRDefault="00CA2B35" w:rsidP="00CA2B35">
      <w:pPr>
        <w:pStyle w:val="HChG"/>
      </w:pPr>
      <w:r>
        <w:rPr>
          <w:bCs/>
        </w:rPr>
        <w:tab/>
      </w:r>
      <w:r>
        <w:rPr>
          <w:bCs/>
        </w:rPr>
        <w:tab/>
        <w:t>Раздел 1.2.1</w:t>
      </w:r>
      <w:r>
        <w:t xml:space="preserve"> </w:t>
      </w:r>
      <w:r>
        <w:rPr>
          <w:bCs/>
        </w:rPr>
        <w:t>ВОПОГ – Устройства для взятия проб</w:t>
      </w:r>
    </w:p>
    <w:p w14:paraId="27278796" w14:textId="77777777" w:rsidR="00CA2B35" w:rsidRPr="004761E1" w:rsidRDefault="00CA2B35" w:rsidP="001B2D99">
      <w:pPr>
        <w:pStyle w:val="H23G"/>
      </w:pPr>
      <w:r>
        <w:tab/>
      </w:r>
      <w:r>
        <w:tab/>
        <w:t>Передано правительствами Австрии и Германии</w:t>
      </w:r>
      <w:r w:rsidR="00CE6DD8" w:rsidRPr="00CE6DD8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CE6DD8" w:rsidRPr="00CE6DD8">
        <w:t xml:space="preserve"> </w:t>
      </w:r>
      <w:r w:rsidR="00CE6DD8" w:rsidRPr="00CE6DD8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CA2B35" w:rsidRPr="005D7EE9" w14:paraId="59634556" w14:textId="77777777" w:rsidTr="00F43CEF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328953DE" w14:textId="77777777" w:rsidR="00CA2B35" w:rsidRPr="004761E1" w:rsidRDefault="00CA2B35" w:rsidP="00F43CEF">
            <w:pPr>
              <w:spacing w:line="240" w:lineRule="auto"/>
            </w:pPr>
          </w:p>
        </w:tc>
      </w:tr>
      <w:tr w:rsidR="00CA2B35" w:rsidRPr="005D7EE9" w14:paraId="3BC9913D" w14:textId="77777777" w:rsidTr="00F43CEF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5067DE57" w14:textId="77777777" w:rsidR="00CA2B35" w:rsidRPr="004761E1" w:rsidRDefault="00CA2B35" w:rsidP="00CE6DD8">
            <w:pPr>
              <w:tabs>
                <w:tab w:val="left" w:pos="2440"/>
              </w:tabs>
              <w:ind w:left="2440" w:hanging="2440"/>
            </w:pPr>
            <w:r>
              <w:rPr>
                <w:u w:val="single"/>
              </w:rPr>
              <w:t>Справочные документы</w:t>
            </w:r>
            <w:r>
              <w:t>:</w:t>
            </w:r>
            <w:r>
              <w:tab/>
              <w:t xml:space="preserve">Неофициальный документ INF.28 (Австрия) тридцать пятой сессии, ECE/TRANS/WP.15/AC.2/72, пункт 20 </w:t>
            </w:r>
          </w:p>
        </w:tc>
      </w:tr>
      <w:tr w:rsidR="00CA2B35" w:rsidRPr="005D7EE9" w14:paraId="2433A603" w14:textId="77777777" w:rsidTr="00F43CEF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3ED59EA3" w14:textId="77777777" w:rsidR="00CA2B35" w:rsidRPr="004761E1" w:rsidRDefault="00CA2B35" w:rsidP="00F43CEF">
            <w:pPr>
              <w:spacing w:line="240" w:lineRule="auto"/>
            </w:pPr>
          </w:p>
        </w:tc>
      </w:tr>
    </w:tbl>
    <w:p w14:paraId="6C748FE9" w14:textId="77777777" w:rsidR="00CA2B35" w:rsidRPr="004761E1" w:rsidRDefault="00CA2B35" w:rsidP="00CA2B35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4EC1E125" w14:textId="77777777" w:rsidR="00CA2B35" w:rsidRPr="004761E1" w:rsidRDefault="00CA2B35" w:rsidP="00CA2B35">
      <w:pPr>
        <w:pStyle w:val="SingleTxtG"/>
      </w:pPr>
      <w:r>
        <w:t>1.</w:t>
      </w:r>
      <w:r>
        <w:tab/>
        <w:t>На основе предложения Австрии Комитет по вопросам безопасности постановил, что официальное утверждение типа устройства для взятия проб, предписанное в настоящее время (см. определения в разделе 1.2.1 ВОПОГ), больше не должно требоваться. На предыдущих совещаниях Комитета по вопросам безопасности делегация Германии также сообщала о трудностях, связанных с этим требованием.</w:t>
      </w:r>
    </w:p>
    <w:p w14:paraId="7EE719E3" w14:textId="77777777" w:rsidR="00CA2B35" w:rsidRPr="004761E1" w:rsidRDefault="00CA2B35" w:rsidP="00CA2B35">
      <w:pPr>
        <w:pStyle w:val="HChG"/>
      </w:pPr>
      <w:r>
        <w:tab/>
        <w:t>I.</w:t>
      </w:r>
      <w:r>
        <w:tab/>
      </w:r>
      <w:r>
        <w:rPr>
          <w:bCs/>
        </w:rPr>
        <w:t>Предложения о поправках и обоснование</w:t>
      </w:r>
      <w:r>
        <w:t xml:space="preserve"> </w:t>
      </w:r>
    </w:p>
    <w:p w14:paraId="02D90451" w14:textId="77777777" w:rsidR="00CA2B35" w:rsidRPr="004761E1" w:rsidRDefault="00CA2B35" w:rsidP="00CA2B35">
      <w:pPr>
        <w:pStyle w:val="SingleTxtG"/>
        <w:rPr>
          <w:iCs/>
          <w:szCs w:val="18"/>
        </w:rPr>
      </w:pPr>
      <w:r>
        <w:t>2.</w:t>
      </w:r>
      <w:r>
        <w:tab/>
        <w:t>В разделе 1.2.1 ВОПОГ исключается определение термина «Штуцер для присоединения устройства для взятия проб».</w:t>
      </w:r>
    </w:p>
    <w:p w14:paraId="5A874BCD" w14:textId="77777777" w:rsidR="00CA2B35" w:rsidRPr="004761E1" w:rsidRDefault="00CA2B35" w:rsidP="00CA2B35">
      <w:pPr>
        <w:pStyle w:val="SingleTxtG"/>
      </w:pPr>
      <w:r>
        <w:t>3.</w:t>
      </w:r>
      <w:r>
        <w:tab/>
        <w:t xml:space="preserve">Требование об официальном утверждении типа было сочтено неуместным. Согласно имеющейся у нас информации, ни одна из Договаривающихся сторон </w:t>
      </w:r>
      <w:r>
        <w:lastRenderedPageBreak/>
        <w:t>ВОПОГ не выдавала таких официальных утверждений типа. Кроме того, не существует никаких критериев, которые могли бы применяться в отношении такого утверждения. Насколько известно Германии, стандарт, опубликованный в 2005 году, не применялся. На практике присоединительные штуцеры проектируются и изготавливаются индивидуально для каждого конкретного судна, и никаких случаев возникновения проблем с безопасностью не доводилось до нашего сведения.</w:t>
      </w:r>
    </w:p>
    <w:p w14:paraId="1373D00B" w14:textId="77777777" w:rsidR="00CA2B35" w:rsidRPr="004761E1" w:rsidRDefault="00CA2B35" w:rsidP="00CA2B35">
      <w:pPr>
        <w:pStyle w:val="SingleTxtG"/>
      </w:pPr>
      <w:r>
        <w:t>4.</w:t>
      </w:r>
      <w:r>
        <w:tab/>
        <w:t>Конструктивное требование о том, что штуцер должен быть снабжен запирающим приспособлением, можно перенести в часть 9 ВОПОГ. В</w:t>
      </w:r>
      <w:r w:rsidR="00803CFD">
        <w:rPr>
          <w:lang w:val="en-US"/>
        </w:rPr>
        <w:t> </w:t>
      </w:r>
      <w:r>
        <w:t>эксплуатационном предписании в пункте 7.2.4.16.11 ВОПОГ уже содержатся ссылки на часть 9 ВОПОГ в отношении запирающего приспособления, хотя в указанных предложениях «затвор» штуцера не упоминается.</w:t>
      </w:r>
    </w:p>
    <w:p w14:paraId="5D00F4EF" w14:textId="77777777" w:rsidR="00CA2B35" w:rsidRPr="004761E1" w:rsidRDefault="00CA2B35" w:rsidP="00CA2B35">
      <w:pPr>
        <w:pStyle w:val="SingleTxtG"/>
        <w:rPr>
          <w:iCs/>
          <w:szCs w:val="18"/>
        </w:rPr>
      </w:pPr>
      <w:r>
        <w:t>5.</w:t>
      </w:r>
      <w:r>
        <w:tab/>
        <w:t>В разделе 1.2.1 ВОПОГ в определениях терминов «Устройство для взятия проб закрытого типа» и «Устройство для взятия проб полузакрытого типа» исключается последнее предложение.</w:t>
      </w:r>
    </w:p>
    <w:p w14:paraId="08C164D9" w14:textId="77777777" w:rsidR="00CA2B35" w:rsidRPr="004761E1" w:rsidRDefault="00CA2B35" w:rsidP="00CA2B35">
      <w:pPr>
        <w:pStyle w:val="SingleTxtG"/>
        <w:rPr>
          <w:iCs/>
          <w:szCs w:val="18"/>
        </w:rPr>
      </w:pPr>
      <w:r>
        <w:t>6.</w:t>
      </w:r>
      <w:r>
        <w:tab/>
        <w:t>Требование об официальном утверждении типа было сочтено неуместным. Согласно имеющейся у нас информации, ни одна из Договаривающихся сторон ВОПОГ не выдавала таких официальных утверждений типа. Кроме того, не существует никаких критериев, которые могли бы применяться в отношении такого утверждения. Нам не известно о других стандартах или нормах для устройств для взятия проб, характерных только для судов внутреннего плавания, на которые можно было бы ссылаться.</w:t>
      </w:r>
    </w:p>
    <w:p w14:paraId="7E467B25" w14:textId="77777777" w:rsidR="00CA2B35" w:rsidRPr="00E73DA6" w:rsidRDefault="00E73DA6" w:rsidP="00E73DA6">
      <w:pPr>
        <w:pStyle w:val="SingleTxtG"/>
        <w:rPr>
          <w:b/>
        </w:rPr>
      </w:pPr>
      <w:r w:rsidRPr="00E73DA6">
        <w:rPr>
          <w:b/>
        </w:rPr>
        <w:tab/>
      </w:r>
      <w:r w:rsidR="00CA2B35" w:rsidRPr="00E73DA6">
        <w:rPr>
          <w:b/>
        </w:rPr>
        <w:t>В пункте 7.2.4.16.11</w:t>
      </w:r>
    </w:p>
    <w:p w14:paraId="70EF41FC" w14:textId="77777777" w:rsidR="00CA2B35" w:rsidRPr="004761E1" w:rsidRDefault="00CA2B35" w:rsidP="00E73DA6">
      <w:pPr>
        <w:pStyle w:val="SingleTxtG"/>
        <w:ind w:left="1701"/>
      </w:pPr>
      <w:r>
        <w:t>«Затвор» заменяется на «Запирающее приспособление». После слова «штуцера» добавить «для присоединения устройства для взятия проб».</w:t>
      </w:r>
    </w:p>
    <w:p w14:paraId="25C35104" w14:textId="77777777" w:rsidR="00CA2B35" w:rsidRPr="004761E1" w:rsidRDefault="00CA2B35" w:rsidP="00E73DA6">
      <w:pPr>
        <w:pStyle w:val="SingleTxtG"/>
        <w:ind w:left="1701"/>
      </w:pPr>
      <w:r>
        <w:t>Вместо термина «Затвор» используется термин «Запирающее приспособление», взятый из существующего определения. Это позволяет сразу же понять, о каком запирающем приспособлении идет речь, и помогает прояснить предписание.</w:t>
      </w:r>
    </w:p>
    <w:p w14:paraId="5107D2A8" w14:textId="77777777" w:rsidR="00CA2B35" w:rsidRPr="004761E1" w:rsidRDefault="00CA2B35" w:rsidP="00E73DA6">
      <w:pPr>
        <w:pStyle w:val="SingleTxtG"/>
        <w:ind w:left="1701"/>
      </w:pPr>
      <w:r>
        <w:t>Физическая возможность открытия («может») заменяется юридической допустимостью открытия («должно»). Это согласуется с текстом на немецком [и французском] языках.</w:t>
      </w:r>
    </w:p>
    <w:p w14:paraId="34294675" w14:textId="77777777" w:rsidR="00CA2B35" w:rsidRPr="00E73DA6" w:rsidRDefault="00E73DA6" w:rsidP="00E73DA6">
      <w:pPr>
        <w:pStyle w:val="SingleTxtG"/>
        <w:rPr>
          <w:b/>
        </w:rPr>
      </w:pPr>
      <w:r w:rsidRPr="00E73DA6">
        <w:rPr>
          <w:b/>
        </w:rPr>
        <w:tab/>
      </w:r>
      <w:r w:rsidR="00CA2B35" w:rsidRPr="00E73DA6">
        <w:rPr>
          <w:b/>
        </w:rPr>
        <w:t xml:space="preserve">В пунктах 9.3.1.21.1 g), 9.3.2.21.1 g) и 9.3.3.21.1 g) </w:t>
      </w:r>
    </w:p>
    <w:p w14:paraId="2E80BEA9" w14:textId="77777777" w:rsidR="00CA2B35" w:rsidRPr="004761E1" w:rsidRDefault="00CA2B35" w:rsidP="00E73DA6">
      <w:pPr>
        <w:pStyle w:val="SingleTxtG"/>
        <w:ind w:left="1701"/>
      </w:pPr>
      <w:r>
        <w:t>Включить новое второе предложение следующего содержания:</w:t>
      </w:r>
    </w:p>
    <w:p w14:paraId="1C1F302A" w14:textId="77777777" w:rsidR="00CA2B35" w:rsidRPr="004761E1" w:rsidRDefault="00CA2B35" w:rsidP="00E73DA6">
      <w:pPr>
        <w:pStyle w:val="SingleTxtG"/>
        <w:ind w:left="1701"/>
      </w:pPr>
      <w:r>
        <w:t>«Штуцер должен быть снабжен запирающим приспособлением, способным выдержать внутреннее давление в грузовом танке.»</w:t>
      </w:r>
    </w:p>
    <w:p w14:paraId="73877BC5" w14:textId="77777777" w:rsidR="00CA2B35" w:rsidRPr="004761E1" w:rsidRDefault="00CA2B35" w:rsidP="00E73DA6">
      <w:pPr>
        <w:pStyle w:val="SingleTxtG"/>
        <w:ind w:left="1701"/>
      </w:pPr>
      <w:r>
        <w:t>Требование, содержащееся в исключенном определении термина «Штуцер для присоединения устройства для взятия проб», переносится без изменений в часть</w:t>
      </w:r>
      <w:r w:rsidR="00E73DA6">
        <w:rPr>
          <w:lang w:val="en-US"/>
        </w:rPr>
        <w:t> </w:t>
      </w:r>
      <w:r>
        <w:t>9.</w:t>
      </w:r>
    </w:p>
    <w:p w14:paraId="2FA41D78" w14:textId="77777777" w:rsidR="00CA2B35" w:rsidRPr="004761E1" w:rsidRDefault="00CA2B35" w:rsidP="00CA2B35">
      <w:pPr>
        <w:pStyle w:val="HChG"/>
        <w:rPr>
          <w:rFonts w:cs="Arial"/>
        </w:rPr>
      </w:pPr>
      <w:r>
        <w:tab/>
        <w:t>II.</w:t>
      </w:r>
      <w:r>
        <w:tab/>
      </w:r>
      <w:r>
        <w:rPr>
          <w:bCs/>
        </w:rPr>
        <w:t>Безопасность</w:t>
      </w:r>
    </w:p>
    <w:p w14:paraId="460B4375" w14:textId="77777777" w:rsidR="00CA2B35" w:rsidRPr="004761E1" w:rsidRDefault="00CA2B35" w:rsidP="00CA2B35">
      <w:pPr>
        <w:pStyle w:val="SingleTxtG"/>
      </w:pPr>
      <w:r>
        <w:t>7.</w:t>
      </w:r>
      <w:r>
        <w:tab/>
        <w:t>Предыдущая практика отказа от официального утверждения типа и использования индивидуальных штуцеров и устройств для взятия проб не создавала никаких проблем в плане безопасности.</w:t>
      </w:r>
    </w:p>
    <w:p w14:paraId="3927C88E" w14:textId="77777777" w:rsidR="00CA2B35" w:rsidRPr="004761E1" w:rsidRDefault="00CA2B35" w:rsidP="00CA2B35">
      <w:pPr>
        <w:pStyle w:val="HChG"/>
      </w:pPr>
      <w:r>
        <w:tab/>
        <w:t>III.</w:t>
      </w:r>
      <w:r>
        <w:tab/>
      </w:r>
      <w:r>
        <w:rPr>
          <w:bCs/>
        </w:rPr>
        <w:t>Осуществление</w:t>
      </w:r>
    </w:p>
    <w:p w14:paraId="4645BC63" w14:textId="77777777" w:rsidR="00E12C5F" w:rsidRDefault="00CA2B35" w:rsidP="00CA2B35">
      <w:pPr>
        <w:pStyle w:val="SingleTxtG"/>
      </w:pPr>
      <w:r>
        <w:t>8.</w:t>
      </w:r>
      <w:r>
        <w:tab/>
        <w:t>Данное предложение не предполагает никаких изменений в области постройки судов или организации перевозок.</w:t>
      </w:r>
    </w:p>
    <w:p w14:paraId="7C5902C5" w14:textId="77777777" w:rsidR="00CA2B35" w:rsidRPr="00CA2B35" w:rsidRDefault="00CA2B35" w:rsidP="00CA2B3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2B35" w:rsidRPr="00CA2B35" w:rsidSect="00CA2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D334C" w14:textId="77777777" w:rsidR="00251170" w:rsidRPr="00A312BC" w:rsidRDefault="00251170" w:rsidP="00A312BC"/>
  </w:endnote>
  <w:endnote w:type="continuationSeparator" w:id="0">
    <w:p w14:paraId="15B79DD5" w14:textId="77777777" w:rsidR="00251170" w:rsidRPr="00A312BC" w:rsidRDefault="0025117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3F6C5" w14:textId="77777777" w:rsidR="00CA2B35" w:rsidRPr="00CA2B35" w:rsidRDefault="00CA2B35">
    <w:pPr>
      <w:pStyle w:val="Footer"/>
    </w:pPr>
    <w:r w:rsidRPr="00CA2B35">
      <w:rPr>
        <w:b/>
        <w:sz w:val="18"/>
      </w:rPr>
      <w:fldChar w:fldCharType="begin"/>
    </w:r>
    <w:r w:rsidRPr="00CA2B35">
      <w:rPr>
        <w:b/>
        <w:sz w:val="18"/>
      </w:rPr>
      <w:instrText xml:space="preserve"> PAGE  \* MERGEFORMAT </w:instrText>
    </w:r>
    <w:r w:rsidRPr="00CA2B35">
      <w:rPr>
        <w:b/>
        <w:sz w:val="18"/>
      </w:rPr>
      <w:fldChar w:fldCharType="separate"/>
    </w:r>
    <w:r w:rsidR="00A90965">
      <w:rPr>
        <w:b/>
        <w:noProof/>
        <w:sz w:val="18"/>
      </w:rPr>
      <w:t>2</w:t>
    </w:r>
    <w:r w:rsidRPr="00CA2B35">
      <w:rPr>
        <w:b/>
        <w:sz w:val="18"/>
      </w:rPr>
      <w:fldChar w:fldCharType="end"/>
    </w:r>
    <w:r>
      <w:rPr>
        <w:b/>
        <w:sz w:val="18"/>
      </w:rPr>
      <w:tab/>
    </w:r>
    <w:r>
      <w:t>GE.19-19328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E1D7" w14:textId="77777777" w:rsidR="00CA2B35" w:rsidRPr="00CA2B35" w:rsidRDefault="00CA2B35" w:rsidP="00CA2B35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GE.19-19328</w:t>
    </w:r>
    <w:r>
      <w:tab/>
    </w:r>
    <w:r w:rsidRPr="00CA2B35">
      <w:rPr>
        <w:b/>
        <w:sz w:val="18"/>
      </w:rPr>
      <w:fldChar w:fldCharType="begin"/>
    </w:r>
    <w:r w:rsidRPr="00CA2B35">
      <w:rPr>
        <w:b/>
        <w:sz w:val="18"/>
      </w:rPr>
      <w:instrText xml:space="preserve"> PAGE  \* MERGEFORMAT </w:instrText>
    </w:r>
    <w:r w:rsidRPr="00CA2B35">
      <w:rPr>
        <w:b/>
        <w:sz w:val="18"/>
      </w:rPr>
      <w:fldChar w:fldCharType="separate"/>
    </w:r>
    <w:r w:rsidR="00E73DA6">
      <w:rPr>
        <w:b/>
        <w:noProof/>
        <w:sz w:val="18"/>
      </w:rPr>
      <w:t>3</w:t>
    </w:r>
    <w:r w:rsidRPr="00CA2B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46BC" w14:textId="77777777" w:rsidR="00042B72" w:rsidRPr="00CA2B35" w:rsidRDefault="00CA2B35" w:rsidP="00CA2B3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AC50D3B" wp14:editId="64995A7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19-19328  (R)</w:t>
    </w:r>
    <w:r>
      <w:rPr>
        <w:lang w:val="en-US"/>
      </w:rPr>
      <w:t xml:space="preserve">  141119  151119</w:t>
    </w:r>
    <w:r>
      <w:br/>
    </w:r>
    <w:r w:rsidRPr="00CA2B35">
      <w:rPr>
        <w:rFonts w:ascii="C39T30Lfz" w:hAnsi="C39T30Lfz"/>
        <w:kern w:val="14"/>
        <w:sz w:val="56"/>
      </w:rPr>
      <w:t></w:t>
    </w:r>
    <w:r w:rsidRPr="00CA2B35">
      <w:rPr>
        <w:rFonts w:ascii="C39T30Lfz" w:hAnsi="C39T30Lfz"/>
        <w:kern w:val="14"/>
        <w:sz w:val="56"/>
      </w:rPr>
      <w:t></w:t>
    </w:r>
    <w:r w:rsidRPr="00CA2B35">
      <w:rPr>
        <w:rFonts w:ascii="C39T30Lfz" w:hAnsi="C39T30Lfz"/>
        <w:kern w:val="14"/>
        <w:sz w:val="56"/>
      </w:rPr>
      <w:t></w:t>
    </w:r>
    <w:r w:rsidRPr="00CA2B35">
      <w:rPr>
        <w:rFonts w:ascii="C39T30Lfz" w:hAnsi="C39T30Lfz"/>
        <w:kern w:val="14"/>
        <w:sz w:val="56"/>
      </w:rPr>
      <w:t></w:t>
    </w:r>
    <w:r w:rsidRPr="00CA2B35">
      <w:rPr>
        <w:rFonts w:ascii="C39T30Lfz" w:hAnsi="C39T30Lfz"/>
        <w:kern w:val="14"/>
        <w:sz w:val="56"/>
      </w:rPr>
      <w:t></w:t>
    </w:r>
    <w:r w:rsidRPr="00CA2B35">
      <w:rPr>
        <w:rFonts w:ascii="C39T30Lfz" w:hAnsi="C39T30Lfz"/>
        <w:kern w:val="14"/>
        <w:sz w:val="56"/>
      </w:rPr>
      <w:t></w:t>
    </w:r>
    <w:r w:rsidRPr="00CA2B35">
      <w:rPr>
        <w:rFonts w:ascii="C39T30Lfz" w:hAnsi="C39T30Lfz"/>
        <w:kern w:val="14"/>
        <w:sz w:val="56"/>
      </w:rPr>
      <w:t></w:t>
    </w:r>
    <w:r w:rsidRPr="00CA2B35">
      <w:rPr>
        <w:rFonts w:ascii="C39T30Lfz" w:hAnsi="C39T30Lfz"/>
        <w:kern w:val="14"/>
        <w:sz w:val="56"/>
      </w:rPr>
      <w:t></w:t>
    </w:r>
    <w:r w:rsidRPr="00CA2B3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A304C63" wp14:editId="59EF64E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196E" w14:textId="77777777" w:rsidR="00251170" w:rsidRPr="001075E9" w:rsidRDefault="0025117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65631D" w14:textId="77777777" w:rsidR="00251170" w:rsidRDefault="0025117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FFEE42F" w14:textId="77777777" w:rsidR="00CE6DD8" w:rsidRPr="00CE6DD8" w:rsidRDefault="00CE6DD8">
      <w:pPr>
        <w:pStyle w:val="FootnoteText"/>
        <w:rPr>
          <w:sz w:val="20"/>
        </w:rPr>
      </w:pPr>
      <w:r>
        <w:tab/>
      </w:r>
      <w:r w:rsidRPr="00CE6DD8">
        <w:rPr>
          <w:rStyle w:val="FootnoteReference"/>
          <w:sz w:val="20"/>
          <w:vertAlign w:val="baseline"/>
        </w:rPr>
        <w:t>*</w:t>
      </w:r>
      <w:r w:rsidRPr="00CE6DD8">
        <w:rPr>
          <w:rStyle w:val="FootnoteReference"/>
          <w:vertAlign w:val="baseline"/>
        </w:rPr>
        <w:tab/>
      </w:r>
      <w:r>
        <w:t>Распространено на немецком языке Центральной комиссией судоходства по Рейну под условным обозначением CCNR/ZKR/ADN/WP.15/AC.2/2020/2.</w:t>
      </w:r>
    </w:p>
  </w:footnote>
  <w:footnote w:id="2">
    <w:p w14:paraId="0084B8FE" w14:textId="77777777" w:rsidR="00CE6DD8" w:rsidRPr="00CE6DD8" w:rsidRDefault="00CE6DD8">
      <w:pPr>
        <w:pStyle w:val="FootnoteText"/>
        <w:rPr>
          <w:sz w:val="20"/>
        </w:rPr>
      </w:pPr>
      <w:r>
        <w:tab/>
      </w:r>
      <w:r w:rsidRPr="00CE6DD8">
        <w:rPr>
          <w:rStyle w:val="FootnoteReference"/>
          <w:sz w:val="20"/>
          <w:vertAlign w:val="baseline"/>
        </w:rPr>
        <w:t>**</w:t>
      </w:r>
      <w:r w:rsidRPr="00CE6DD8">
        <w:rPr>
          <w:rStyle w:val="FootnoteReference"/>
          <w:vertAlign w:val="baseline"/>
        </w:rPr>
        <w:tab/>
      </w:r>
      <w:r w:rsidRPr="00CE6DD8">
        <w:t>В соответствии с программой работы Комитета по внутреннему транспорту на 2018–2019</w:t>
      </w:r>
      <w:r w:rsidR="00E73DA6">
        <w:rPr>
          <w:lang w:val="en-US"/>
        </w:rPr>
        <w:t> </w:t>
      </w:r>
      <w:r w:rsidRPr="00CE6DD8">
        <w:t>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CBB3" w14:textId="04362551" w:rsidR="00CA2B35" w:rsidRPr="00CA2B35" w:rsidRDefault="009B6D4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4105" w14:textId="04B38745" w:rsidR="00CA2B35" w:rsidRPr="00CA2B35" w:rsidRDefault="009B6D43" w:rsidP="00CA2B35">
    <w:pPr>
      <w:pStyle w:val="Header"/>
      <w:jc w:val="right"/>
    </w:pPr>
    <w:r>
      <w:fldChar w:fldCharType="begin"/>
    </w:r>
    <w:r>
      <w:instrText xml:space="preserve"> TITLE</w:instrText>
    </w:r>
    <w:r>
      <w:instrText xml:space="preserve">  \* MERGEFORMAT </w:instrText>
    </w:r>
    <w:r>
      <w:fldChar w:fldCharType="separate"/>
    </w:r>
    <w:r>
      <w:t>ECE/TRANS/WP.15/AC.2/2020/2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A7569" w14:textId="77777777" w:rsidR="00CA2B35" w:rsidRDefault="00CA2B35" w:rsidP="00CA2B3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7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2D99"/>
    <w:rsid w:val="001B3EF6"/>
    <w:rsid w:val="001C7A89"/>
    <w:rsid w:val="0025117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BD9"/>
    <w:rsid w:val="003402C2"/>
    <w:rsid w:val="00381C24"/>
    <w:rsid w:val="00387CD4"/>
    <w:rsid w:val="003958D0"/>
    <w:rsid w:val="003A0D43"/>
    <w:rsid w:val="003A48CE"/>
    <w:rsid w:val="003B00E5"/>
    <w:rsid w:val="003E0B46"/>
    <w:rsid w:val="003F0841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59DA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3CF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425A"/>
    <w:rsid w:val="009A24AC"/>
    <w:rsid w:val="009B6D43"/>
    <w:rsid w:val="009C59D7"/>
    <w:rsid w:val="009C6FE6"/>
    <w:rsid w:val="009D7E7D"/>
    <w:rsid w:val="00A14DA8"/>
    <w:rsid w:val="00A312BC"/>
    <w:rsid w:val="00A84021"/>
    <w:rsid w:val="00A84D35"/>
    <w:rsid w:val="00A9096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2B35"/>
    <w:rsid w:val="00CB151C"/>
    <w:rsid w:val="00CE5A1A"/>
    <w:rsid w:val="00CE6DD8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DA6"/>
    <w:rsid w:val="00E73F76"/>
    <w:rsid w:val="00EA2C9F"/>
    <w:rsid w:val="00EA420E"/>
    <w:rsid w:val="00ED0BDA"/>
    <w:rsid w:val="00EE142A"/>
    <w:rsid w:val="00EE7230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603E9"/>
  <w15:docId w15:val="{3BDE4664-0569-4EDB-9CD7-C6E2E0AD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CA2B35"/>
    <w:rPr>
      <w:lang w:val="ru-RU" w:eastAsia="en-US"/>
    </w:rPr>
  </w:style>
  <w:style w:type="character" w:customStyle="1" w:styleId="HChGChar">
    <w:name w:val="_ H _Ch_G Char"/>
    <w:link w:val="HChG"/>
    <w:rsid w:val="00CA2B3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ECE/TRANS/WP.15/AC.2/2020/2</vt:lpstr>
      <vt:lpstr>A/</vt:lpstr>
      <vt:lpstr>A/</vt:lpstr>
    </vt:vector>
  </TitlesOfParts>
  <Company>DCM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ECE/TRANS/WP.15/AC.2/2020/2</dc:title>
  <dc:subject/>
  <dc:creator>Olga OVTCHINNIKOVA</dc:creator>
  <cp:keywords/>
  <cp:lastModifiedBy>Marie-Claude Collet</cp:lastModifiedBy>
  <cp:revision>3</cp:revision>
  <cp:lastPrinted>2019-11-15T12:35:00Z</cp:lastPrinted>
  <dcterms:created xsi:type="dcterms:W3CDTF">2019-11-15T12:35:00Z</dcterms:created>
  <dcterms:modified xsi:type="dcterms:W3CDTF">2019-11-15T12:35:00Z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