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566E10" w:rsidP="00566E10">
            <w:pPr>
              <w:jc w:val="right"/>
            </w:pPr>
            <w:r w:rsidRPr="00566E10">
              <w:rPr>
                <w:sz w:val="40"/>
              </w:rPr>
              <w:t>ECE</w:t>
            </w:r>
            <w:r>
              <w:t>/TRANS/WP.15/AC.2/2020/15</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566E10" w:rsidP="00566E10">
            <w:pPr>
              <w:spacing w:before="240" w:line="240" w:lineRule="exact"/>
            </w:pPr>
            <w:proofErr w:type="spellStart"/>
            <w:r>
              <w:t>Distr</w:t>
            </w:r>
            <w:proofErr w:type="spellEnd"/>
            <w:r>
              <w:t xml:space="preserve">. </w:t>
            </w:r>
            <w:proofErr w:type="gramStart"/>
            <w:r>
              <w:t>générale</w:t>
            </w:r>
            <w:proofErr w:type="gramEnd"/>
          </w:p>
          <w:p w:rsidR="00566E10" w:rsidRDefault="00AE3924" w:rsidP="00566E10">
            <w:pPr>
              <w:spacing w:line="240" w:lineRule="exact"/>
            </w:pPr>
            <w:r>
              <w:t>1</w:t>
            </w:r>
            <w:r w:rsidR="00B60B7C">
              <w:t>2</w:t>
            </w:r>
            <w:bookmarkStart w:id="0" w:name="_GoBack"/>
            <w:bookmarkEnd w:id="0"/>
            <w:r>
              <w:t xml:space="preserve"> </w:t>
            </w:r>
            <w:r w:rsidR="00566E10">
              <w:t>novembre 2019</w:t>
            </w:r>
          </w:p>
          <w:p w:rsidR="00566E10" w:rsidRDefault="00566E10" w:rsidP="00566E10">
            <w:pPr>
              <w:spacing w:line="240" w:lineRule="exact"/>
            </w:pPr>
          </w:p>
          <w:p w:rsidR="00566E10" w:rsidRPr="00DB58B5" w:rsidRDefault="00566E10" w:rsidP="00566E10">
            <w:pPr>
              <w:spacing w:line="240" w:lineRule="exact"/>
            </w:pPr>
            <w:r>
              <w:t>Original : français</w:t>
            </w:r>
          </w:p>
        </w:tc>
      </w:tr>
    </w:tbl>
    <w:p w:rsidR="009B5F4A" w:rsidRDefault="009B5F4A" w:rsidP="00FD1581">
      <w:pPr>
        <w:spacing w:before="120"/>
        <w:rPr>
          <w:b/>
          <w:sz w:val="28"/>
          <w:szCs w:val="28"/>
        </w:rPr>
      </w:pPr>
      <w:r w:rsidRPr="00883605">
        <w:rPr>
          <w:b/>
          <w:sz w:val="28"/>
          <w:szCs w:val="28"/>
        </w:rPr>
        <w:t>Commission économique pour l’Europe</w:t>
      </w:r>
    </w:p>
    <w:p w:rsidR="009B5F4A" w:rsidRDefault="009B5F4A" w:rsidP="00FD1581">
      <w:pPr>
        <w:spacing w:before="120"/>
        <w:rPr>
          <w:sz w:val="28"/>
          <w:szCs w:val="28"/>
        </w:rPr>
      </w:pPr>
      <w:r w:rsidRPr="00685843">
        <w:rPr>
          <w:sz w:val="28"/>
          <w:szCs w:val="28"/>
        </w:rPr>
        <w:t>Comité des transports intérieurs</w:t>
      </w:r>
    </w:p>
    <w:p w:rsidR="009B5F4A" w:rsidRPr="009E01B8" w:rsidRDefault="009B5F4A"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9B5F4A" w:rsidRPr="004812F5" w:rsidRDefault="009B5F4A"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9B5F4A" w:rsidRPr="00234E40" w:rsidRDefault="009B5F4A" w:rsidP="00FD1581">
      <w:pPr>
        <w:spacing w:before="120"/>
        <w:rPr>
          <w:b/>
        </w:rPr>
      </w:pPr>
      <w:r>
        <w:rPr>
          <w:b/>
        </w:rPr>
        <w:t xml:space="preserve">Trente-sixième </w:t>
      </w:r>
      <w:r w:rsidRPr="00234E40">
        <w:rPr>
          <w:b/>
        </w:rPr>
        <w:t>session</w:t>
      </w:r>
    </w:p>
    <w:p w:rsidR="009B5F4A" w:rsidRDefault="009B5F4A" w:rsidP="00FD1581">
      <w:r>
        <w:t>Genève, 27-31 janvier 2020</w:t>
      </w:r>
    </w:p>
    <w:p w:rsidR="009B5F4A" w:rsidRDefault="009B5F4A" w:rsidP="00FD1581">
      <w:r w:rsidRPr="00B93E72">
        <w:t xml:space="preserve">Point </w:t>
      </w:r>
      <w:r>
        <w:t xml:space="preserve">4 c) </w:t>
      </w:r>
      <w:r w:rsidRPr="00B93E72">
        <w:t>de l’ordre du jour provisoire</w:t>
      </w:r>
    </w:p>
    <w:p w:rsidR="004639E9" w:rsidRPr="004639E9" w:rsidRDefault="004639E9" w:rsidP="00FD1581">
      <w:pPr>
        <w:rPr>
          <w:b/>
          <w:bCs/>
        </w:rPr>
      </w:pPr>
      <w:r w:rsidRPr="004639E9">
        <w:rPr>
          <w:b/>
          <w:bCs/>
        </w:rPr>
        <w:t xml:space="preserve">Mise en œuvre de l’Accord européen relatif au transport international des </w:t>
      </w:r>
      <w:r w:rsidRPr="004639E9">
        <w:rPr>
          <w:b/>
          <w:bCs/>
        </w:rPr>
        <w:br/>
        <w:t>marchandises dangereuses par voies de navigation intérieures (ADN) :</w:t>
      </w:r>
    </w:p>
    <w:p w:rsidR="00C1626B" w:rsidRDefault="004639E9" w:rsidP="00F06ED4">
      <w:pPr>
        <w:rPr>
          <w:b/>
          <w:bCs/>
        </w:rPr>
      </w:pPr>
      <w:proofErr w:type="gramStart"/>
      <w:r>
        <w:rPr>
          <w:b/>
          <w:bCs/>
        </w:rPr>
        <w:t>i</w:t>
      </w:r>
      <w:r w:rsidR="009B5F4A" w:rsidRPr="009B5F4A">
        <w:rPr>
          <w:b/>
          <w:bCs/>
        </w:rPr>
        <w:t>nterprétation</w:t>
      </w:r>
      <w:proofErr w:type="gramEnd"/>
      <w:r w:rsidR="009B5F4A" w:rsidRPr="009B5F4A">
        <w:rPr>
          <w:b/>
          <w:bCs/>
        </w:rPr>
        <w:t xml:space="preserve"> du Règlement annexé à l’ADN</w:t>
      </w:r>
    </w:p>
    <w:p w:rsidR="009B5F4A" w:rsidRPr="00E472A8" w:rsidRDefault="009B5F4A" w:rsidP="009B5F4A">
      <w:pPr>
        <w:pStyle w:val="HChG"/>
        <w:rPr>
          <w:lang w:val="fr-FR"/>
        </w:rPr>
      </w:pPr>
      <w:r w:rsidRPr="00E472A8">
        <w:rPr>
          <w:lang w:val="fr-FR"/>
        </w:rPr>
        <w:tab/>
      </w:r>
      <w:r w:rsidRPr="00E472A8">
        <w:rPr>
          <w:lang w:val="fr-FR"/>
        </w:rPr>
        <w:tab/>
      </w:r>
      <w:r>
        <w:rPr>
          <w:lang w:val="fr-FR"/>
        </w:rPr>
        <w:t xml:space="preserve">Paragraphes 9.3.x.13.3 de l’ADN </w:t>
      </w:r>
      <w:r w:rsidR="00D955A0">
        <w:rPr>
          <w:lang w:val="fr-FR"/>
        </w:rPr>
        <w:t>–</w:t>
      </w:r>
      <w:r>
        <w:rPr>
          <w:lang w:val="fr-FR"/>
        </w:rPr>
        <w:t xml:space="preserve"> Manuel de stabilité</w:t>
      </w:r>
    </w:p>
    <w:p w:rsidR="009B5F4A" w:rsidRPr="00DA3278" w:rsidRDefault="009B5F4A" w:rsidP="009B5F4A">
      <w:pPr>
        <w:pStyle w:val="H1G"/>
        <w:rPr>
          <w:lang w:val="fr-FR"/>
        </w:rPr>
      </w:pPr>
      <w:r w:rsidRPr="002D550A">
        <w:rPr>
          <w:lang w:val="fr-FR"/>
        </w:rPr>
        <w:tab/>
      </w:r>
      <w:r w:rsidRPr="002D550A">
        <w:rPr>
          <w:lang w:val="fr-FR"/>
        </w:rPr>
        <w:tab/>
      </w:r>
      <w:r w:rsidRPr="00DA3278">
        <w:rPr>
          <w:lang w:val="fr-FR"/>
        </w:rPr>
        <w:t>Communication du Gouvernement de l’Allemagne</w:t>
      </w:r>
      <w:r w:rsidR="007F37E9" w:rsidRPr="00946636">
        <w:rPr>
          <w:rStyle w:val="FootnoteReference"/>
          <w:snapToGrid w:val="0"/>
          <w:sz w:val="20"/>
        </w:rPr>
        <w:footnoteReference w:customMarkFollows="1" w:id="2"/>
        <w:t>*</w:t>
      </w:r>
      <w:r w:rsidR="007F37E9" w:rsidRPr="00946636">
        <w:rPr>
          <w:snapToGrid w:val="0"/>
          <w:sz w:val="20"/>
          <w:vertAlign w:val="superscript"/>
        </w:rPr>
        <w:t>,</w:t>
      </w:r>
      <w:r w:rsidR="007F37E9" w:rsidRPr="00946636">
        <w:rPr>
          <w:rStyle w:val="FootnoteReference"/>
          <w:snapToGrid w:val="0"/>
          <w:sz w:val="20"/>
        </w:rPr>
        <w:footnoteReference w:customMarkFollows="1" w:id="3"/>
        <w:t>**</w:t>
      </w:r>
    </w:p>
    <w:p w:rsidR="009B5F4A" w:rsidRPr="00852F91" w:rsidRDefault="009B5F4A" w:rsidP="009B5F4A">
      <w:pPr>
        <w:pStyle w:val="HChG"/>
        <w:rPr>
          <w:lang w:val="fr-FR"/>
        </w:rPr>
      </w:pPr>
      <w:r>
        <w:rPr>
          <w:lang w:val="fr-FR"/>
        </w:rPr>
        <w:tab/>
      </w:r>
      <w:r>
        <w:rPr>
          <w:lang w:val="fr-FR"/>
        </w:rPr>
        <w:tab/>
      </w:r>
      <w:r w:rsidRPr="00852F91">
        <w:rPr>
          <w:lang w:val="fr-FR"/>
        </w:rPr>
        <w:t>Introduction</w:t>
      </w:r>
    </w:p>
    <w:p w:rsidR="009B5F4A" w:rsidRPr="00BA2C43" w:rsidRDefault="009B5F4A" w:rsidP="009B5F4A">
      <w:pPr>
        <w:pStyle w:val="SingleTxtG"/>
        <w:rPr>
          <w:lang w:val="fr-FR"/>
        </w:rPr>
      </w:pPr>
      <w:r w:rsidRPr="00BA2C43">
        <w:rPr>
          <w:lang w:val="fr-FR"/>
        </w:rPr>
        <w:t>1.</w:t>
      </w:r>
      <w:r w:rsidRPr="00BA2C43">
        <w:rPr>
          <w:lang w:val="fr-FR"/>
        </w:rPr>
        <w:tab/>
      </w:r>
      <w:r>
        <w:rPr>
          <w:lang w:val="fr-FR"/>
        </w:rPr>
        <w:t>L'Allemagne a constaté des différences entre le libellé des paragraphes 9.3.1.13.3, 9.3.2.13.3 et 9.3.3.13.3 de l'ADN dans la version allemande, d'une part, et dans les versions française et anglaise, d'autre part. La version russe n'a malheureusement pas pu être vérifiée par la délégation allemande.</w:t>
      </w:r>
    </w:p>
    <w:p w:rsidR="009B5F4A" w:rsidRDefault="009B5F4A" w:rsidP="009B5F4A">
      <w:pPr>
        <w:pStyle w:val="SingleTxtG"/>
        <w:rPr>
          <w:lang w:val="fr-FR"/>
        </w:rPr>
      </w:pPr>
      <w:r w:rsidRPr="00BA2C43">
        <w:rPr>
          <w:lang w:val="fr-FR"/>
        </w:rPr>
        <w:t xml:space="preserve">2. </w:t>
      </w:r>
      <w:r w:rsidRPr="00BA2C43">
        <w:rPr>
          <w:lang w:val="fr-FR"/>
        </w:rPr>
        <w:tab/>
      </w:r>
      <w:r>
        <w:rPr>
          <w:lang w:val="fr-FR"/>
        </w:rPr>
        <w:t xml:space="preserve">À la vingtième </w:t>
      </w:r>
      <w:r w:rsidR="00AE3924">
        <w:rPr>
          <w:lang w:val="fr-FR"/>
        </w:rPr>
        <w:t>session</w:t>
      </w:r>
      <w:r>
        <w:rPr>
          <w:lang w:val="fr-FR"/>
        </w:rPr>
        <w:t xml:space="preserve"> du Comité de sécurité de l'ADN, l'Allemagne a présenté, dans </w:t>
      </w:r>
      <w:r w:rsidRPr="009B5F4A">
        <w:rPr>
          <w:spacing w:val="-10"/>
          <w:lang w:val="fr-FR"/>
        </w:rPr>
        <w:t xml:space="preserve">le document </w:t>
      </w:r>
      <w:r>
        <w:rPr>
          <w:lang w:val="fr-FR"/>
        </w:rPr>
        <w:t>ECE/TRANS/WP.15/AC.2/2012/14</w:t>
      </w:r>
      <w:r w:rsidR="00710DDF">
        <w:rPr>
          <w:lang w:val="fr-FR"/>
        </w:rPr>
        <w:t xml:space="preserve"> (</w:t>
      </w:r>
      <w:r w:rsidR="00710DDF">
        <w:rPr>
          <w:bCs/>
          <w:lang w:val="fr-FR"/>
        </w:rPr>
        <w:t>ZKR/ADN/WP.15/AC.2/2012/14)</w:t>
      </w:r>
      <w:r>
        <w:rPr>
          <w:lang w:val="fr-FR"/>
        </w:rPr>
        <w:t>, une nouvelle version des paragraphes 9.3.x.13.3. Dans les documents de demande, les textes correspondaient.</w:t>
      </w:r>
    </w:p>
    <w:p w:rsidR="009B5F4A" w:rsidRPr="00BF6389" w:rsidRDefault="009B5F4A" w:rsidP="009B5F4A">
      <w:pPr>
        <w:pStyle w:val="SingleTxtG"/>
        <w:rPr>
          <w:lang w:val="fr-FR"/>
        </w:rPr>
      </w:pPr>
      <w:r>
        <w:rPr>
          <w:lang w:val="fr-FR"/>
        </w:rPr>
        <w:t>3.</w:t>
      </w:r>
      <w:r>
        <w:rPr>
          <w:lang w:val="fr-FR"/>
        </w:rPr>
        <w:tab/>
        <w:t>Dans l'annexe I du rapport de la vingtième session (document ECE/TRANS/WP.15/AC.2/42) contenant les amendements adoptés, les écarts entre l'allemand, d'une part, et le français et l'anglais, d'autre part, sont notables. Dans le rapport en langue allemande, le texte a été repris de la demande d'amendement CCNR-ZKR/ADN/WP.15/AC.2/2012/14, tandis que, dans les rapports en français et en anglais, le paragraphe a subi d’importantes modifications par rapport aux documents de demande ECE/TRANS/WP.15/AC.2/2012/14.</w:t>
      </w:r>
    </w:p>
    <w:p w:rsidR="009B5F4A" w:rsidRDefault="009B5F4A" w:rsidP="009B5F4A">
      <w:pPr>
        <w:pStyle w:val="HChG"/>
        <w:rPr>
          <w:lang w:val="fr-FR"/>
        </w:rPr>
      </w:pPr>
      <w:r>
        <w:rPr>
          <w:lang w:val="fr-FR"/>
        </w:rPr>
        <w:lastRenderedPageBreak/>
        <w:tab/>
      </w:r>
      <w:r w:rsidRPr="00827320">
        <w:rPr>
          <w:lang w:val="fr-FR"/>
        </w:rPr>
        <w:t>I.</w:t>
      </w:r>
      <w:r w:rsidRPr="00827320">
        <w:rPr>
          <w:lang w:val="fr-FR"/>
        </w:rPr>
        <w:tab/>
      </w:r>
      <w:r>
        <w:rPr>
          <w:lang w:val="fr-FR"/>
        </w:rPr>
        <w:t>Textes juridiques figurant dans la version de l'ADN actuellement en vigueur</w:t>
      </w:r>
    </w:p>
    <w:p w:rsidR="009B5F4A" w:rsidRDefault="009B5F4A" w:rsidP="009B5F4A">
      <w:pPr>
        <w:pStyle w:val="SingleTxtG"/>
        <w:rPr>
          <w:lang w:val="fr-FR"/>
        </w:rPr>
      </w:pPr>
      <w:r>
        <w:rPr>
          <w:lang w:val="fr-FR"/>
        </w:rPr>
        <w:t>4.</w:t>
      </w:r>
      <w:r w:rsidRPr="00FD5786">
        <w:rPr>
          <w:lang w:val="fr-FR"/>
        </w:rPr>
        <w:tab/>
      </w:r>
      <w:r>
        <w:rPr>
          <w:lang w:val="fr-FR"/>
        </w:rPr>
        <w:t>Les écarts entre le libellé allemand et les libellés français et anglais sont visibles dans le tableau suivant :</w:t>
      </w:r>
    </w:p>
    <w:tbl>
      <w:tblPr>
        <w:tblStyle w:val="TableGrid"/>
        <w:tblW w:w="9077" w:type="dxa"/>
        <w:tblLook w:val="04A0" w:firstRow="1" w:lastRow="0" w:firstColumn="1" w:lastColumn="0" w:noHBand="0" w:noVBand="1"/>
      </w:tblPr>
      <w:tblGrid>
        <w:gridCol w:w="3266"/>
        <w:gridCol w:w="2976"/>
        <w:gridCol w:w="2835"/>
      </w:tblGrid>
      <w:tr w:rsidR="009B5F4A" w:rsidRPr="00AE3924" w:rsidTr="00CD4FCA">
        <w:tc>
          <w:tcPr>
            <w:tcW w:w="3266" w:type="dxa"/>
          </w:tcPr>
          <w:p w:rsidR="009B5F4A" w:rsidRPr="002A0EBA" w:rsidRDefault="009B5F4A" w:rsidP="005F4B2B">
            <w:pPr>
              <w:pStyle w:val="SingleTxtG"/>
              <w:spacing w:before="80" w:line="240" w:lineRule="auto"/>
              <w:ind w:left="136" w:right="65"/>
              <w:rPr>
                <w:lang w:val="de-DE"/>
              </w:rPr>
            </w:pPr>
            <w:r w:rsidRPr="002A0EBA">
              <w:rPr>
                <w:lang w:val="de-DE"/>
              </w:rPr>
              <w:t xml:space="preserve">Die Stabilitätsunterlagen mit diesem Nachweis und den durch die anerkannten Klassifikationsgesellschaft, die das Schiff klassifiziert hat, genehmigten Ladefällen sind in einem Stabilitätshandbuch zusammenzufassen. </w:t>
            </w:r>
          </w:p>
          <w:p w:rsidR="009B5F4A" w:rsidRDefault="009B5F4A" w:rsidP="00481AD7">
            <w:pPr>
              <w:pStyle w:val="SingleTxtG"/>
              <w:spacing w:line="240" w:lineRule="auto"/>
              <w:ind w:left="136" w:right="65"/>
              <w:rPr>
                <w:lang w:val="de-DE"/>
              </w:rPr>
            </w:pPr>
            <w:r w:rsidRPr="002A0EBA">
              <w:rPr>
                <w:lang w:val="de-DE"/>
              </w:rPr>
              <w:t xml:space="preserve">Wenn nicht alle Ladefälle und Ballastfälle konkret berücksichtigt wurden, muss zusätzlich ein von der anerkannten Klassifikationsgesellschaft, die das Schiff klassifiziert hat, genehmigter Ladungsrechner, der die Inhalte des Stabilitätshandbuches abbildet, </w:t>
            </w:r>
            <w:bookmarkStart w:id="1" w:name="_Hlk23251706"/>
            <w:r w:rsidRPr="002A0EBA">
              <w:rPr>
                <w:lang w:val="de-DE"/>
              </w:rPr>
              <w:t>installiert und genutzt werden</w:t>
            </w:r>
            <w:bookmarkEnd w:id="1"/>
            <w:r w:rsidRPr="002A0EBA">
              <w:rPr>
                <w:lang w:val="de-DE"/>
              </w:rPr>
              <w:t>.</w:t>
            </w:r>
          </w:p>
          <w:p w:rsidR="00E3176A" w:rsidRPr="00E3176A" w:rsidRDefault="00E3176A" w:rsidP="00E3176A">
            <w:pPr>
              <w:pStyle w:val="SingleTxtG"/>
              <w:spacing w:before="80" w:line="240" w:lineRule="auto"/>
              <w:ind w:left="136" w:right="65"/>
              <w:rPr>
                <w:b/>
                <w:bCs/>
                <w:u w:val="single"/>
                <w:lang w:val="de-DE"/>
              </w:rPr>
            </w:pPr>
            <w:proofErr w:type="gramStart"/>
            <w:r w:rsidRPr="00E3176A">
              <w:rPr>
                <w:b/>
                <w:bCs/>
                <w:u w:val="single"/>
                <w:lang w:val="de-DE"/>
              </w:rPr>
              <w:t>Traduction :</w:t>
            </w:r>
            <w:proofErr w:type="gramEnd"/>
          </w:p>
          <w:p w:rsidR="00E3176A" w:rsidRPr="00E3176A" w:rsidRDefault="00E3176A" w:rsidP="00E3176A">
            <w:pPr>
              <w:pStyle w:val="SingleTxtG"/>
              <w:spacing w:before="80" w:line="240" w:lineRule="auto"/>
              <w:ind w:left="136" w:right="65"/>
              <w:rPr>
                <w:lang w:val="de-DE"/>
              </w:rPr>
            </w:pPr>
            <w:r w:rsidRPr="00E3176A">
              <w:rPr>
                <w:lang w:val="de-DE"/>
              </w:rPr>
              <w:t>Les documents relatifs à la stabilité mentionnant cette preuve ainsi que les cas de chargement approuvés par la société de classification agréée ayant classé le bateau doivent être réunis sous la forme d’un manuel de stabilité.</w:t>
            </w:r>
          </w:p>
          <w:p w:rsidR="00E3176A" w:rsidRPr="00E3176A" w:rsidRDefault="00E3176A" w:rsidP="00E3176A">
            <w:pPr>
              <w:pStyle w:val="SingleTxtG"/>
              <w:spacing w:before="80" w:line="240" w:lineRule="auto"/>
              <w:ind w:left="136" w:right="65"/>
              <w:rPr>
                <w:lang w:val="de-DE"/>
              </w:rPr>
            </w:pPr>
            <w:r w:rsidRPr="00E3176A">
              <w:rPr>
                <w:lang w:val="de-DE"/>
              </w:rPr>
              <w:t>Si tous les cas de chargement et de ballastage n’ont pas été concrètement pris en considération, il faut avoir recours à un instrument de chargement approuvé par la même société de classification et contenant le texte du manuel de stabilité.</w:t>
            </w:r>
          </w:p>
          <w:p w:rsidR="009B5F4A" w:rsidRPr="002A0EBA" w:rsidRDefault="009B5F4A" w:rsidP="00CD4FCA">
            <w:pPr>
              <w:pStyle w:val="SingleTxtG"/>
              <w:spacing w:after="0" w:line="160" w:lineRule="exact"/>
              <w:ind w:left="136" w:right="62"/>
              <w:rPr>
                <w:lang w:val="de-DE"/>
              </w:rPr>
            </w:pPr>
          </w:p>
        </w:tc>
        <w:tc>
          <w:tcPr>
            <w:tcW w:w="2976" w:type="dxa"/>
          </w:tcPr>
          <w:p w:rsidR="002A0EBA" w:rsidRPr="00E3176A" w:rsidRDefault="002A0EBA" w:rsidP="00E3176A">
            <w:pPr>
              <w:pStyle w:val="SingleTxtG"/>
              <w:spacing w:before="80" w:line="240" w:lineRule="auto"/>
              <w:ind w:left="136" w:right="65"/>
              <w:rPr>
                <w:lang w:val="de-DE"/>
              </w:rPr>
            </w:pPr>
            <w:r w:rsidRPr="00E3176A">
              <w:rPr>
                <w:lang w:val="de-DE"/>
              </w:rPr>
              <w:t xml:space="preserve">La preuve d’une stabilité suffisante doit être démontrée dans le manuel de stabilité pour chaque condition d’opération, de chargement et de ballastage, et doit être approuvée par la société de classification pertinente qui classe le bateau. </w:t>
            </w:r>
          </w:p>
          <w:p w:rsidR="009B5F4A" w:rsidRPr="002A0EBA" w:rsidRDefault="002A0EBA" w:rsidP="00E3176A">
            <w:pPr>
              <w:pStyle w:val="SingleTxtG"/>
              <w:spacing w:before="80" w:line="240" w:lineRule="auto"/>
              <w:ind w:left="136" w:right="65"/>
              <w:rPr>
                <w:iCs/>
                <w:lang w:val="fr-FR"/>
              </w:rPr>
            </w:pPr>
            <w:proofErr w:type="spellStart"/>
            <w:r w:rsidRPr="00E3176A">
              <w:rPr>
                <w:lang w:val="de-DE"/>
              </w:rPr>
              <w:t>S’il</w:t>
            </w:r>
            <w:proofErr w:type="spellEnd"/>
            <w:r w:rsidRPr="00E3176A">
              <w:rPr>
                <w:lang w:val="de-DE"/>
              </w:rPr>
              <w:t xml:space="preserve"> </w:t>
            </w:r>
            <w:proofErr w:type="spellStart"/>
            <w:r w:rsidRPr="00E3176A">
              <w:rPr>
                <w:lang w:val="de-DE"/>
              </w:rPr>
              <w:t>n’est</w:t>
            </w:r>
            <w:proofErr w:type="spellEnd"/>
            <w:r w:rsidRPr="00E3176A">
              <w:rPr>
                <w:lang w:val="de-DE"/>
              </w:rPr>
              <w:t xml:space="preserve"> </w:t>
            </w:r>
            <w:proofErr w:type="spellStart"/>
            <w:r w:rsidRPr="00E3176A">
              <w:rPr>
                <w:lang w:val="de-DE"/>
              </w:rPr>
              <w:t>pas</w:t>
            </w:r>
            <w:proofErr w:type="spellEnd"/>
            <w:r w:rsidRPr="00E3176A">
              <w:rPr>
                <w:lang w:val="de-DE"/>
              </w:rPr>
              <w:t xml:space="preserve"> </w:t>
            </w:r>
            <w:proofErr w:type="spellStart"/>
            <w:r w:rsidRPr="00E3176A">
              <w:rPr>
                <w:lang w:val="de-DE"/>
              </w:rPr>
              <w:t>pratique</w:t>
            </w:r>
            <w:proofErr w:type="spellEnd"/>
            <w:r w:rsidRPr="00E3176A">
              <w:rPr>
                <w:lang w:val="de-DE"/>
              </w:rPr>
              <w:t xml:space="preserve"> de calculer à l’avance les conditions d’opération, de chargement et de ballastage, un instrument de chargement agrée par la société de classification reconnue qui classe le bateau, reprenant le contenu du manuel de stabilité, doit être installé et utilisé.</w:t>
            </w:r>
          </w:p>
        </w:tc>
        <w:tc>
          <w:tcPr>
            <w:tcW w:w="2835" w:type="dxa"/>
          </w:tcPr>
          <w:p w:rsidR="009B5F4A" w:rsidRPr="002A0EBA" w:rsidRDefault="009B5F4A" w:rsidP="005F4B2B">
            <w:pPr>
              <w:pStyle w:val="SingleTxtG"/>
              <w:spacing w:before="80" w:line="240" w:lineRule="auto"/>
              <w:ind w:left="136" w:right="65"/>
              <w:rPr>
                <w:lang w:val="en-GB"/>
              </w:rPr>
            </w:pPr>
            <w:r w:rsidRPr="002A0EBA">
              <w:rPr>
                <w:lang w:val="en-GB"/>
              </w:rPr>
              <w:t xml:space="preserve">The proof of </w:t>
            </w:r>
            <w:proofErr w:type="gramStart"/>
            <w:r w:rsidRPr="002A0EBA">
              <w:rPr>
                <w:lang w:val="en-GB"/>
              </w:rPr>
              <w:t>sufficient</w:t>
            </w:r>
            <w:proofErr w:type="gramEnd"/>
            <w:r w:rsidRPr="002A0EBA">
              <w:rPr>
                <w:lang w:val="en-GB"/>
              </w:rPr>
              <w:t xml:space="preserve"> stability shall be shown for every operating, loading and ballast condition in the stability booklet, to be approved by the relevant classification society, which classes the vessel. </w:t>
            </w:r>
          </w:p>
          <w:p w:rsidR="009B5F4A" w:rsidRPr="002A0EBA" w:rsidRDefault="009B5F4A" w:rsidP="00CD4FCA">
            <w:pPr>
              <w:pStyle w:val="SingleTxtG"/>
              <w:spacing w:line="240" w:lineRule="auto"/>
              <w:ind w:left="136" w:right="65"/>
              <w:rPr>
                <w:lang w:val="en-GB"/>
              </w:rPr>
            </w:pPr>
            <w:r w:rsidRPr="002A0EBA">
              <w:rPr>
                <w:lang w:val="en-GB"/>
              </w:rPr>
              <w:t>If it is unpractical to pre-calculate the operating, loading and ballast conditions, a loading instrument approved by the recognised classification society which classes the vessel shall be installed and used which contains the contents of the stability booklet.</w:t>
            </w:r>
          </w:p>
          <w:p w:rsidR="009B5F4A" w:rsidRPr="002A0EBA" w:rsidRDefault="009B5F4A" w:rsidP="00CD4FCA">
            <w:pPr>
              <w:spacing w:line="240" w:lineRule="auto"/>
              <w:ind w:left="136" w:right="65"/>
              <w:rPr>
                <w:iCs/>
                <w:lang w:val="en-GB"/>
              </w:rPr>
            </w:pPr>
            <w:r w:rsidRPr="002A0EBA">
              <w:rPr>
                <w:lang w:val="en-GB"/>
              </w:rPr>
              <w:t> </w:t>
            </w:r>
          </w:p>
        </w:tc>
      </w:tr>
    </w:tbl>
    <w:p w:rsidR="009B5F4A" w:rsidRPr="0051292C" w:rsidRDefault="009B5F4A" w:rsidP="009B5F4A">
      <w:pPr>
        <w:pStyle w:val="HChG"/>
        <w:rPr>
          <w:lang w:val="fr-FR"/>
        </w:rPr>
      </w:pPr>
      <w:r w:rsidRPr="002A0EBA">
        <w:rPr>
          <w:lang w:val="en-GB"/>
        </w:rPr>
        <w:tab/>
      </w:r>
      <w:r w:rsidRPr="0051292C">
        <w:rPr>
          <w:lang w:val="fr-FR"/>
        </w:rPr>
        <w:t>II.</w:t>
      </w:r>
      <w:r w:rsidRPr="0051292C">
        <w:rPr>
          <w:lang w:val="fr-FR"/>
        </w:rPr>
        <w:tab/>
        <w:t>Evaluation par la délégation allemande</w:t>
      </w:r>
    </w:p>
    <w:p w:rsidR="009B5F4A" w:rsidRDefault="00A20744" w:rsidP="009B5F4A">
      <w:pPr>
        <w:pStyle w:val="SingleTxtG"/>
        <w:rPr>
          <w:lang w:val="fr-FR"/>
        </w:rPr>
      </w:pPr>
      <w:r>
        <w:rPr>
          <w:lang w:val="fr-FR"/>
        </w:rPr>
        <w:t>5</w:t>
      </w:r>
      <w:r w:rsidR="009B5F4A" w:rsidRPr="00894264">
        <w:rPr>
          <w:lang w:val="fr-FR"/>
        </w:rPr>
        <w:t>.</w:t>
      </w:r>
      <w:r w:rsidR="009B5F4A">
        <w:rPr>
          <w:lang w:val="fr-FR"/>
        </w:rPr>
        <w:tab/>
        <w:t xml:space="preserve">Les modifications importantes apportées au texte juridique au cours de la </w:t>
      </w:r>
      <w:r w:rsidR="00E3176A">
        <w:rPr>
          <w:lang w:val="fr-FR"/>
        </w:rPr>
        <w:t>vingtième</w:t>
      </w:r>
      <w:r w:rsidR="009B5F4A">
        <w:rPr>
          <w:lang w:val="fr-FR"/>
        </w:rPr>
        <w:t xml:space="preserve"> </w:t>
      </w:r>
      <w:r w:rsidR="00AE3924">
        <w:rPr>
          <w:lang w:val="fr-FR"/>
        </w:rPr>
        <w:t>session</w:t>
      </w:r>
      <w:r w:rsidR="009B5F4A">
        <w:rPr>
          <w:lang w:val="fr-FR"/>
        </w:rPr>
        <w:t xml:space="preserve">, de la présentation de la demande jusqu'au rapport de </w:t>
      </w:r>
      <w:r w:rsidR="00AE3924">
        <w:rPr>
          <w:lang w:val="fr-FR"/>
        </w:rPr>
        <w:t>session</w:t>
      </w:r>
      <w:r w:rsidR="009B5F4A">
        <w:rPr>
          <w:lang w:val="fr-FR"/>
        </w:rPr>
        <w:t>, ne peuvent plus être identifiées.</w:t>
      </w:r>
    </w:p>
    <w:p w:rsidR="009B5F4A" w:rsidRDefault="00A20744" w:rsidP="009B5F4A">
      <w:pPr>
        <w:pStyle w:val="SingleTxtG"/>
        <w:rPr>
          <w:lang w:val="fr-FR"/>
        </w:rPr>
      </w:pPr>
      <w:r>
        <w:rPr>
          <w:lang w:val="fr-FR"/>
        </w:rPr>
        <w:t>6</w:t>
      </w:r>
      <w:r w:rsidR="009B5F4A">
        <w:rPr>
          <w:lang w:val="fr-FR"/>
        </w:rPr>
        <w:t>.</w:t>
      </w:r>
      <w:r w:rsidR="009B5F4A">
        <w:rPr>
          <w:lang w:val="fr-FR"/>
        </w:rPr>
        <w:tab/>
        <w:t>La version allemande – qui est conforme à celle figurant dans la demande en langue originale ZKR/ADN/WP.15/AC.2/2012/14</w:t>
      </w:r>
      <w:r w:rsidR="00E3176A">
        <w:rPr>
          <w:lang w:val="fr-FR"/>
        </w:rPr>
        <w:t xml:space="preserve"> </w:t>
      </w:r>
      <w:r w:rsidR="00710DDF">
        <w:rPr>
          <w:lang w:val="fr-FR"/>
        </w:rPr>
        <w:t>(</w:t>
      </w:r>
      <w:r w:rsidR="00710DDF">
        <w:rPr>
          <w:bCs/>
          <w:lang w:val="fr-FR"/>
        </w:rPr>
        <w:t xml:space="preserve">ECE/TRANS/WP.15/AC.2/2012/14) </w:t>
      </w:r>
      <w:r w:rsidR="009B5F4A">
        <w:rPr>
          <w:lang w:val="fr-FR"/>
        </w:rPr>
        <w:t>– présente les écarts suivants avec les textes adoptés en français et en anglais :</w:t>
      </w:r>
    </w:p>
    <w:p w:rsidR="009B5F4A" w:rsidRDefault="009B5F4A" w:rsidP="009B5F4A">
      <w:pPr>
        <w:pStyle w:val="SingleTxtG"/>
        <w:rPr>
          <w:lang w:val="fr-FR"/>
        </w:rPr>
      </w:pPr>
      <w:r>
        <w:rPr>
          <w:lang w:val="fr-FR"/>
        </w:rPr>
        <w:tab/>
      </w:r>
      <w:r>
        <w:rPr>
          <w:lang w:val="fr-FR"/>
        </w:rPr>
        <w:tab/>
        <w:t>a)</w:t>
      </w:r>
      <w:r>
        <w:rPr>
          <w:lang w:val="fr-FR"/>
        </w:rPr>
        <w:tab/>
        <w:t>Dans la première phrase, les termes</w:t>
      </w:r>
      <w:proofErr w:type="gramStart"/>
      <w:r>
        <w:rPr>
          <w:lang w:val="fr-FR"/>
        </w:rPr>
        <w:t xml:space="preserve"> «</w:t>
      </w:r>
      <w:proofErr w:type="spellStart"/>
      <w:r>
        <w:rPr>
          <w:lang w:val="fr-FR"/>
        </w:rPr>
        <w:t>Betriebsfälle</w:t>
      </w:r>
      <w:proofErr w:type="spellEnd"/>
      <w:proofErr w:type="gramEnd"/>
      <w:r>
        <w:rPr>
          <w:lang w:val="fr-FR"/>
        </w:rPr>
        <w:t>» (cas/conditions d’exploitation) et «</w:t>
      </w:r>
      <w:proofErr w:type="spellStart"/>
      <w:r>
        <w:rPr>
          <w:lang w:val="fr-FR"/>
        </w:rPr>
        <w:t>Ballastfälle</w:t>
      </w:r>
      <w:proofErr w:type="spellEnd"/>
      <w:r>
        <w:rPr>
          <w:lang w:val="fr-FR"/>
        </w:rPr>
        <w:t>» (cas/conditions de ballastage) ne sont pas mentionnés.</w:t>
      </w:r>
    </w:p>
    <w:p w:rsidR="009B5F4A" w:rsidRDefault="009B5F4A" w:rsidP="009B5F4A">
      <w:pPr>
        <w:pStyle w:val="SingleTxtG"/>
        <w:rPr>
          <w:lang w:val="fr-FR"/>
        </w:rPr>
      </w:pPr>
      <w:r>
        <w:rPr>
          <w:lang w:val="fr-FR"/>
        </w:rPr>
        <w:tab/>
      </w:r>
      <w:r>
        <w:rPr>
          <w:lang w:val="fr-FR"/>
        </w:rPr>
        <w:tab/>
        <w:t>b)</w:t>
      </w:r>
      <w:r>
        <w:rPr>
          <w:lang w:val="fr-FR"/>
        </w:rPr>
        <w:tab/>
        <w:t xml:space="preserve">Selon la première phrase, les cas/conditions de chargement pris en considération </w:t>
      </w:r>
      <w:proofErr w:type="gramStart"/>
      <w:r>
        <w:rPr>
          <w:lang w:val="fr-FR"/>
        </w:rPr>
        <w:t>(«</w:t>
      </w:r>
      <w:proofErr w:type="spellStart"/>
      <w:r>
        <w:rPr>
          <w:lang w:val="fr-FR"/>
        </w:rPr>
        <w:t>berücksichtigten</w:t>
      </w:r>
      <w:proofErr w:type="spellEnd"/>
      <w:proofErr w:type="gramEnd"/>
      <w:r>
        <w:rPr>
          <w:lang w:val="fr-FR"/>
        </w:rPr>
        <w:t xml:space="preserve"> </w:t>
      </w:r>
      <w:proofErr w:type="spellStart"/>
      <w:r>
        <w:rPr>
          <w:lang w:val="fr-FR"/>
        </w:rPr>
        <w:t>Ladefälle</w:t>
      </w:r>
      <w:proofErr w:type="spellEnd"/>
      <w:r>
        <w:rPr>
          <w:lang w:val="fr-FR"/>
        </w:rPr>
        <w:t>») doivent être approuvés par la société de classification, contrairement aux libellés français et anglais indiquant que la preuve de stabilité doit être démontrée à l’aide du manuel de stabilité.</w:t>
      </w:r>
    </w:p>
    <w:p w:rsidR="009B5F4A" w:rsidRPr="0057393C" w:rsidRDefault="009B5F4A" w:rsidP="009B5F4A">
      <w:pPr>
        <w:pStyle w:val="SingleTxtG"/>
        <w:rPr>
          <w:lang w:val="fr-FR"/>
        </w:rPr>
      </w:pPr>
      <w:r>
        <w:rPr>
          <w:lang w:val="fr-FR"/>
        </w:rPr>
        <w:tab/>
      </w:r>
      <w:r>
        <w:rPr>
          <w:lang w:val="fr-FR"/>
        </w:rPr>
        <w:tab/>
      </w:r>
      <w:r w:rsidRPr="0057393C">
        <w:rPr>
          <w:lang w:val="fr-FR"/>
        </w:rPr>
        <w:t>c)</w:t>
      </w:r>
      <w:r w:rsidRPr="0057393C">
        <w:rPr>
          <w:lang w:val="fr-FR"/>
        </w:rPr>
        <w:tab/>
        <w:t xml:space="preserve">Dans la </w:t>
      </w:r>
      <w:r>
        <w:rPr>
          <w:lang w:val="fr-FR"/>
        </w:rPr>
        <w:t>deuxième phrase, le terme</w:t>
      </w:r>
      <w:proofErr w:type="gramStart"/>
      <w:r w:rsidR="00481AD7">
        <w:rPr>
          <w:lang w:val="fr-FR"/>
        </w:rPr>
        <w:t xml:space="preserve"> </w:t>
      </w:r>
      <w:r>
        <w:rPr>
          <w:lang w:val="fr-FR"/>
        </w:rPr>
        <w:t>«</w:t>
      </w:r>
      <w:proofErr w:type="spellStart"/>
      <w:r>
        <w:rPr>
          <w:lang w:val="fr-FR"/>
        </w:rPr>
        <w:t>Betriebsfälle</w:t>
      </w:r>
      <w:proofErr w:type="spellEnd"/>
      <w:proofErr w:type="gramEnd"/>
      <w:r>
        <w:rPr>
          <w:lang w:val="fr-FR"/>
        </w:rPr>
        <w:t>»</w:t>
      </w:r>
      <w:r w:rsidRPr="0057393C">
        <w:rPr>
          <w:lang w:val="fr-FR"/>
        </w:rPr>
        <w:t xml:space="preserve"> </w:t>
      </w:r>
      <w:r>
        <w:rPr>
          <w:lang w:val="fr-FR"/>
        </w:rPr>
        <w:t>(cas/conditions d’exploitation) n’est pas mentionné</w:t>
      </w:r>
      <w:r w:rsidRPr="0057393C">
        <w:rPr>
          <w:lang w:val="fr-FR"/>
        </w:rPr>
        <w:t>.</w:t>
      </w:r>
    </w:p>
    <w:p w:rsidR="009B5F4A" w:rsidRPr="0057393C" w:rsidRDefault="009B5F4A" w:rsidP="009B5F4A">
      <w:pPr>
        <w:pStyle w:val="SingleTxtG"/>
        <w:rPr>
          <w:lang w:val="fr-FR"/>
        </w:rPr>
      </w:pPr>
      <w:r>
        <w:rPr>
          <w:lang w:val="fr-FR"/>
        </w:rPr>
        <w:lastRenderedPageBreak/>
        <w:tab/>
      </w:r>
      <w:r>
        <w:rPr>
          <w:lang w:val="fr-FR"/>
        </w:rPr>
        <w:tab/>
      </w:r>
      <w:r w:rsidRPr="0057393C">
        <w:rPr>
          <w:lang w:val="fr-FR"/>
        </w:rPr>
        <w:t>d)</w:t>
      </w:r>
      <w:r w:rsidRPr="0057393C">
        <w:rPr>
          <w:lang w:val="fr-FR"/>
        </w:rPr>
        <w:tab/>
      </w:r>
      <w:r>
        <w:rPr>
          <w:lang w:val="fr-FR"/>
        </w:rPr>
        <w:t xml:space="preserve">Selon la deuxième phrase, les cas/conditions de chargement </w:t>
      </w:r>
      <w:proofErr w:type="gramStart"/>
      <w:r>
        <w:rPr>
          <w:lang w:val="fr-FR"/>
        </w:rPr>
        <w:t>(«</w:t>
      </w:r>
      <w:proofErr w:type="spellStart"/>
      <w:r>
        <w:rPr>
          <w:lang w:val="fr-FR"/>
        </w:rPr>
        <w:t>Ladefälle</w:t>
      </w:r>
      <w:proofErr w:type="spellEnd"/>
      <w:proofErr w:type="gramEnd"/>
      <w:r>
        <w:rPr>
          <w:lang w:val="fr-FR"/>
        </w:rPr>
        <w:t>») et de ballastage («</w:t>
      </w:r>
      <w:proofErr w:type="spellStart"/>
      <w:r>
        <w:rPr>
          <w:lang w:val="fr-FR"/>
        </w:rPr>
        <w:t>Ballastfälle</w:t>
      </w:r>
      <w:proofErr w:type="spellEnd"/>
      <w:r>
        <w:rPr>
          <w:lang w:val="fr-FR"/>
        </w:rPr>
        <w:t>») doivent uniquement être pris en considération («</w:t>
      </w:r>
      <w:proofErr w:type="spellStart"/>
      <w:r>
        <w:rPr>
          <w:lang w:val="fr-FR"/>
        </w:rPr>
        <w:t>berücksichtigt</w:t>
      </w:r>
      <w:proofErr w:type="spellEnd"/>
      <w:r>
        <w:rPr>
          <w:lang w:val="fr-FR"/>
        </w:rPr>
        <w:t>»), alors qu'en français et en anglais, ils devraient être calculés à l'avance («</w:t>
      </w:r>
      <w:proofErr w:type="spellStart"/>
      <w:r>
        <w:rPr>
          <w:lang w:val="fr-FR"/>
        </w:rPr>
        <w:t>im</w:t>
      </w:r>
      <w:proofErr w:type="spellEnd"/>
      <w:r>
        <w:rPr>
          <w:lang w:val="fr-FR"/>
        </w:rPr>
        <w:t xml:space="preserve"> </w:t>
      </w:r>
      <w:proofErr w:type="spellStart"/>
      <w:r>
        <w:rPr>
          <w:lang w:val="fr-FR"/>
        </w:rPr>
        <w:t>Voraus</w:t>
      </w:r>
      <w:proofErr w:type="spellEnd"/>
      <w:r>
        <w:rPr>
          <w:lang w:val="fr-FR"/>
        </w:rPr>
        <w:t xml:space="preserve"> </w:t>
      </w:r>
      <w:proofErr w:type="spellStart"/>
      <w:r>
        <w:rPr>
          <w:lang w:val="fr-FR"/>
        </w:rPr>
        <w:t>zu</w:t>
      </w:r>
      <w:proofErr w:type="spellEnd"/>
      <w:r>
        <w:rPr>
          <w:lang w:val="fr-FR"/>
        </w:rPr>
        <w:t xml:space="preserve"> </w:t>
      </w:r>
      <w:proofErr w:type="spellStart"/>
      <w:r>
        <w:rPr>
          <w:lang w:val="fr-FR"/>
        </w:rPr>
        <w:t>berechnen</w:t>
      </w:r>
      <w:proofErr w:type="spellEnd"/>
      <w:r>
        <w:rPr>
          <w:lang w:val="fr-FR"/>
        </w:rPr>
        <w:t>»).</w:t>
      </w:r>
    </w:p>
    <w:p w:rsidR="009B5F4A" w:rsidRPr="00AE4CE8" w:rsidRDefault="00A20744" w:rsidP="009B5F4A">
      <w:pPr>
        <w:pStyle w:val="SingleTxtG"/>
        <w:rPr>
          <w:rFonts w:ascii="Arial" w:hAnsi="Arial"/>
          <w:sz w:val="18"/>
          <w:szCs w:val="18"/>
          <w:lang w:val="fr-FR"/>
        </w:rPr>
      </w:pPr>
      <w:r>
        <w:rPr>
          <w:lang w:val="fr-FR"/>
        </w:rPr>
        <w:t>7</w:t>
      </w:r>
      <w:r w:rsidR="009B5F4A">
        <w:rPr>
          <w:lang w:val="fr-FR"/>
        </w:rPr>
        <w:t>.</w:t>
      </w:r>
      <w:r w:rsidR="009B5F4A">
        <w:rPr>
          <w:lang w:val="fr-FR"/>
        </w:rPr>
        <w:tab/>
        <w:t>Du point de vue de l'Allemagne, il ne s'agit pas simplement de différences rédactionnelles ou linguistiques, mais de divergences de fond.</w:t>
      </w:r>
    </w:p>
    <w:p w:rsidR="009B5F4A" w:rsidRPr="0051292C" w:rsidRDefault="009B5F4A" w:rsidP="009B5F4A">
      <w:pPr>
        <w:pStyle w:val="HChG"/>
        <w:rPr>
          <w:lang w:val="fr-FR"/>
        </w:rPr>
      </w:pPr>
      <w:r>
        <w:rPr>
          <w:lang w:val="fr-FR"/>
        </w:rPr>
        <w:tab/>
        <w:t>III.</w:t>
      </w:r>
      <w:r w:rsidRPr="0051292C">
        <w:rPr>
          <w:lang w:val="fr-FR"/>
        </w:rPr>
        <w:tab/>
      </w:r>
      <w:r>
        <w:rPr>
          <w:lang w:val="fr-FR"/>
        </w:rPr>
        <w:t>Demande</w:t>
      </w:r>
    </w:p>
    <w:p w:rsidR="009B5F4A" w:rsidRPr="0057393C" w:rsidRDefault="00A20744" w:rsidP="009B5F4A">
      <w:pPr>
        <w:pStyle w:val="SingleTxtG"/>
        <w:rPr>
          <w:lang w:val="fr-FR"/>
        </w:rPr>
      </w:pPr>
      <w:r>
        <w:rPr>
          <w:lang w:val="fr-FR"/>
        </w:rPr>
        <w:t>8</w:t>
      </w:r>
      <w:r w:rsidR="009B5F4A">
        <w:rPr>
          <w:lang w:val="fr-FR"/>
        </w:rPr>
        <w:t>.</w:t>
      </w:r>
      <w:r w:rsidR="009B5F4A">
        <w:rPr>
          <w:lang w:val="fr-FR"/>
        </w:rPr>
        <w:tab/>
        <w:t>L'Allemagne invite le Comité de sécurité à se pencher sur ce problème et à harmoniser les versions linguistiques des paragraphes 9.3.1.13.3, 9.3.2.13.13 et 9.3.3.13.3 de l'ADN en tant que correction rétroactive (devant faire l'objet d'une notification) ou en tant que modification avec effet à compter du 1er janvier 2021.</w:t>
      </w:r>
    </w:p>
    <w:p w:rsidR="009B5F4A" w:rsidRPr="009B5F4A" w:rsidRDefault="009B5F4A" w:rsidP="009B5F4A">
      <w:pPr>
        <w:spacing w:before="240"/>
        <w:jc w:val="center"/>
        <w:rPr>
          <w:u w:val="single"/>
        </w:rPr>
      </w:pPr>
      <w:r>
        <w:rPr>
          <w:u w:val="single"/>
        </w:rPr>
        <w:tab/>
      </w:r>
      <w:r>
        <w:rPr>
          <w:u w:val="single"/>
        </w:rPr>
        <w:tab/>
      </w:r>
      <w:r>
        <w:rPr>
          <w:u w:val="single"/>
        </w:rPr>
        <w:tab/>
      </w:r>
    </w:p>
    <w:sectPr w:rsidR="009B5F4A" w:rsidRPr="009B5F4A" w:rsidSect="00566E1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10" w:rsidRDefault="00566E10" w:rsidP="00F95C08">
      <w:pPr>
        <w:spacing w:line="240" w:lineRule="auto"/>
      </w:pPr>
    </w:p>
  </w:endnote>
  <w:endnote w:type="continuationSeparator" w:id="0">
    <w:p w:rsidR="00566E10" w:rsidRPr="00AC3823" w:rsidRDefault="00566E10" w:rsidP="00AC3823">
      <w:pPr>
        <w:pStyle w:val="Footer"/>
      </w:pPr>
    </w:p>
  </w:endnote>
  <w:endnote w:type="continuationNotice" w:id="1">
    <w:p w:rsidR="00566E10" w:rsidRDefault="00566E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10" w:rsidRPr="00566E10" w:rsidRDefault="00566E10" w:rsidP="00566E10">
    <w:pPr>
      <w:pStyle w:val="Footer"/>
      <w:tabs>
        <w:tab w:val="right" w:pos="9638"/>
      </w:tabs>
      <w:rPr>
        <w:sz w:val="18"/>
      </w:rPr>
    </w:pPr>
    <w:r w:rsidRPr="00566E10">
      <w:rPr>
        <w:b/>
        <w:sz w:val="18"/>
      </w:rPr>
      <w:fldChar w:fldCharType="begin"/>
    </w:r>
    <w:r w:rsidRPr="00566E10">
      <w:rPr>
        <w:b/>
        <w:sz w:val="18"/>
      </w:rPr>
      <w:instrText xml:space="preserve"> PAGE  \* MERGEFORMAT </w:instrText>
    </w:r>
    <w:r w:rsidRPr="00566E10">
      <w:rPr>
        <w:b/>
        <w:sz w:val="18"/>
      </w:rPr>
      <w:fldChar w:fldCharType="separate"/>
    </w:r>
    <w:r w:rsidRPr="00566E10">
      <w:rPr>
        <w:b/>
        <w:noProof/>
        <w:sz w:val="18"/>
      </w:rPr>
      <w:t>2</w:t>
    </w:r>
    <w:r w:rsidRPr="00566E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10" w:rsidRPr="00566E10" w:rsidRDefault="00566E10" w:rsidP="00566E10">
    <w:pPr>
      <w:pStyle w:val="Footer"/>
      <w:tabs>
        <w:tab w:val="right" w:pos="9638"/>
      </w:tabs>
      <w:rPr>
        <w:b/>
        <w:sz w:val="18"/>
      </w:rPr>
    </w:pPr>
    <w:r>
      <w:tab/>
    </w:r>
    <w:r w:rsidRPr="00566E10">
      <w:rPr>
        <w:b/>
        <w:sz w:val="18"/>
      </w:rPr>
      <w:fldChar w:fldCharType="begin"/>
    </w:r>
    <w:r w:rsidRPr="00566E10">
      <w:rPr>
        <w:b/>
        <w:sz w:val="18"/>
      </w:rPr>
      <w:instrText xml:space="preserve"> PAGE  \* MERGEFORMAT </w:instrText>
    </w:r>
    <w:r w:rsidRPr="00566E10">
      <w:rPr>
        <w:b/>
        <w:sz w:val="18"/>
      </w:rPr>
      <w:fldChar w:fldCharType="separate"/>
    </w:r>
    <w:r w:rsidRPr="00566E10">
      <w:rPr>
        <w:b/>
        <w:noProof/>
        <w:sz w:val="18"/>
      </w:rPr>
      <w:t>3</w:t>
    </w:r>
    <w:r w:rsidRPr="00566E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566E10"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10" w:rsidRPr="00AC3823" w:rsidRDefault="00566E10" w:rsidP="00AC3823">
      <w:pPr>
        <w:pStyle w:val="Footer"/>
        <w:tabs>
          <w:tab w:val="right" w:pos="2155"/>
        </w:tabs>
        <w:spacing w:after="80" w:line="240" w:lineRule="atLeast"/>
        <w:ind w:left="680"/>
        <w:rPr>
          <w:u w:val="single"/>
        </w:rPr>
      </w:pPr>
      <w:r>
        <w:rPr>
          <w:u w:val="single"/>
        </w:rPr>
        <w:tab/>
      </w:r>
    </w:p>
  </w:footnote>
  <w:footnote w:type="continuationSeparator" w:id="0">
    <w:p w:rsidR="00566E10" w:rsidRPr="00AC3823" w:rsidRDefault="00566E10" w:rsidP="00AC3823">
      <w:pPr>
        <w:pStyle w:val="Footer"/>
        <w:tabs>
          <w:tab w:val="right" w:pos="2155"/>
        </w:tabs>
        <w:spacing w:after="80" w:line="240" w:lineRule="atLeast"/>
        <w:ind w:left="680"/>
        <w:rPr>
          <w:u w:val="single"/>
        </w:rPr>
      </w:pPr>
      <w:r>
        <w:rPr>
          <w:u w:val="single"/>
        </w:rPr>
        <w:tab/>
      </w:r>
    </w:p>
  </w:footnote>
  <w:footnote w:type="continuationNotice" w:id="1">
    <w:p w:rsidR="00566E10" w:rsidRPr="00AC3823" w:rsidRDefault="00566E10">
      <w:pPr>
        <w:spacing w:line="240" w:lineRule="auto"/>
        <w:rPr>
          <w:sz w:val="2"/>
          <w:szCs w:val="2"/>
        </w:rPr>
      </w:pPr>
    </w:p>
  </w:footnote>
  <w:footnote w:id="2">
    <w:p w:rsidR="007F37E9" w:rsidRPr="00BD650C" w:rsidRDefault="007F37E9" w:rsidP="007F37E9">
      <w:pPr>
        <w:pStyle w:val="FootnoteText"/>
      </w:pPr>
      <w:r>
        <w:rPr>
          <w:rStyle w:val="FootnoteReference"/>
        </w:rPr>
        <w:tab/>
      </w:r>
      <w:r w:rsidRPr="00C60354">
        <w:rPr>
          <w:rStyle w:val="FootnoteReference"/>
          <w:sz w:val="20"/>
        </w:rPr>
        <w:t>*</w:t>
      </w:r>
      <w:r>
        <w:rPr>
          <w:rStyle w:val="FootnoteReference"/>
          <w:sz w:val="20"/>
          <w:vertAlign w:val="baseline"/>
        </w:rPr>
        <w:tab/>
      </w:r>
      <w:r w:rsidRPr="00904815">
        <w:rPr>
          <w:lang w:val="fr-FR"/>
        </w:rPr>
        <w:t>Diffusé en langue allemande par la Commission centrale pour la navigation du Rhin sous la cote CCNR/ZKR/ADN/WP.15/AC.2/2020/</w:t>
      </w:r>
      <w:r>
        <w:rPr>
          <w:lang w:val="fr-FR"/>
        </w:rPr>
        <w:t>15</w:t>
      </w:r>
      <w:r w:rsidRPr="00904815">
        <w:rPr>
          <w:lang w:val="fr-FR"/>
        </w:rPr>
        <w:t>.</w:t>
      </w:r>
    </w:p>
  </w:footnote>
  <w:footnote w:id="3">
    <w:p w:rsidR="007F37E9" w:rsidRPr="00C60354" w:rsidRDefault="007F37E9" w:rsidP="007F37E9">
      <w:pPr>
        <w:pStyle w:val="FootnoteText"/>
      </w:pPr>
      <w:r w:rsidRPr="00C60354">
        <w:rPr>
          <w:rStyle w:val="FootnoteReference"/>
        </w:rPr>
        <w:tab/>
      </w:r>
      <w:r w:rsidRPr="00C60354">
        <w:rPr>
          <w:rStyle w:val="FootnoteReference"/>
          <w:sz w:val="20"/>
        </w:rPr>
        <w:t>**</w:t>
      </w:r>
      <w:r>
        <w:rPr>
          <w:rStyle w:val="FootnoteReference"/>
          <w:sz w:val="20"/>
          <w:vertAlign w:val="baseline"/>
        </w:rPr>
        <w:tab/>
      </w:r>
      <w:r w:rsidRPr="00904815">
        <w:rPr>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10" w:rsidRPr="00566E10" w:rsidRDefault="00AE3924">
    <w:pPr>
      <w:pStyle w:val="Header"/>
    </w:pPr>
    <w:fldSimple w:instr=" TITLE  \* MERGEFORMAT ">
      <w:r w:rsidR="00B60B7C">
        <w:t>ECE/TRANS/WP.15/AC.2/2020/15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10" w:rsidRPr="00566E10" w:rsidRDefault="00AE3924" w:rsidP="00566E10">
    <w:pPr>
      <w:pStyle w:val="Header"/>
      <w:jc w:val="right"/>
    </w:pPr>
    <w:fldSimple w:instr=" TITLE  \* MERGEFORMAT ">
      <w:r w:rsidR="00B60B7C">
        <w:t>ECE/TRANS/WP.15/AC.2/2020/15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566E10"/>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A0EBA"/>
    <w:rsid w:val="002D7C93"/>
    <w:rsid w:val="0037241C"/>
    <w:rsid w:val="003819FF"/>
    <w:rsid w:val="00441C3B"/>
    <w:rsid w:val="00446B0A"/>
    <w:rsid w:val="00446FE5"/>
    <w:rsid w:val="00452396"/>
    <w:rsid w:val="004639E9"/>
    <w:rsid w:val="00471288"/>
    <w:rsid w:val="00481AD7"/>
    <w:rsid w:val="0049687C"/>
    <w:rsid w:val="004E468C"/>
    <w:rsid w:val="005316B0"/>
    <w:rsid w:val="005505B7"/>
    <w:rsid w:val="00566E10"/>
    <w:rsid w:val="00573BE5"/>
    <w:rsid w:val="005808D1"/>
    <w:rsid w:val="00586ED3"/>
    <w:rsid w:val="00596AA9"/>
    <w:rsid w:val="005B4D0F"/>
    <w:rsid w:val="005F4B2B"/>
    <w:rsid w:val="00703D0F"/>
    <w:rsid w:val="00706363"/>
    <w:rsid w:val="00710DDF"/>
    <w:rsid w:val="007158BB"/>
    <w:rsid w:val="0071601D"/>
    <w:rsid w:val="0075410D"/>
    <w:rsid w:val="007A62E6"/>
    <w:rsid w:val="007F37E9"/>
    <w:rsid w:val="0080684C"/>
    <w:rsid w:val="008204DA"/>
    <w:rsid w:val="008535AD"/>
    <w:rsid w:val="00871C75"/>
    <w:rsid w:val="008767E8"/>
    <w:rsid w:val="008776DC"/>
    <w:rsid w:val="00883605"/>
    <w:rsid w:val="008E6043"/>
    <w:rsid w:val="00961E7B"/>
    <w:rsid w:val="009705C8"/>
    <w:rsid w:val="009B5F4A"/>
    <w:rsid w:val="009C1CF4"/>
    <w:rsid w:val="009F02C9"/>
    <w:rsid w:val="00A20744"/>
    <w:rsid w:val="00A30353"/>
    <w:rsid w:val="00A62D91"/>
    <w:rsid w:val="00A90D54"/>
    <w:rsid w:val="00AA113A"/>
    <w:rsid w:val="00AC3823"/>
    <w:rsid w:val="00AE323C"/>
    <w:rsid w:val="00AE3924"/>
    <w:rsid w:val="00AF774C"/>
    <w:rsid w:val="00B00181"/>
    <w:rsid w:val="00B00B0D"/>
    <w:rsid w:val="00B40927"/>
    <w:rsid w:val="00B50E25"/>
    <w:rsid w:val="00B60B7C"/>
    <w:rsid w:val="00B64918"/>
    <w:rsid w:val="00B765F7"/>
    <w:rsid w:val="00BA0CA9"/>
    <w:rsid w:val="00C02897"/>
    <w:rsid w:val="00C1626B"/>
    <w:rsid w:val="00C66A47"/>
    <w:rsid w:val="00C7616F"/>
    <w:rsid w:val="00CB16B5"/>
    <w:rsid w:val="00CE0608"/>
    <w:rsid w:val="00D3439C"/>
    <w:rsid w:val="00D44CF3"/>
    <w:rsid w:val="00D46C8C"/>
    <w:rsid w:val="00D955A0"/>
    <w:rsid w:val="00DB1831"/>
    <w:rsid w:val="00DD3BFD"/>
    <w:rsid w:val="00DE239D"/>
    <w:rsid w:val="00DF431C"/>
    <w:rsid w:val="00DF6678"/>
    <w:rsid w:val="00E3176A"/>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34903"/>
  <w15:docId w15:val="{122149B0-BD4F-47D5-8B22-A2D4858C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78</TotalTime>
  <Pages>3</Pages>
  <Words>833</Words>
  <Characters>5125</Characters>
  <Application>Microsoft Office Word</Application>
  <DocSecurity>0</DocSecurity>
  <Lines>138</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ECE/TRANS/WP.15/AC.2/2020/15</vt:lpstr>
      <vt:lpstr>ECE/EX/22</vt:lpstr>
    </vt:vector>
  </TitlesOfParts>
  <Company>DCM</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ECE/TRANS/WP.15/AC.2/2020/15</dc:title>
  <dc:subject>FINAL</dc:subject>
  <dc:creator>Marie-Claude Collet</dc:creator>
  <cp:keywords/>
  <dc:description/>
  <cp:lastModifiedBy>Marie-Claude Collet</cp:lastModifiedBy>
  <cp:revision>12</cp:revision>
  <cp:lastPrinted>2019-11-12T06:54:00Z</cp:lastPrinted>
  <dcterms:created xsi:type="dcterms:W3CDTF">2019-11-05T17:07:00Z</dcterms:created>
  <dcterms:modified xsi:type="dcterms:W3CDTF">2019-11-12T06:54:00Z</dcterms:modified>
</cp:coreProperties>
</file>