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33B33A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81A7D53" w14:textId="77777777" w:rsidR="002D5AAC" w:rsidRDefault="002D5AAC" w:rsidP="002E75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B46A04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F7EEC48" w14:textId="77777777" w:rsidR="002D5AAC" w:rsidRDefault="002E753E" w:rsidP="002E753E">
            <w:pPr>
              <w:jc w:val="right"/>
            </w:pPr>
            <w:r w:rsidRPr="002E753E">
              <w:rPr>
                <w:sz w:val="40"/>
              </w:rPr>
              <w:t>ECE</w:t>
            </w:r>
            <w:r>
              <w:t>/TRANS/WP.15/AC.1/2020/9</w:t>
            </w:r>
          </w:p>
        </w:tc>
      </w:tr>
      <w:tr w:rsidR="002D5AAC" w:rsidRPr="004E573F" w14:paraId="02AEDBD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38D7D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1F76AE4" wp14:editId="0BCC59F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BE4FD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C08DB8C" w14:textId="77777777" w:rsidR="002D5AAC" w:rsidRDefault="002E753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ADB3C70" w14:textId="77777777" w:rsidR="002E753E" w:rsidRDefault="002E753E" w:rsidP="002E75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2019</w:t>
            </w:r>
          </w:p>
          <w:p w14:paraId="57AA5F77" w14:textId="77777777" w:rsidR="002E753E" w:rsidRDefault="002E753E" w:rsidP="002E75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E1D3CB6" w14:textId="77777777" w:rsidR="002E753E" w:rsidRPr="008D53B6" w:rsidRDefault="002E753E" w:rsidP="002E75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934E37C" w14:textId="77777777" w:rsidR="002E753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D07C2BF" w14:textId="77777777" w:rsidR="002E753E" w:rsidRPr="002B055B" w:rsidRDefault="002E753E" w:rsidP="002E753E">
      <w:pPr>
        <w:spacing w:before="120"/>
        <w:rPr>
          <w:sz w:val="28"/>
          <w:szCs w:val="28"/>
        </w:rPr>
      </w:pPr>
      <w:r w:rsidRPr="002B055B">
        <w:rPr>
          <w:sz w:val="28"/>
          <w:szCs w:val="28"/>
        </w:rPr>
        <w:t>Комитет по внутреннему транспорту</w:t>
      </w:r>
    </w:p>
    <w:p w14:paraId="3DC6FAC9" w14:textId="77777777" w:rsidR="002E753E" w:rsidRPr="002B055B" w:rsidRDefault="002E753E" w:rsidP="002E753E">
      <w:pPr>
        <w:spacing w:before="120" w:after="120"/>
        <w:rPr>
          <w:b/>
          <w:sz w:val="24"/>
          <w:szCs w:val="24"/>
        </w:rPr>
      </w:pPr>
      <w:r w:rsidRPr="002B055B">
        <w:rPr>
          <w:b/>
          <w:bCs/>
          <w:sz w:val="24"/>
          <w:szCs w:val="24"/>
        </w:rPr>
        <w:t>Рабочая группа по перевозкам опасных грузов</w:t>
      </w:r>
    </w:p>
    <w:p w14:paraId="158FC0AC" w14:textId="77777777" w:rsidR="002E753E" w:rsidRPr="00FD7A98" w:rsidRDefault="002E753E" w:rsidP="002E753E">
      <w:pPr>
        <w:rPr>
          <w:b/>
          <w:bCs/>
        </w:rPr>
      </w:pPr>
      <w:r w:rsidRPr="00FD7A98">
        <w:rPr>
          <w:b/>
          <w:bCs/>
        </w:rPr>
        <w:t xml:space="preserve">Совместное совещание Комиссии экспертов МПОГ </w:t>
      </w:r>
      <w:r w:rsidR="002B055B">
        <w:rPr>
          <w:b/>
          <w:bCs/>
        </w:rPr>
        <w:br/>
      </w:r>
      <w:r w:rsidRPr="00FD7A98">
        <w:rPr>
          <w:b/>
          <w:bCs/>
        </w:rPr>
        <w:t>и Рабочей группы по перевозкам опасных грузов</w:t>
      </w:r>
    </w:p>
    <w:p w14:paraId="46DF3D2F" w14:textId="77777777" w:rsidR="002E753E" w:rsidRPr="00FD7A98" w:rsidRDefault="002E753E" w:rsidP="002E753E">
      <w:r w:rsidRPr="00FD7A98">
        <w:t>Берн, 16</w:t>
      </w:r>
      <w:r w:rsidR="002B055B" w:rsidRPr="00205F04">
        <w:t>–</w:t>
      </w:r>
      <w:r w:rsidRPr="00FD7A98">
        <w:t>20 марта 2020 года</w:t>
      </w:r>
    </w:p>
    <w:p w14:paraId="7D3AFE79" w14:textId="77777777" w:rsidR="002E753E" w:rsidRPr="00FD7A98" w:rsidRDefault="002E753E" w:rsidP="002E753E">
      <w:r w:rsidRPr="00FD7A98">
        <w:t>Пункт 7 предварительной повестки дня</w:t>
      </w:r>
    </w:p>
    <w:p w14:paraId="5B417652" w14:textId="77777777" w:rsidR="002E753E" w:rsidRPr="00FD7A98" w:rsidRDefault="002E753E" w:rsidP="002E753E">
      <w:pPr>
        <w:rPr>
          <w:b/>
          <w:bCs/>
        </w:rPr>
      </w:pPr>
      <w:r w:rsidRPr="00FD7A98">
        <w:rPr>
          <w:b/>
          <w:bCs/>
        </w:rPr>
        <w:t>Аварии и управление рисками</w:t>
      </w:r>
    </w:p>
    <w:p w14:paraId="7965061F" w14:textId="77777777" w:rsidR="002E753E" w:rsidRPr="00FD7A98" w:rsidRDefault="002E753E" w:rsidP="00C97ACF">
      <w:pPr>
        <w:pStyle w:val="HChG"/>
        <w:spacing w:before="240"/>
      </w:pPr>
      <w:r w:rsidRPr="00FD7A98">
        <w:tab/>
      </w:r>
      <w:r w:rsidRPr="00FD7A98">
        <w:tab/>
      </w:r>
      <w:r w:rsidRPr="002B055B">
        <w:rPr>
          <w:lang w:eastAsia="en-GB"/>
        </w:rPr>
        <w:t>Периодичность проведения проверок транспортных средств-батарей, наполняемых в соответствии с</w:t>
      </w:r>
      <w:r w:rsidR="002B055B">
        <w:rPr>
          <w:lang w:val="en-GB" w:eastAsia="en-GB"/>
        </w:rPr>
        <w:t> </w:t>
      </w:r>
      <w:r w:rsidRPr="002B055B">
        <w:rPr>
          <w:lang w:eastAsia="en-GB"/>
        </w:rPr>
        <w:t xml:space="preserve">инструкцией по упаковке </w:t>
      </w:r>
      <w:r w:rsidRPr="002B055B">
        <w:rPr>
          <w:lang w:val="en-GB" w:eastAsia="en-GB"/>
        </w:rPr>
        <w:t>P</w:t>
      </w:r>
      <w:r w:rsidRPr="002B055B">
        <w:rPr>
          <w:lang w:eastAsia="en-GB"/>
        </w:rPr>
        <w:t>200</w:t>
      </w:r>
    </w:p>
    <w:p w14:paraId="33A8C767" w14:textId="77777777" w:rsidR="002E753E" w:rsidRPr="00FD7A98" w:rsidRDefault="002E753E" w:rsidP="00C97ACF">
      <w:pPr>
        <w:pStyle w:val="H1G"/>
        <w:spacing w:before="240"/>
        <w:rPr>
          <w:szCs w:val="24"/>
        </w:rPr>
      </w:pPr>
      <w:r w:rsidRPr="00FD7A98">
        <w:tab/>
      </w:r>
      <w:r w:rsidRPr="00FD7A98">
        <w:tab/>
        <w:t>Передано Европейской ассоциацией по промышленным газам (ЕАПГ)</w:t>
      </w:r>
      <w:r w:rsidRPr="002B055B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="002B055B" w:rsidRPr="002B055B">
        <w:rPr>
          <w:sz w:val="20"/>
        </w:rPr>
        <w:t xml:space="preserve"> </w:t>
      </w:r>
      <w:r w:rsidRPr="002B055B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6CF682DF" w14:textId="77777777" w:rsidR="002E753E" w:rsidRPr="00FD7A98" w:rsidRDefault="002E753E" w:rsidP="00C97ACF">
      <w:pPr>
        <w:pStyle w:val="HChG"/>
        <w:spacing w:before="240"/>
      </w:pPr>
      <w:r w:rsidRPr="00FD7A98">
        <w:tab/>
      </w:r>
      <w:r w:rsidRPr="00FD7A98">
        <w:tab/>
      </w:r>
      <w:r w:rsidRPr="00FD7A98">
        <w:tab/>
      </w:r>
      <w:r w:rsidRPr="002B055B">
        <w:t>Введение</w:t>
      </w:r>
    </w:p>
    <w:p w14:paraId="480797A7" w14:textId="77777777" w:rsidR="002E753E" w:rsidRPr="00FD7A98" w:rsidRDefault="002E753E" w:rsidP="002E753E">
      <w:pPr>
        <w:pStyle w:val="SingleTxtG"/>
      </w:pPr>
      <w:r w:rsidRPr="00FD7A98">
        <w:t>1.</w:t>
      </w:r>
      <w:r w:rsidRPr="00FD7A98">
        <w:tab/>
        <w:t xml:space="preserve">В издание МПОГ/ДОПОГ 2015 года были внесены поправки, позволяющие в отношении некоторых сосудов для газов, перевозимых в соответствии с инструкциями по упаковке Р200, увеличить периодичность проводимых проверок с 10 до 15 лет. Они были рассчитаны на отдельные баллоны, а также на связки баллонов. </w:t>
      </w:r>
    </w:p>
    <w:p w14:paraId="6651B835" w14:textId="77777777" w:rsidR="002E753E" w:rsidRPr="00FD7A98" w:rsidRDefault="002E753E" w:rsidP="002E753E">
      <w:pPr>
        <w:pStyle w:val="SingleTxtG"/>
      </w:pPr>
      <w:r w:rsidRPr="00FD7A98">
        <w:t>2.</w:t>
      </w:r>
      <w:r w:rsidRPr="00FD7A98">
        <w:tab/>
        <w:t>Для выработки окончательного предложения неофициальная межсессионная рабочая группа Совместного совещания проделала большую работу (см.</w:t>
      </w:r>
      <w:r w:rsidR="003C3B3A">
        <w:t> </w:t>
      </w:r>
      <w:r w:rsidRPr="00FD7A98">
        <w:t>ECE/TRANS/</w:t>
      </w:r>
      <w:r w:rsidR="00AA536F">
        <w:t xml:space="preserve"> </w:t>
      </w:r>
      <w:r w:rsidRPr="00FD7A98">
        <w:t xml:space="preserve">WP.15/AC.1/2013/42 и вспомогательные неофициальные документы). </w:t>
      </w:r>
      <w:bookmarkStart w:id="1" w:name="_Hlk24728478"/>
      <w:bookmarkEnd w:id="1"/>
    </w:p>
    <w:p w14:paraId="6814C196" w14:textId="77777777" w:rsidR="002E753E" w:rsidRPr="00FD7A98" w:rsidRDefault="002E753E" w:rsidP="002E753E">
      <w:pPr>
        <w:pStyle w:val="SingleTxtG"/>
      </w:pPr>
      <w:r w:rsidRPr="00FD7A98">
        <w:t>3.</w:t>
      </w:r>
      <w:r w:rsidRPr="00FD7A98">
        <w:tab/>
        <w:t>В момент внесения предложения в документе ECE/TRANS/WP.15/AC.1/2013/42 было решено не распространять эту работу на элементы транспортных средств-батарей до тех пор, пока не будет накоплен опыт работы с одиночными баллонами и связками баллонов.</w:t>
      </w:r>
    </w:p>
    <w:p w14:paraId="7F538CC0" w14:textId="77777777" w:rsidR="002E753E" w:rsidRPr="00FD7A98" w:rsidRDefault="002E753E" w:rsidP="002E753E">
      <w:pPr>
        <w:pStyle w:val="SingleTxtG"/>
      </w:pPr>
      <w:r w:rsidRPr="00FD7A98">
        <w:t>4.</w:t>
      </w:r>
      <w:r w:rsidRPr="00FD7A98">
        <w:tab/>
        <w:t xml:space="preserve">После вступления в силу издания МПОГ/ДОПОГ 2015 года во многих странах периодичность проведения проверок как для отдельных баллонов, так и для связок баллонов была увеличена. В адрес ЕАПГ сообщения о том, что какие-либо баллоны или связки баллонов были отклонены после перехода на интервал между проверками продолжительностью 15 лет, не поступали. </w:t>
      </w:r>
    </w:p>
    <w:p w14:paraId="434BAC38" w14:textId="11BB7C16" w:rsidR="002E753E" w:rsidRPr="00FD7A98" w:rsidRDefault="002E753E" w:rsidP="002E753E">
      <w:pPr>
        <w:pStyle w:val="SingleTxtG"/>
      </w:pPr>
      <w:r w:rsidRPr="00FD7A98">
        <w:t>5.</w:t>
      </w:r>
      <w:r w:rsidRPr="00FD7A98">
        <w:tab/>
        <w:t xml:space="preserve">На основе таких положительных отзывов ЕАПГ предлагает распространить интервал периодических проверок продолжительностью 15 лет на транспортные </w:t>
      </w:r>
      <w:r w:rsidRPr="00FD7A98">
        <w:lastRenderedPageBreak/>
        <w:t>средства-батареи, сконструированные с использованием бесшовных стальных баллонов или бесшовных стальных трубок, в которых перевозится № ООН 1046 ГЕЛИЙ СЖАТЫЙ или № ООН 1049 ВОДОРОД СЖАТЫЙ.</w:t>
      </w:r>
    </w:p>
    <w:p w14:paraId="491AAD98" w14:textId="77777777" w:rsidR="002E753E" w:rsidRPr="00FD7A98" w:rsidRDefault="002E753E" w:rsidP="00C97ACF">
      <w:pPr>
        <w:pStyle w:val="HChG"/>
        <w:spacing w:before="240"/>
        <w:rPr>
          <w:rFonts w:eastAsia="MS Mincho"/>
          <w:b w:val="0"/>
          <w:sz w:val="20"/>
        </w:rPr>
      </w:pPr>
      <w:r w:rsidRPr="00FD7A98">
        <w:tab/>
      </w:r>
      <w:r w:rsidRPr="00FD7A98">
        <w:tab/>
      </w:r>
      <w:r w:rsidRPr="00FD7A98">
        <w:rPr>
          <w:bCs/>
        </w:rPr>
        <w:t>Обзор транспортных средств-батарей</w:t>
      </w:r>
    </w:p>
    <w:p w14:paraId="1F82847A" w14:textId="77777777" w:rsidR="002E753E" w:rsidRPr="00FD7A98" w:rsidRDefault="002E753E" w:rsidP="002E753E">
      <w:pPr>
        <w:pStyle w:val="SingleTxtG"/>
      </w:pPr>
      <w:r w:rsidRPr="00FD7A98">
        <w:t>6.</w:t>
      </w:r>
      <w:r w:rsidRPr="00FD7A98">
        <w:tab/>
        <w:t>Транспортное средство-батарея определяется следующим образом:</w:t>
      </w:r>
    </w:p>
    <w:p w14:paraId="6D20F124" w14:textId="77777777" w:rsidR="002E753E" w:rsidRPr="00FD7A98" w:rsidRDefault="002B055B" w:rsidP="002E753E">
      <w:pPr>
        <w:tabs>
          <w:tab w:val="left" w:pos="-720"/>
          <w:tab w:val="left" w:pos="-324"/>
          <w:tab w:val="left" w:pos="1985"/>
          <w:tab w:val="left" w:pos="2552"/>
          <w:tab w:val="left" w:pos="311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200"/>
        <w:ind w:left="1701" w:right="1134"/>
        <w:jc w:val="both"/>
      </w:pPr>
      <w:r w:rsidRPr="002B055B">
        <w:t>«</w:t>
      </w:r>
      <w:r w:rsidR="002E753E" w:rsidRPr="00FD7A98">
        <w:rPr>
          <w:i/>
        </w:rPr>
        <w:t>Транспортное средство-батарея</w:t>
      </w:r>
      <w:r>
        <w:t>»</w:t>
      </w:r>
      <w:r w:rsidR="002E753E" w:rsidRPr="00FD7A98">
        <w:t xml:space="preserve"> означает транспортное средство с комплектом элементов, соединенных между собой коллектором и стационарно установленных на данном транспортном средстве. Элементами транспортного средства-батареи считаются: баллоны, цилиндры, связки баллонов (также называемые клетями), барабаны под давлением, а также цистерны, предназначенные для перевозки газов, как они определены в пункте 2.2.2.1.1, вместимостью более 450 литров.</w:t>
      </w:r>
    </w:p>
    <w:p w14:paraId="23CFF475" w14:textId="77777777" w:rsidR="002E753E" w:rsidRPr="00FD7A98" w:rsidRDefault="002E753E" w:rsidP="002E753E">
      <w:pPr>
        <w:pStyle w:val="SingleTxtG"/>
      </w:pPr>
      <w:r w:rsidRPr="00FD7A98">
        <w:t>7.</w:t>
      </w:r>
      <w:r w:rsidRPr="00FD7A98">
        <w:tab/>
        <w:t>Транспортные средства-батареи хорошо зарекомендовали себя при перевозке больших объемов некоторых сжатых газов, которые, как правило, не так удобны для перевозки в виде охлажденного сжиженного газа. Обычно в транспортных средствах-батареях перевозятся газы № ООН 1046 ГЕЛИЙ СЖАТЫЙ или № ООН 1049 ВОДОРОД СЖАТЫЙ. Основная причина, по которой № ООН 1046 и № ООН 1049 перевозят в качестве сжатого газа, заключается в том, что их температура сжижения очень близка к абсолютному нулю и поэтому для работы с этими очень низкими температурами требуется специальное оборудование.</w:t>
      </w:r>
    </w:p>
    <w:p w14:paraId="7BE1E213" w14:textId="77777777" w:rsidR="002E753E" w:rsidRPr="00FD7A98" w:rsidRDefault="002E753E" w:rsidP="002E753E">
      <w:pPr>
        <w:pStyle w:val="SingleTxtG"/>
      </w:pPr>
      <w:r w:rsidRPr="00FD7A98">
        <w:t>8.</w:t>
      </w:r>
      <w:r w:rsidRPr="00FD7A98">
        <w:tab/>
        <w:t>Примеры транспортных средств-батарей приведены в добавлении 1. Транспортные средства-батареи, как правило, могут содержать 400 баллонов или 10</w:t>
      </w:r>
      <w:r w:rsidR="002B055B">
        <w:t> </w:t>
      </w:r>
      <w:r w:rsidRPr="00FD7A98">
        <w:t xml:space="preserve">трубок. Способ конструкции заключается в том, что элементы, баллоны или трубки, крепятся к шасси прицепа и соединяются коллектором. В зависимости от конфигурации на каждом элементе могут быть отдельные клапаны или же клапаны, изолирующие совокупность баллонов или трубок. </w:t>
      </w:r>
    </w:p>
    <w:p w14:paraId="23AAEE3D" w14:textId="77777777" w:rsidR="002E753E" w:rsidRPr="00FD7A98" w:rsidRDefault="002E753E" w:rsidP="002E753E">
      <w:pPr>
        <w:pStyle w:val="SingleTxtG"/>
      </w:pPr>
      <w:r w:rsidRPr="00FD7A98">
        <w:t>9.</w:t>
      </w:r>
      <w:r w:rsidRPr="00FD7A98">
        <w:tab/>
      </w:r>
      <w:r>
        <w:t>Т</w:t>
      </w:r>
      <w:r w:rsidRPr="00FD7A98">
        <w:t>ранспортны</w:t>
      </w:r>
      <w:r>
        <w:t>е</w:t>
      </w:r>
      <w:r w:rsidRPr="00FD7A98">
        <w:t xml:space="preserve"> средств</w:t>
      </w:r>
      <w:r>
        <w:t>а</w:t>
      </w:r>
      <w:r w:rsidRPr="00FD7A98">
        <w:t>-батаре</w:t>
      </w:r>
      <w:r>
        <w:t xml:space="preserve">и эксплуатируются следующим образом: </w:t>
      </w:r>
      <w:r w:rsidRPr="00FD7A98">
        <w:t xml:space="preserve">они </w:t>
      </w:r>
      <w:r>
        <w:t>на</w:t>
      </w:r>
      <w:r w:rsidRPr="00FD7A98">
        <w:t>п</w:t>
      </w:r>
      <w:r>
        <w:t>о</w:t>
      </w:r>
      <w:r w:rsidRPr="00FD7A98">
        <w:t>л</w:t>
      </w:r>
      <w:r>
        <w:t>ня</w:t>
      </w:r>
      <w:r w:rsidRPr="00FD7A98">
        <w:t>ются в ограниченном числе специализированных заправочных центров, доставляются к месту использования и подключаются к эксплуатируемому устройству</w:t>
      </w:r>
      <w:r>
        <w:t>,</w:t>
      </w:r>
      <w:r w:rsidRPr="00FD7A98">
        <w:t xml:space="preserve"> </w:t>
      </w:r>
      <w:r>
        <w:t xml:space="preserve">где </w:t>
      </w:r>
      <w:r w:rsidRPr="00FD7A98">
        <w:t xml:space="preserve">и остаются до тех пор, пока используется находящийся в них продукт. В транспортном средстве-батарее всегда </w:t>
      </w:r>
      <w:r>
        <w:t>существует</w:t>
      </w:r>
      <w:r w:rsidRPr="00FD7A98">
        <w:t xml:space="preserve"> остаточное давление </w:t>
      </w:r>
      <w:r>
        <w:t xml:space="preserve">в силу </w:t>
      </w:r>
      <w:r w:rsidRPr="00FD7A98">
        <w:t>ряд</w:t>
      </w:r>
      <w:r>
        <w:t>а</w:t>
      </w:r>
      <w:r w:rsidRPr="00FD7A98">
        <w:t xml:space="preserve"> причин, одна из которых заключается в том, что эксплуатируемо</w:t>
      </w:r>
      <w:r>
        <w:t>му</w:t>
      </w:r>
      <w:r w:rsidRPr="00FD7A98">
        <w:t xml:space="preserve"> устройств</w:t>
      </w:r>
      <w:r>
        <w:t>у</w:t>
      </w:r>
      <w:r w:rsidRPr="00FD7A98">
        <w:t>, к которому подключается такое транспортное средство, требует</w:t>
      </w:r>
      <w:r>
        <w:t>ся</w:t>
      </w:r>
      <w:r w:rsidRPr="00FD7A98">
        <w:t xml:space="preserve"> давлени</w:t>
      </w:r>
      <w:r>
        <w:t>е</w:t>
      </w:r>
      <w:r w:rsidRPr="00FD7A98">
        <w:t>, превышающе</w:t>
      </w:r>
      <w:r>
        <w:t>е</w:t>
      </w:r>
      <w:r w:rsidRPr="00FD7A98">
        <w:t xml:space="preserve"> атмосферное, при этом поддержание избыточного давления обеспечивает чистоту продукта. На транспортных средствах-батареях клапаны остаточного давления</w:t>
      </w:r>
      <w:r w:rsidR="00AA536F">
        <w:t>,</w:t>
      </w:r>
      <w:r w:rsidRPr="00FD7A98">
        <w:t xml:space="preserve"> как правило</w:t>
      </w:r>
      <w:r w:rsidR="00AA536F">
        <w:t>,</w:t>
      </w:r>
      <w:r w:rsidRPr="00FD7A98">
        <w:t xml:space="preserve"> отсутствуют, так как они могут препятствовать потоку в случае </w:t>
      </w:r>
      <w:r>
        <w:t xml:space="preserve">перекачки </w:t>
      </w:r>
      <w:r w:rsidRPr="00FD7A98">
        <w:t>больших объем</w:t>
      </w:r>
      <w:r>
        <w:t>ов</w:t>
      </w:r>
      <w:r w:rsidRPr="00FD7A98">
        <w:t xml:space="preserve">, однако при наличии риска загрязнения от используемого процесса на установке, к которой подключено транспортное средство-батарея, будут предусмотрены соответствующие меры предосторожности. Следует отметить, что в соответствии с пунктом 1.4.3.7.1 d) ii) МПОГ/ДОПОГ предусмотрено </w:t>
      </w:r>
      <w:r>
        <w:t xml:space="preserve">следующее </w:t>
      </w:r>
      <w:r w:rsidRPr="00FD7A98">
        <w:t>требование к разгрузчику</w:t>
      </w:r>
      <w:r>
        <w:t>:</w:t>
      </w:r>
      <w:r w:rsidRPr="00FD7A98">
        <w:t xml:space="preserve"> </w:t>
      </w:r>
      <w:r w:rsidR="002B055B">
        <w:t>«</w:t>
      </w:r>
      <w:r w:rsidRPr="00FD7A98">
        <w:t>сразу же после разгрузки цистерны, транспортного средства или контейнера: обеспечить, чтобы клапаны и смотровые отверстия были закрыты</w:t>
      </w:r>
      <w:r w:rsidR="002B055B">
        <w:t>»</w:t>
      </w:r>
      <w:r w:rsidRPr="00FD7A98">
        <w:t xml:space="preserve">. </w:t>
      </w:r>
      <w:r>
        <w:t>Это является</w:t>
      </w:r>
      <w:r w:rsidRPr="00FD7A98">
        <w:t xml:space="preserve"> дополнительн</w:t>
      </w:r>
      <w:r>
        <w:t>ой</w:t>
      </w:r>
      <w:r w:rsidRPr="00FD7A98">
        <w:t xml:space="preserve"> защит</w:t>
      </w:r>
      <w:r>
        <w:t>ой</w:t>
      </w:r>
      <w:r w:rsidRPr="00FD7A98">
        <w:t xml:space="preserve"> для обеспечения остаточного давления. Транспортные средства-батареи почти всегда используются </w:t>
      </w:r>
      <w:r>
        <w:t xml:space="preserve">для перевозки </w:t>
      </w:r>
      <w:r w:rsidRPr="00FD7A98">
        <w:t>одно</w:t>
      </w:r>
      <w:r>
        <w:t>го вида продукта</w:t>
      </w:r>
      <w:r w:rsidRPr="00FD7A98">
        <w:t>.</w:t>
      </w:r>
    </w:p>
    <w:p w14:paraId="6F824D09" w14:textId="77777777" w:rsidR="002E753E" w:rsidRPr="00FD7A98" w:rsidRDefault="002B055B" w:rsidP="00C97ACF">
      <w:pPr>
        <w:pStyle w:val="HChG"/>
        <w:spacing w:before="240"/>
      </w:pPr>
      <w:r>
        <w:tab/>
      </w:r>
      <w:r>
        <w:tab/>
      </w:r>
      <w:r w:rsidR="002E753E" w:rsidRPr="00FD7A98">
        <w:t>Принципы</w:t>
      </w:r>
    </w:p>
    <w:p w14:paraId="74D238EB" w14:textId="77777777" w:rsidR="002E753E" w:rsidRPr="00FD7A98" w:rsidRDefault="002E753E" w:rsidP="002E753E">
      <w:pPr>
        <w:pStyle w:val="SingleTxtG"/>
      </w:pPr>
      <w:r w:rsidRPr="00FD7A98">
        <w:t>10.</w:t>
      </w:r>
      <w:r w:rsidRPr="00FD7A98">
        <w:tab/>
      </w:r>
      <w:r>
        <w:t>У</w:t>
      </w:r>
      <w:r w:rsidRPr="00FD7A98">
        <w:t xml:space="preserve">величение периодичности проведения повторных проверок с 10 до 15 лет </w:t>
      </w:r>
      <w:r>
        <w:t xml:space="preserve">строится на тех </w:t>
      </w:r>
      <w:r w:rsidRPr="00FD7A98">
        <w:t>же</w:t>
      </w:r>
      <w:r>
        <w:t xml:space="preserve"> принципах</w:t>
      </w:r>
      <w:r w:rsidRPr="00FD7A98">
        <w:t>, которые применялись для отдельных баллонов и связок баллонов. Они излагаются в следующем разделе.</w:t>
      </w:r>
    </w:p>
    <w:p w14:paraId="3FDE89E1" w14:textId="77777777" w:rsidR="002E753E" w:rsidRPr="00FD7A98" w:rsidRDefault="002E753E" w:rsidP="002E753E">
      <w:pPr>
        <w:pStyle w:val="SingleTxtG"/>
      </w:pPr>
      <w:r w:rsidRPr="00FD7A98">
        <w:t>11.</w:t>
      </w:r>
      <w:r w:rsidRPr="00FD7A98">
        <w:tab/>
        <w:t>Предлагаемое увеличение периодичности проведения проверок относится только к № ООН 1046 ГЕЛИЙ СЖАТЫЙ и № ООН 1049 ВОДОРОД СЖАТЫЙ. Эти газы были выбраны в связи со следующим:</w:t>
      </w:r>
    </w:p>
    <w:p w14:paraId="575C55FA" w14:textId="77777777" w:rsidR="002E753E" w:rsidRPr="00FD7A98" w:rsidRDefault="002E753E" w:rsidP="00744B14">
      <w:pPr>
        <w:pStyle w:val="SingleTxtG"/>
        <w:ind w:firstLine="567"/>
      </w:pPr>
      <w:r w:rsidRPr="00FD7A98">
        <w:lastRenderedPageBreak/>
        <w:tab/>
        <w:t>a)</w:t>
      </w:r>
      <w:r w:rsidRPr="00FD7A98">
        <w:tab/>
        <w:t xml:space="preserve">В подавляющем числе случаев в транспортных средствах-батареях перевозятся либо № ООН 1046 ГЕЛИЙ СЖАТЫЙ, либо № ООН 1049 ВОДОРОД СЖАТЫЙ. </w:t>
      </w:r>
    </w:p>
    <w:p w14:paraId="0C5B3E7A" w14:textId="4365BB60" w:rsidR="002E753E" w:rsidRPr="00FD7A98" w:rsidRDefault="002E753E" w:rsidP="00744B14">
      <w:pPr>
        <w:pStyle w:val="SingleTxtG"/>
        <w:ind w:firstLine="567"/>
      </w:pPr>
      <w:r w:rsidRPr="00FD7A98">
        <w:tab/>
        <w:t>b)</w:t>
      </w:r>
      <w:r w:rsidRPr="00FD7A98">
        <w:tab/>
        <w:t xml:space="preserve">Области применения № ООН 1046 и № ООН 1049 почти всегда предполагают очень высокую степень чистоты, значительно превышающую требования пункта 2.4 </w:t>
      </w:r>
      <w:r>
        <w:t>(</w:t>
      </w:r>
      <w:r w:rsidRPr="00FD7A98">
        <w:t>13</w:t>
      </w:r>
      <w:r>
        <w:t>)</w:t>
      </w:r>
      <w:r w:rsidRPr="00FD7A98">
        <w:t xml:space="preserve"> инструкции по упаковке P200. Такие области применения включают производство электронных компонентов, медикаментов и продуктов питания. Следовательно, перед наполнением транспортного средства-батареи обычно проводится анализ содержащегося в нем вещества для обеспечения чистоты продукта.</w:t>
      </w:r>
    </w:p>
    <w:p w14:paraId="23787BF4" w14:textId="77777777" w:rsidR="002E753E" w:rsidRPr="00FD7A98" w:rsidRDefault="002E753E" w:rsidP="002E753E">
      <w:pPr>
        <w:pStyle w:val="SingleTxtG"/>
      </w:pPr>
      <w:r w:rsidRPr="00FD7A98">
        <w:t>12.</w:t>
      </w:r>
      <w:r w:rsidRPr="00FD7A98">
        <w:tab/>
        <w:t>На предприятиях, занимающихся наполнением транспортных средств-батарей, будет применяться документированная и сертифицированная система проверки качества, которая будет контролироваться компетентным органом. Наполнение должно производиться только на этих утвержденных станциях.</w:t>
      </w:r>
    </w:p>
    <w:p w14:paraId="60380ADE" w14:textId="77777777" w:rsidR="002E753E" w:rsidRPr="00FD7A98" w:rsidRDefault="002E753E" w:rsidP="002E753E">
      <w:pPr>
        <w:pStyle w:val="SingleTxtG"/>
      </w:pPr>
      <w:r w:rsidRPr="00FD7A98">
        <w:t>13.</w:t>
      </w:r>
      <w:r w:rsidRPr="00FD7A98">
        <w:tab/>
        <w:t xml:space="preserve">Все транспортные средства-батареи, эксплуатируемых в режиме, который предусматривает проведение проверки раз в 15 лет, перед наполнением будут проверяться на давление, превышающее атмосферное. </w:t>
      </w:r>
    </w:p>
    <w:p w14:paraId="6105CE93" w14:textId="77777777" w:rsidR="002E753E" w:rsidRPr="00FD7A98" w:rsidRDefault="002E753E" w:rsidP="002E753E">
      <w:pPr>
        <w:pStyle w:val="SingleTxtG"/>
      </w:pPr>
      <w:r w:rsidRPr="00FD7A98">
        <w:t>14.</w:t>
      </w:r>
      <w:r w:rsidRPr="00FD7A98">
        <w:tab/>
        <w:t>Собственник транспортных средств-батарей, на которые распространяется правило проведения технического осмотра раз в 15 лет, определяет порядок, обеспечивающий заправку баллонов только в утвержденных заправочных центрах.</w:t>
      </w:r>
    </w:p>
    <w:p w14:paraId="36D2B4C5" w14:textId="77777777" w:rsidR="002E753E" w:rsidRPr="00FD7A98" w:rsidRDefault="002E753E" w:rsidP="002E753E">
      <w:pPr>
        <w:pStyle w:val="SingleTxtG"/>
      </w:pPr>
      <w:r w:rsidRPr="00FD7A98">
        <w:t>15.</w:t>
      </w:r>
      <w:r w:rsidRPr="00FD7A98">
        <w:tab/>
        <w:t xml:space="preserve">Транспортные средства-батареи, </w:t>
      </w:r>
      <w:r>
        <w:t>сконструирован</w:t>
      </w:r>
      <w:r w:rsidRPr="00FD7A98">
        <w:t>ные с использованием композитных элементов, из этого предложения исключаются.</w:t>
      </w:r>
    </w:p>
    <w:p w14:paraId="4C6DBB76" w14:textId="77777777" w:rsidR="002E753E" w:rsidRPr="00FD7A98" w:rsidRDefault="002E753E" w:rsidP="002E753E">
      <w:pPr>
        <w:pStyle w:val="HChG"/>
      </w:pPr>
      <w:r w:rsidRPr="00FD7A98">
        <w:tab/>
      </w:r>
      <w:r w:rsidRPr="00FD7A98">
        <w:tab/>
      </w:r>
      <w:r w:rsidRPr="00FD7A98">
        <w:rPr>
          <w:bCs/>
        </w:rPr>
        <w:t>Предшествующая наполнению проверка и контроль транспортных средств-батарей</w:t>
      </w:r>
    </w:p>
    <w:p w14:paraId="28BD8C2A" w14:textId="77777777" w:rsidR="002E753E" w:rsidRPr="00FD7A98" w:rsidRDefault="002E753E" w:rsidP="002E753E">
      <w:pPr>
        <w:ind w:left="1134" w:right="1134"/>
        <w:jc w:val="both"/>
        <w:rPr>
          <w:rFonts w:eastAsia="MS Mincho"/>
        </w:rPr>
      </w:pPr>
      <w:r w:rsidRPr="00FD7A98">
        <w:t>16.</w:t>
      </w:r>
      <w:r w:rsidRPr="00FD7A98">
        <w:tab/>
        <w:t xml:space="preserve">Транспортные средства-батареи подлежат предшествующей наполнению проверке в соответствии со стандартом EN 13385: </w:t>
      </w:r>
    </w:p>
    <w:p w14:paraId="0AB6E920" w14:textId="77777777" w:rsidR="002E753E" w:rsidRPr="00FD7A98" w:rsidRDefault="002E753E" w:rsidP="002E753E">
      <w:pPr>
        <w:spacing w:before="120" w:after="120"/>
        <w:ind w:left="1701" w:right="1134"/>
        <w:rPr>
          <w:rFonts w:eastAsia="MS Mincho"/>
        </w:rPr>
      </w:pPr>
      <w:r w:rsidRPr="00FD7A98">
        <w:rPr>
          <w:i/>
          <w:iCs/>
        </w:rPr>
        <w:t xml:space="preserve">Переносные газовые баллоны </w:t>
      </w:r>
      <w:r w:rsidR="002B055B">
        <w:rPr>
          <w:i/>
          <w:iCs/>
        </w:rPr>
        <w:t>–</w:t>
      </w:r>
      <w:r w:rsidRPr="00FD7A98">
        <w:rPr>
          <w:i/>
          <w:iCs/>
        </w:rPr>
        <w:t xml:space="preserve"> Транспортные средства-батареи для</w:t>
      </w:r>
      <w:r w:rsidR="002B055B">
        <w:rPr>
          <w:i/>
          <w:iCs/>
        </w:rPr>
        <w:t> </w:t>
      </w:r>
      <w:r w:rsidRPr="00FD7A98">
        <w:rPr>
          <w:i/>
          <w:iCs/>
        </w:rPr>
        <w:t xml:space="preserve">постоянных и сжиженных газов (за исключением ацетилена) </w:t>
      </w:r>
      <w:r w:rsidR="002B055B">
        <w:rPr>
          <w:i/>
          <w:iCs/>
        </w:rPr>
        <w:t>–</w:t>
      </w:r>
      <w:r w:rsidRPr="00FD7A98">
        <w:rPr>
          <w:i/>
          <w:iCs/>
        </w:rPr>
        <w:t xml:space="preserve"> Проверка при наполнении</w:t>
      </w:r>
      <w:r>
        <w:rPr>
          <w:i/>
          <w:iCs/>
        </w:rPr>
        <w:t>.</w:t>
      </w:r>
      <w:r w:rsidRPr="00FD7A98">
        <w:t xml:space="preserve"> Ключевые элементы этого стандарта включают в себя:</w:t>
      </w:r>
    </w:p>
    <w:p w14:paraId="261A1724" w14:textId="77777777" w:rsidR="002E753E" w:rsidRPr="00FD7A98" w:rsidRDefault="002E753E" w:rsidP="00205F04">
      <w:pPr>
        <w:numPr>
          <w:ilvl w:val="0"/>
          <w:numId w:val="25"/>
        </w:numPr>
        <w:spacing w:before="120" w:after="120"/>
        <w:ind w:left="2268" w:right="992" w:hanging="567"/>
        <w:jc w:val="both"/>
        <w:rPr>
          <w:rFonts w:eastAsia="MS Mincho"/>
        </w:rPr>
      </w:pPr>
      <w:r w:rsidRPr="00FD7A98">
        <w:t>обеспечение отсутствия повреждений у транспортного средства-батареи;</w:t>
      </w:r>
    </w:p>
    <w:p w14:paraId="51F6817D" w14:textId="77777777" w:rsidR="002E753E" w:rsidRPr="00FD7A98" w:rsidRDefault="002E753E" w:rsidP="00205F04">
      <w:pPr>
        <w:numPr>
          <w:ilvl w:val="0"/>
          <w:numId w:val="25"/>
        </w:numPr>
        <w:spacing w:before="120" w:after="120"/>
        <w:ind w:left="2268" w:right="992" w:hanging="567"/>
        <w:jc w:val="both"/>
        <w:rPr>
          <w:rFonts w:eastAsia="MS Mincho"/>
        </w:rPr>
      </w:pPr>
      <w:r w:rsidRPr="00FD7A98">
        <w:t>надежность удерживающих систем;</w:t>
      </w:r>
    </w:p>
    <w:p w14:paraId="78D28833" w14:textId="77777777" w:rsidR="002E753E" w:rsidRPr="00FD7A98" w:rsidRDefault="002E753E" w:rsidP="00205F04">
      <w:pPr>
        <w:numPr>
          <w:ilvl w:val="0"/>
          <w:numId w:val="25"/>
        </w:numPr>
        <w:spacing w:before="120" w:after="120"/>
        <w:ind w:left="2268" w:right="992" w:hanging="567"/>
        <w:jc w:val="both"/>
        <w:rPr>
          <w:rFonts w:eastAsia="MS Mincho"/>
        </w:rPr>
      </w:pPr>
      <w:r w:rsidRPr="00FD7A98">
        <w:t>отсутствие на видимых поверхностях признаков порезов, выемок, повреждений от огня и любых других дефектов, способных нарушить целостность конструкции транспортного средства-батареи;</w:t>
      </w:r>
    </w:p>
    <w:p w14:paraId="3FC00D08" w14:textId="77777777" w:rsidR="002E753E" w:rsidRPr="00FD7A98" w:rsidRDefault="002E753E" w:rsidP="00205F04">
      <w:pPr>
        <w:numPr>
          <w:ilvl w:val="0"/>
          <w:numId w:val="25"/>
        </w:numPr>
        <w:spacing w:before="120" w:after="120"/>
        <w:ind w:left="2268" w:right="992" w:hanging="567"/>
        <w:jc w:val="both"/>
        <w:rPr>
          <w:rFonts w:eastAsia="MS Mincho"/>
        </w:rPr>
      </w:pPr>
      <w:r w:rsidRPr="00FD7A98">
        <w:t>нормальное функционирование клапанов;</w:t>
      </w:r>
    </w:p>
    <w:p w14:paraId="45C0B32A" w14:textId="77777777" w:rsidR="002E753E" w:rsidRPr="00FD7A98" w:rsidRDefault="002E753E" w:rsidP="00205F04">
      <w:pPr>
        <w:numPr>
          <w:ilvl w:val="0"/>
          <w:numId w:val="25"/>
        </w:numPr>
        <w:spacing w:before="120" w:after="120"/>
        <w:ind w:left="2268" w:right="992" w:hanging="567"/>
        <w:jc w:val="both"/>
        <w:rPr>
          <w:rFonts w:eastAsia="MS Mincho"/>
        </w:rPr>
      </w:pPr>
      <w:r w:rsidRPr="00FD7A98">
        <w:t>транспортное средство-батарея несет надлежащую маркировку и знаки;</w:t>
      </w:r>
    </w:p>
    <w:p w14:paraId="0CA62223" w14:textId="77777777" w:rsidR="002E753E" w:rsidRPr="00FD7A98" w:rsidRDefault="002E753E" w:rsidP="00205F04">
      <w:pPr>
        <w:numPr>
          <w:ilvl w:val="0"/>
          <w:numId w:val="25"/>
        </w:numPr>
        <w:spacing w:before="120" w:after="120"/>
        <w:ind w:left="2268" w:right="992" w:hanging="567"/>
        <w:jc w:val="both"/>
        <w:rPr>
          <w:rFonts w:eastAsia="MS Mincho"/>
        </w:rPr>
      </w:pPr>
      <w:r w:rsidRPr="00FD7A98">
        <w:t>отсутствие внутренних загрязнений.</w:t>
      </w:r>
    </w:p>
    <w:p w14:paraId="5C783DF4" w14:textId="77777777" w:rsidR="002E753E" w:rsidRPr="00FD7A98" w:rsidRDefault="002E753E" w:rsidP="002E753E">
      <w:pPr>
        <w:spacing w:before="120" w:after="120"/>
        <w:ind w:left="1701" w:right="1134"/>
        <w:jc w:val="both"/>
        <w:rPr>
          <w:rFonts w:eastAsia="MS Mincho"/>
        </w:rPr>
      </w:pPr>
      <w:r w:rsidRPr="00FD7A98">
        <w:t>Эти проверки дополняют проверки, необходимые для автомобильных компонентов.</w:t>
      </w:r>
    </w:p>
    <w:p w14:paraId="0BED9E0C" w14:textId="77777777" w:rsidR="002E753E" w:rsidRPr="00FD7A98" w:rsidRDefault="002E753E" w:rsidP="00205F04">
      <w:pPr>
        <w:spacing w:before="120" w:after="120"/>
        <w:ind w:left="1134" w:right="1134"/>
        <w:jc w:val="both"/>
        <w:rPr>
          <w:rFonts w:eastAsia="MS Mincho"/>
        </w:rPr>
      </w:pPr>
      <w:r w:rsidRPr="00FD7A98">
        <w:t>17.</w:t>
      </w:r>
      <w:r w:rsidRPr="00FD7A98">
        <w:tab/>
        <w:t>В связи с характером транспортных средств-батарей их местонахождение всегда известно, т.</w:t>
      </w:r>
      <w:r w:rsidR="002B055B">
        <w:t> </w:t>
      </w:r>
      <w:r w:rsidRPr="00FD7A98">
        <w:t>е. они либо загружаются, либо находятся в пути, либо разгружаются.</w:t>
      </w:r>
    </w:p>
    <w:p w14:paraId="35D4F51F" w14:textId="77777777" w:rsidR="002E753E" w:rsidRPr="00FD7A98" w:rsidRDefault="002B055B" w:rsidP="002B055B">
      <w:pPr>
        <w:pStyle w:val="HChG"/>
      </w:pPr>
      <w:r>
        <w:tab/>
      </w:r>
      <w:r>
        <w:tab/>
      </w:r>
      <w:r w:rsidR="002E753E" w:rsidRPr="00FD7A98">
        <w:t>Учет анализа рисков</w:t>
      </w:r>
    </w:p>
    <w:p w14:paraId="45CC7A08" w14:textId="77777777" w:rsidR="002E753E" w:rsidRPr="00FD7A98" w:rsidRDefault="002E753E" w:rsidP="002E753E">
      <w:pPr>
        <w:pStyle w:val="SingleTxtG"/>
      </w:pPr>
      <w:r w:rsidRPr="00FD7A98">
        <w:t>18.</w:t>
      </w:r>
      <w:r w:rsidRPr="00FD7A98">
        <w:tab/>
        <w:t xml:space="preserve">Члены ЕАПГ рассмотрели вопрос о существовании дополнительных рисков при увеличении интервала между проверками с 10 до 15 лет для транспортных средств-батарей и пришли к выводу о том, что при условии проведения предшествующей наполнению проверки риски не повышаются. </w:t>
      </w:r>
    </w:p>
    <w:p w14:paraId="50726198" w14:textId="77777777" w:rsidR="002E753E" w:rsidRPr="00FD7A98" w:rsidRDefault="002E753E" w:rsidP="002E753E">
      <w:pPr>
        <w:pStyle w:val="SingleTxtG"/>
      </w:pPr>
      <w:r w:rsidRPr="00FD7A98">
        <w:lastRenderedPageBreak/>
        <w:t>19.</w:t>
      </w:r>
      <w:r w:rsidRPr="00FD7A98">
        <w:tab/>
        <w:t xml:space="preserve">Такой вывод делается на том основании, что в рамках утвержденной системы обеспечения качества будут выполняться следующие требования: </w:t>
      </w:r>
    </w:p>
    <w:p w14:paraId="4F16D225" w14:textId="77777777" w:rsidR="002E753E" w:rsidRPr="00FD7A98" w:rsidRDefault="002E753E" w:rsidP="002E753E">
      <w:pPr>
        <w:pStyle w:val="SingleTxtG"/>
      </w:pPr>
      <w:r w:rsidRPr="00FD7A98">
        <w:tab/>
      </w:r>
      <w:r w:rsidRPr="00FD7A98">
        <w:tab/>
        <w:t>a)</w:t>
      </w:r>
      <w:r w:rsidRPr="00FD7A98">
        <w:tab/>
        <w:t>предшествующая наполнению проверка внешнего состояния транспортного средства-батареи остается важной частью общего процесса наполнения для обеспечения безопасности такого транспортного средства</w:t>
      </w:r>
      <w:r w:rsidR="00AA536F">
        <w:t>:</w:t>
      </w:r>
    </w:p>
    <w:p w14:paraId="3988ABAF" w14:textId="77777777" w:rsidR="002E753E" w:rsidRPr="00FD7A98" w:rsidRDefault="002E753E" w:rsidP="00C97ACF">
      <w:pPr>
        <w:pStyle w:val="SingleTxtG"/>
        <w:ind w:left="1701"/>
      </w:pPr>
      <w:r w:rsidRPr="00FD7A98">
        <w:t>i)</w:t>
      </w:r>
      <w:r w:rsidRPr="00FD7A98">
        <w:tab/>
        <w:t>она имеет важное значение, поскольку транспортные средства-батареи в период между периодическими проверками заполняются несколько раз;</w:t>
      </w:r>
    </w:p>
    <w:p w14:paraId="4B2F3509" w14:textId="77777777" w:rsidR="002E753E" w:rsidRPr="00FD7A98" w:rsidRDefault="002E753E" w:rsidP="00C97ACF">
      <w:pPr>
        <w:pStyle w:val="SingleTxtG"/>
        <w:ind w:left="1701"/>
      </w:pPr>
      <w:r w:rsidRPr="00FD7A98">
        <w:t>ii)</w:t>
      </w:r>
      <w:r w:rsidRPr="00FD7A98">
        <w:tab/>
        <w:t xml:space="preserve">большая часть повреждений транспортных средств-батарей происходит в результате внешних воздействий; </w:t>
      </w:r>
    </w:p>
    <w:p w14:paraId="6D1279A7" w14:textId="77777777" w:rsidR="002E753E" w:rsidRPr="00FD7A98" w:rsidRDefault="002E753E" w:rsidP="00C97ACF">
      <w:pPr>
        <w:pStyle w:val="SingleTxtG"/>
        <w:ind w:left="1701"/>
      </w:pPr>
      <w:r w:rsidRPr="00FD7A98">
        <w:t>iii)</w:t>
      </w:r>
      <w:r w:rsidRPr="00FD7A98">
        <w:tab/>
        <w:t xml:space="preserve">наиболее опасная часть срока эксплуатации транспортного средства-батареи </w:t>
      </w:r>
      <w:r w:rsidR="002B055B">
        <w:t>–</w:t>
      </w:r>
      <w:r w:rsidRPr="00FD7A98">
        <w:t xml:space="preserve"> это время заправки, когда оно подвергается наибольшим нагрузкам из-за внутреннего давления;</w:t>
      </w:r>
    </w:p>
    <w:p w14:paraId="78D1DE45" w14:textId="77777777" w:rsidR="002E753E" w:rsidRPr="00FD7A98" w:rsidRDefault="002E753E" w:rsidP="002E753E">
      <w:pPr>
        <w:pStyle w:val="SingleTxtG"/>
      </w:pPr>
      <w:r w:rsidRPr="00FD7A98">
        <w:tab/>
      </w:r>
      <w:r w:rsidRPr="00FD7A98">
        <w:tab/>
        <w:t>b)</w:t>
      </w:r>
      <w:r w:rsidRPr="00FD7A98">
        <w:tab/>
        <w:t>наличие давления выше атмосферного проверяется перед каждым наполнением, что гарантирует защищенность транспортного средства-батареи во время эксплуатации от внешнего загрязнения</w:t>
      </w:r>
      <w:r>
        <w:t>;</w:t>
      </w:r>
    </w:p>
    <w:p w14:paraId="2648FEC5" w14:textId="77777777" w:rsidR="002E753E" w:rsidRPr="00FD7A98" w:rsidRDefault="002E753E" w:rsidP="002E753E">
      <w:pPr>
        <w:pStyle w:val="SingleTxtG"/>
      </w:pPr>
      <w:r w:rsidRPr="00FD7A98">
        <w:tab/>
      </w:r>
      <w:r w:rsidRPr="00FD7A98">
        <w:tab/>
        <w:t>с)</w:t>
      </w:r>
      <w:r w:rsidRPr="00FD7A98">
        <w:tab/>
      </w:r>
      <w:r>
        <w:t>б</w:t>
      </w:r>
      <w:r w:rsidRPr="00FD7A98">
        <w:t>олее последовательному выполнению вышеуказанных требований будет способствовать разрешени</w:t>
      </w:r>
      <w:r>
        <w:t>е</w:t>
      </w:r>
      <w:r w:rsidRPr="00FD7A98">
        <w:t xml:space="preserve"> </w:t>
      </w:r>
      <w:r>
        <w:t>н</w:t>
      </w:r>
      <w:r w:rsidRPr="00FD7A98">
        <w:t>аполн</w:t>
      </w:r>
      <w:r>
        <w:t xml:space="preserve">ять </w:t>
      </w:r>
      <w:r w:rsidRPr="00FD7A98">
        <w:t>транспортны</w:t>
      </w:r>
      <w:r>
        <w:t>е</w:t>
      </w:r>
      <w:r w:rsidRPr="00FD7A98">
        <w:t xml:space="preserve"> средств</w:t>
      </w:r>
      <w:r>
        <w:t>а</w:t>
      </w:r>
      <w:r w:rsidRPr="00FD7A98">
        <w:t>-батаре</w:t>
      </w:r>
      <w:r>
        <w:t>и</w:t>
      </w:r>
      <w:r w:rsidRPr="00FD7A98">
        <w:t xml:space="preserve"> только в тех местах, которые были утверждены для </w:t>
      </w:r>
      <w:r>
        <w:t xml:space="preserve">наполнения таких </w:t>
      </w:r>
      <w:r w:rsidRPr="00FD7A98">
        <w:t>средств</w:t>
      </w:r>
      <w:r>
        <w:t xml:space="preserve"> </w:t>
      </w:r>
      <w:r w:rsidRPr="00FD7A98">
        <w:t>с увеличенным интервалом между проверками.</w:t>
      </w:r>
    </w:p>
    <w:p w14:paraId="59628F3A" w14:textId="77777777" w:rsidR="002E753E" w:rsidRPr="00FD7A98" w:rsidRDefault="002E753E" w:rsidP="002E753E">
      <w:pPr>
        <w:pStyle w:val="SingleTxtG"/>
        <w:rPr>
          <w:color w:val="333333"/>
        </w:rPr>
      </w:pPr>
      <w:r w:rsidRPr="00FD7A98">
        <w:t>20.</w:t>
      </w:r>
      <w:r w:rsidRPr="00FD7A98">
        <w:tab/>
        <w:t xml:space="preserve">Как упоминалось выше в </w:t>
      </w:r>
      <w:r>
        <w:t xml:space="preserve">пункте </w:t>
      </w:r>
      <w:r w:rsidRPr="00FD7A98">
        <w:t>11 b)</w:t>
      </w:r>
      <w:r>
        <w:t>,</w:t>
      </w:r>
      <w:r w:rsidRPr="00FD7A98">
        <w:t xml:space="preserve"> требования к чистоте продукции являются весьма строгими.</w:t>
      </w:r>
    </w:p>
    <w:p w14:paraId="351D7EBC" w14:textId="77777777" w:rsidR="002E753E" w:rsidRPr="00FD7A98" w:rsidRDefault="002B055B" w:rsidP="00D11AA3">
      <w:pPr>
        <w:pStyle w:val="HChG"/>
      </w:pPr>
      <w:r>
        <w:tab/>
      </w:r>
      <w:r>
        <w:tab/>
      </w:r>
      <w:r w:rsidR="002E753E" w:rsidRPr="00FD7A98">
        <w:t xml:space="preserve">Методы продления интервалов проведения испытаний </w:t>
      </w:r>
      <w:r>
        <w:br/>
      </w:r>
      <w:r w:rsidR="002E753E" w:rsidRPr="00FD7A98">
        <w:t>с 10 до 15 лет</w:t>
      </w:r>
    </w:p>
    <w:p w14:paraId="4793C3E5" w14:textId="77777777" w:rsidR="002E753E" w:rsidRPr="00FD7A98" w:rsidRDefault="002E753E" w:rsidP="002E753E">
      <w:pPr>
        <w:ind w:left="1134" w:right="1134"/>
        <w:jc w:val="both"/>
      </w:pPr>
      <w:r w:rsidRPr="00FD7A98">
        <w:t>21.</w:t>
      </w:r>
      <w:r w:rsidRPr="00FD7A98">
        <w:tab/>
        <w:t>Поскольку транспортные средства-батареи подлежат детальным проверкам, включая требования стандарта EN 13385, и контролируются на предмет качества остаточного продукта и газа, а также в связи с наличием систем контроля качества, интервалы между проверками могут быть увеличены. Исходя из этого, представляется целесообразным предусмотреть возможность увеличения интервала между проверками для транспортных средств-батарей с даты проведения последней периодической проверки, если с того момента уже выполнены требования, предъявляемые к более длительному интервалу. В этом случае нет необходимости ждать следующей периодической проверки; следующая проверка должна быть проведена через 15 лет после последней проверки, даже если она была проведена до вступления в силу новых правил.</w:t>
      </w:r>
    </w:p>
    <w:p w14:paraId="0ACEFA9E" w14:textId="77777777" w:rsidR="002E753E" w:rsidRPr="00FD7A98" w:rsidRDefault="002E753E" w:rsidP="002E753E">
      <w:pPr>
        <w:pStyle w:val="HChG"/>
      </w:pPr>
      <w:r w:rsidRPr="00FD7A98">
        <w:tab/>
      </w:r>
      <w:r w:rsidRPr="00FD7A98">
        <w:tab/>
      </w:r>
      <w:r w:rsidRPr="00FD7A98">
        <w:rPr>
          <w:bCs/>
        </w:rPr>
        <w:t>Безопасность</w:t>
      </w:r>
    </w:p>
    <w:p w14:paraId="41712B62" w14:textId="77777777" w:rsidR="002E753E" w:rsidRPr="00FD7A98" w:rsidRDefault="002E753E" w:rsidP="002E753E">
      <w:pPr>
        <w:ind w:left="1134" w:right="1134"/>
      </w:pPr>
      <w:r w:rsidRPr="00FD7A98">
        <w:t>22.</w:t>
      </w:r>
      <w:r w:rsidRPr="00FD7A98">
        <w:tab/>
        <w:t>Никаких проблем с безопасностью не предвидится, так как транспортные средства-батареи будут по-прежнему проходить предшествующую наполнению проверку, как указано в стандарте EN 13385.</w:t>
      </w:r>
    </w:p>
    <w:p w14:paraId="2D9A19FB" w14:textId="77777777" w:rsidR="002E753E" w:rsidRPr="00FD7A98" w:rsidRDefault="002E753E" w:rsidP="002E753E">
      <w:pPr>
        <w:pStyle w:val="HChG"/>
      </w:pPr>
      <w:r w:rsidRPr="00FD7A98">
        <w:tab/>
      </w:r>
      <w:r w:rsidRPr="00FD7A98">
        <w:tab/>
      </w:r>
      <w:r w:rsidRPr="00FD7A98">
        <w:rPr>
          <w:bCs/>
        </w:rPr>
        <w:t>Возможность обеспечения применения</w:t>
      </w:r>
    </w:p>
    <w:p w14:paraId="0BE381B0" w14:textId="77777777" w:rsidR="002E753E" w:rsidRPr="00FD7A98" w:rsidRDefault="002E753E" w:rsidP="002E753E">
      <w:pPr>
        <w:pStyle w:val="SingleTxtG"/>
      </w:pPr>
      <w:r w:rsidRPr="00FD7A98">
        <w:t>23.</w:t>
      </w:r>
      <w:r w:rsidRPr="00FD7A98">
        <w:tab/>
        <w:t>Считается, что возможность</w:t>
      </w:r>
      <w:r w:rsidRPr="00FD7A98">
        <w:rPr>
          <w:b/>
          <w:bCs/>
        </w:rPr>
        <w:t xml:space="preserve"> </w:t>
      </w:r>
      <w:r w:rsidRPr="00FD7A98">
        <w:t>обеспечения применения не представляет никаких препятствий из-за тщательного контроля за транспортными средствами-батареями во время погрузки, разгрузки и перевозки.</w:t>
      </w:r>
    </w:p>
    <w:p w14:paraId="495B527A" w14:textId="77777777" w:rsidR="00C97ACF" w:rsidRDefault="002E753E" w:rsidP="002E753E">
      <w:pPr>
        <w:pStyle w:val="HChG"/>
      </w:pPr>
      <w:r w:rsidRPr="00FD7A98">
        <w:t xml:space="preserve"> </w:t>
      </w:r>
    </w:p>
    <w:p w14:paraId="475561F0" w14:textId="77777777" w:rsidR="00C97ACF" w:rsidRDefault="00C97ACF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31F2E5B3" w14:textId="4F77F095" w:rsidR="002E753E" w:rsidRPr="00FD7A98" w:rsidRDefault="002E753E" w:rsidP="00C77D75">
      <w:pPr>
        <w:pStyle w:val="HChG"/>
      </w:pPr>
      <w:r w:rsidRPr="00FD7A98">
        <w:lastRenderedPageBreak/>
        <w:tab/>
      </w:r>
      <w:r w:rsidRPr="00FD7A98">
        <w:tab/>
      </w:r>
      <w:r w:rsidRPr="00FD7A98">
        <w:rPr>
          <w:bCs/>
        </w:rPr>
        <w:t>Предложение о внесении изменений в подраздел 4.1.4.1</w:t>
      </w:r>
    </w:p>
    <w:p w14:paraId="4E62D6AC" w14:textId="77777777" w:rsidR="002E753E" w:rsidRPr="00FD7A98" w:rsidRDefault="002E753E" w:rsidP="002E753E">
      <w:pPr>
        <w:pStyle w:val="SingleTxtG"/>
      </w:pPr>
      <w:r w:rsidRPr="00FD7A98">
        <w:t xml:space="preserve">В этом предложении новый текст подчеркнут, а удаленный текст </w:t>
      </w:r>
      <w:r w:rsidRPr="00FD7A98">
        <w:rPr>
          <w:strike/>
        </w:rPr>
        <w:t>зачеркнут</w:t>
      </w:r>
      <w:r w:rsidRPr="00FD7A98">
        <w:t xml:space="preserve">. </w:t>
      </w:r>
    </w:p>
    <w:p w14:paraId="40D26BBC" w14:textId="77777777" w:rsidR="002E753E" w:rsidRPr="00FD7A98" w:rsidRDefault="002E753E" w:rsidP="002E753E">
      <w:pPr>
        <w:pStyle w:val="SingleTxtG"/>
      </w:pPr>
      <w:r w:rsidRPr="00FD7A98">
        <w:t>Все предлагаемые изменения относятся к инструкции по упаковке P200 подраздела</w:t>
      </w:r>
      <w:r w:rsidR="002B055B">
        <w:t> </w:t>
      </w:r>
      <w:r w:rsidRPr="00FD7A98">
        <w:t>4.1.4.1.</w:t>
      </w:r>
    </w:p>
    <w:p w14:paraId="637BF0AC" w14:textId="77777777" w:rsidR="002E753E" w:rsidRPr="00FD7A98" w:rsidRDefault="002E753E" w:rsidP="002E753E">
      <w:pPr>
        <w:pStyle w:val="SingleTxtG"/>
      </w:pPr>
      <w:r w:rsidRPr="00FD7A98">
        <w:t>Добавить в пункт (10):</w:t>
      </w:r>
    </w:p>
    <w:p w14:paraId="24CCED79" w14:textId="77777777" w:rsidR="002E753E" w:rsidRPr="00FD7A98" w:rsidRDefault="002E753E" w:rsidP="002E753E">
      <w:pPr>
        <w:pStyle w:val="SingleTxtG"/>
      </w:pPr>
      <w:r w:rsidRPr="00FD7A98">
        <w:rPr>
          <w:u w:val="single"/>
        </w:rPr>
        <w:t>vb:</w:t>
      </w:r>
      <w:r w:rsidRPr="00D11AA3">
        <w:rPr>
          <w:u w:val="single"/>
        </w:rPr>
        <w:tab/>
      </w:r>
      <w:r w:rsidRPr="00FD7A98">
        <w:rPr>
          <w:u w:val="single"/>
        </w:rPr>
        <w:t>В случае транспортных средств-батарей с элементами, которые представляют собой либо бесшовные стальные баллоны, либо бесшовные стальные трубки, интервал между периодическими проверками может быть увеличен до 15 лет, если применяются положения пункта (13) настоящей инструкции по упаковке.</w:t>
      </w:r>
    </w:p>
    <w:p w14:paraId="64BEFF84" w14:textId="77777777" w:rsidR="002E753E" w:rsidRPr="00FD7A98" w:rsidRDefault="002E753E" w:rsidP="002E753E">
      <w:pPr>
        <w:pStyle w:val="SingleTxtG"/>
      </w:pPr>
      <w:r w:rsidRPr="00FD7A98">
        <w:t>Включить в пункт (11) EN 13385 после строки, содержащей ISO 11755</w:t>
      </w:r>
    </w:p>
    <w:tbl>
      <w:tblPr>
        <w:tblW w:w="93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1536"/>
        <w:gridCol w:w="5814"/>
      </w:tblGrid>
      <w:tr w:rsidR="00D11AA3" w:rsidRPr="00D11AA3" w14:paraId="06C37074" w14:textId="77777777" w:rsidTr="00062D2E">
        <w:trPr>
          <w:cantSplit/>
          <w:tblHeader/>
        </w:trPr>
        <w:tc>
          <w:tcPr>
            <w:tcW w:w="2008" w:type="dxa"/>
            <w:shd w:val="clear" w:color="auto" w:fill="auto"/>
          </w:tcPr>
          <w:p w14:paraId="0E5D4C83" w14:textId="4752B167" w:rsidR="002E753E" w:rsidRPr="00D11AA3" w:rsidRDefault="00C62D78" w:rsidP="00C62D78">
            <w:pPr>
              <w:spacing w:before="20" w:after="20" w:line="228" w:lineRule="auto"/>
              <w:ind w:left="11" w:right="11"/>
              <w:jc w:val="center"/>
              <w:rPr>
                <w:rFonts w:eastAsia="Times New Roman" w:cs="Times New Roman"/>
                <w:b/>
                <w:bCs/>
                <w:szCs w:val="20"/>
                <w:lang w:val="en-GB" w:eastAsia="fr-F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С</w:t>
            </w:r>
            <w:r w:rsidR="002E753E" w:rsidRPr="00D11AA3">
              <w:rPr>
                <w:rFonts w:eastAsia="Times New Roman" w:cs="Times New Roman"/>
                <w:b/>
                <w:bCs/>
                <w:szCs w:val="20"/>
                <w:lang w:val="en-GB" w:eastAsia="fr-FR"/>
              </w:rPr>
              <w:t xml:space="preserve">оответствующие </w:t>
            </w:r>
            <w:r>
              <w:rPr>
                <w:rFonts w:eastAsia="Times New Roman" w:cs="Times New Roman"/>
                <w:b/>
                <w:bCs/>
                <w:szCs w:val="20"/>
                <w:lang w:eastAsia="fr-FR"/>
              </w:rPr>
              <w:t>т</w:t>
            </w:r>
            <w:r w:rsidR="002E753E" w:rsidRPr="00D11AA3">
              <w:rPr>
                <w:rFonts w:eastAsia="Times New Roman" w:cs="Times New Roman"/>
                <w:b/>
                <w:bCs/>
                <w:szCs w:val="20"/>
                <w:lang w:val="en-GB" w:eastAsia="fr-FR"/>
              </w:rPr>
              <w:t>ребования</w:t>
            </w:r>
          </w:p>
        </w:tc>
        <w:tc>
          <w:tcPr>
            <w:tcW w:w="1536" w:type="dxa"/>
            <w:shd w:val="clear" w:color="auto" w:fill="auto"/>
          </w:tcPr>
          <w:p w14:paraId="2C4D0419" w14:textId="77777777" w:rsidR="002E753E" w:rsidRPr="00D11AA3" w:rsidRDefault="002E753E" w:rsidP="00062D2E">
            <w:pPr>
              <w:spacing w:before="20" w:after="20" w:line="228" w:lineRule="auto"/>
              <w:ind w:left="11" w:right="11"/>
              <w:jc w:val="center"/>
              <w:rPr>
                <w:rFonts w:eastAsia="Times New Roman" w:cs="Times New Roman"/>
                <w:b/>
                <w:bCs/>
                <w:szCs w:val="20"/>
                <w:lang w:val="en-GB" w:eastAsia="fr-FR"/>
              </w:rPr>
            </w:pPr>
            <w:r w:rsidRPr="00D11AA3">
              <w:rPr>
                <w:rFonts w:eastAsia="Times New Roman" w:cs="Times New Roman"/>
                <w:b/>
                <w:bCs/>
                <w:szCs w:val="20"/>
                <w:lang w:val="en-GB" w:eastAsia="fr-FR"/>
              </w:rPr>
              <w:t>Ссылка</w:t>
            </w:r>
          </w:p>
        </w:tc>
        <w:tc>
          <w:tcPr>
            <w:tcW w:w="5814" w:type="dxa"/>
            <w:shd w:val="clear" w:color="auto" w:fill="auto"/>
          </w:tcPr>
          <w:p w14:paraId="21A30A00" w14:textId="77777777" w:rsidR="002E753E" w:rsidRPr="00D11AA3" w:rsidRDefault="002E753E" w:rsidP="00062D2E">
            <w:pPr>
              <w:spacing w:before="20" w:after="20" w:line="228" w:lineRule="auto"/>
              <w:ind w:left="11" w:right="11"/>
              <w:jc w:val="center"/>
              <w:rPr>
                <w:rFonts w:eastAsia="Times New Roman" w:cs="Times New Roman"/>
                <w:b/>
                <w:bCs/>
                <w:szCs w:val="20"/>
                <w:lang w:val="en-GB" w:eastAsia="fr-FR"/>
              </w:rPr>
            </w:pPr>
            <w:r w:rsidRPr="00D11AA3">
              <w:rPr>
                <w:rFonts w:eastAsia="Times New Roman" w:cs="Times New Roman"/>
                <w:b/>
                <w:bCs/>
                <w:szCs w:val="20"/>
                <w:lang w:val="en-GB" w:eastAsia="fr-FR"/>
              </w:rPr>
              <w:t>Наименование документа</w:t>
            </w:r>
          </w:p>
        </w:tc>
      </w:tr>
      <w:tr w:rsidR="00D11AA3" w:rsidRPr="00D11AA3" w14:paraId="6BA00A23" w14:textId="77777777" w:rsidTr="00D11AA3">
        <w:trPr>
          <w:cantSplit/>
        </w:trPr>
        <w:tc>
          <w:tcPr>
            <w:tcW w:w="2008" w:type="dxa"/>
            <w:shd w:val="clear" w:color="auto" w:fill="auto"/>
          </w:tcPr>
          <w:p w14:paraId="12BDCC70" w14:textId="77777777" w:rsidR="002E753E" w:rsidRPr="00D11AA3" w:rsidRDefault="002E753E" w:rsidP="00D11AA3">
            <w:pPr>
              <w:spacing w:before="20" w:after="20" w:line="228" w:lineRule="auto"/>
              <w:ind w:left="11" w:right="11"/>
              <w:jc w:val="center"/>
              <w:rPr>
                <w:rFonts w:eastAsia="Times New Roman" w:cs="Times New Roman"/>
                <w:szCs w:val="20"/>
                <w:u w:val="single"/>
                <w:lang w:val="en-GB" w:eastAsia="fr-FR"/>
              </w:rPr>
            </w:pPr>
            <w:r w:rsidRPr="00D11AA3">
              <w:rPr>
                <w:rFonts w:eastAsia="Times New Roman" w:cs="Times New Roman"/>
                <w:szCs w:val="20"/>
                <w:u w:val="single"/>
                <w:lang w:val="en-GB" w:eastAsia="fr-FR"/>
              </w:rPr>
              <w:t>(7) (a)</w:t>
            </w:r>
          </w:p>
        </w:tc>
        <w:tc>
          <w:tcPr>
            <w:tcW w:w="1536" w:type="dxa"/>
            <w:shd w:val="clear" w:color="auto" w:fill="auto"/>
          </w:tcPr>
          <w:p w14:paraId="1658A44E" w14:textId="77777777" w:rsidR="002E753E" w:rsidRPr="00D11AA3" w:rsidRDefault="002E753E" w:rsidP="00D11AA3">
            <w:pPr>
              <w:spacing w:before="20" w:after="20" w:line="228" w:lineRule="auto"/>
              <w:ind w:left="11" w:right="11"/>
              <w:jc w:val="center"/>
              <w:rPr>
                <w:rFonts w:eastAsia="Times New Roman" w:cs="Times New Roman"/>
                <w:szCs w:val="20"/>
                <w:u w:val="single"/>
                <w:lang w:val="en-GB" w:eastAsia="fr-FR"/>
              </w:rPr>
            </w:pPr>
            <w:r w:rsidRPr="00D11AA3">
              <w:rPr>
                <w:rFonts w:eastAsia="Times New Roman" w:cs="Times New Roman"/>
                <w:szCs w:val="20"/>
                <w:u w:val="single"/>
                <w:lang w:val="en-GB" w:eastAsia="fr-FR"/>
              </w:rPr>
              <w:t xml:space="preserve">EN 13385:2002 </w:t>
            </w:r>
          </w:p>
        </w:tc>
        <w:tc>
          <w:tcPr>
            <w:tcW w:w="5814" w:type="dxa"/>
            <w:shd w:val="clear" w:color="auto" w:fill="auto"/>
          </w:tcPr>
          <w:p w14:paraId="61A3FFFA" w14:textId="77777777" w:rsidR="002E753E" w:rsidRPr="00D11AA3" w:rsidRDefault="002E753E" w:rsidP="00D11AA3">
            <w:pPr>
              <w:spacing w:before="20" w:after="20" w:line="228" w:lineRule="auto"/>
              <w:ind w:left="11" w:right="11"/>
              <w:rPr>
                <w:rFonts w:eastAsia="Times New Roman" w:cs="Times New Roman"/>
                <w:szCs w:val="20"/>
                <w:u w:val="single"/>
                <w:lang w:eastAsia="fr-FR"/>
              </w:rPr>
            </w:pPr>
            <w:r w:rsidRPr="00D11AA3">
              <w:rPr>
                <w:rFonts w:eastAsia="Times New Roman" w:cs="Times New Roman"/>
                <w:szCs w:val="20"/>
                <w:u w:val="single"/>
                <w:lang w:eastAsia="fr-FR"/>
              </w:rPr>
              <w:t xml:space="preserve">Переносные газовые баллоны </w:t>
            </w:r>
            <w:r w:rsidR="002B055B" w:rsidRPr="00D11AA3">
              <w:rPr>
                <w:rFonts w:eastAsia="Times New Roman" w:cs="Times New Roman"/>
                <w:szCs w:val="20"/>
                <w:u w:val="single"/>
                <w:lang w:eastAsia="fr-FR"/>
              </w:rPr>
              <w:t>–</w:t>
            </w:r>
            <w:r w:rsidRPr="00D11AA3">
              <w:rPr>
                <w:rFonts w:eastAsia="Times New Roman" w:cs="Times New Roman"/>
                <w:szCs w:val="20"/>
                <w:u w:val="single"/>
                <w:lang w:eastAsia="fr-FR"/>
              </w:rPr>
              <w:t xml:space="preserve"> Транспортные средства-батареи для постоянных и сжиженных газов (за исключением ацетилена) </w:t>
            </w:r>
            <w:r w:rsidR="002B055B" w:rsidRPr="00D11AA3">
              <w:rPr>
                <w:rFonts w:eastAsia="Times New Roman" w:cs="Times New Roman"/>
                <w:szCs w:val="20"/>
                <w:u w:val="single"/>
                <w:lang w:eastAsia="fr-FR"/>
              </w:rPr>
              <w:t>–</w:t>
            </w:r>
            <w:r w:rsidRPr="00D11AA3">
              <w:rPr>
                <w:rFonts w:eastAsia="Times New Roman" w:cs="Times New Roman"/>
                <w:szCs w:val="20"/>
                <w:u w:val="single"/>
                <w:lang w:eastAsia="fr-FR"/>
              </w:rPr>
              <w:t xml:space="preserve"> Проверка при наполнении</w:t>
            </w:r>
          </w:p>
        </w:tc>
      </w:tr>
    </w:tbl>
    <w:p w14:paraId="75B1C544" w14:textId="090E746B" w:rsidR="002E753E" w:rsidRPr="00FD7A98" w:rsidRDefault="002E753E" w:rsidP="002B055B">
      <w:pPr>
        <w:pStyle w:val="SingleTxtG"/>
        <w:spacing w:before="120"/>
        <w:rPr>
          <w:u w:val="single"/>
        </w:rPr>
      </w:pPr>
      <w:r w:rsidRPr="00FD7A98">
        <w:t xml:space="preserve">(13) </w:t>
      </w:r>
      <w:r w:rsidR="00C77D75">
        <w:tab/>
      </w:r>
      <w:r w:rsidRPr="00FD7A98">
        <w:t xml:space="preserve">В первом предложении заменить </w:t>
      </w:r>
      <w:r w:rsidR="002B055B">
        <w:t>«</w:t>
      </w:r>
      <w:r w:rsidRPr="00FD7A98">
        <w:t xml:space="preserve">в соответствии со специальным положением по упаковке </w:t>
      </w:r>
      <w:r w:rsidR="002B055B" w:rsidRPr="00FD7A98">
        <w:t>"</w:t>
      </w:r>
      <w:r w:rsidRPr="00FD7A98">
        <w:t>ua</w:t>
      </w:r>
      <w:r w:rsidR="002B055B" w:rsidRPr="00FD7A98">
        <w:t>"</w:t>
      </w:r>
      <w:r w:rsidRPr="00FD7A98">
        <w:t xml:space="preserve"> или </w:t>
      </w:r>
      <w:r w:rsidR="002B055B" w:rsidRPr="00FD7A98">
        <w:t>"</w:t>
      </w:r>
      <w:r w:rsidRPr="00FD7A98">
        <w:t>va</w:t>
      </w:r>
      <w:r w:rsidR="002B055B" w:rsidRPr="00FD7A98">
        <w:t>"</w:t>
      </w:r>
      <w:r w:rsidRPr="00FD7A98">
        <w:t xml:space="preserve"> ... может быть установлен ... интервал между периодическими проверками ... баллонов и ... связок таких баллонов</w:t>
      </w:r>
      <w:r w:rsidR="002B055B">
        <w:t>»</w:t>
      </w:r>
      <w:r w:rsidRPr="00FD7A98">
        <w:t xml:space="preserve"> на </w:t>
      </w:r>
      <w:r w:rsidR="002B055B">
        <w:t>«</w:t>
      </w:r>
      <w:r w:rsidRPr="00FD7A98">
        <w:t>в</w:t>
      </w:r>
      <w:r w:rsidR="004E573F">
        <w:rPr>
          <w:lang w:val="en-US"/>
        </w:rPr>
        <w:t> </w:t>
      </w:r>
      <w:r w:rsidRPr="00FD7A98">
        <w:t xml:space="preserve">соответствии со специальным положением по </w:t>
      </w:r>
      <w:r w:rsidRPr="00824588">
        <w:t xml:space="preserve">упаковке </w:t>
      </w:r>
      <w:r w:rsidR="002B055B" w:rsidRPr="00824588">
        <w:t>"</w:t>
      </w:r>
      <w:r w:rsidRPr="00824588">
        <w:t>ua</w:t>
      </w:r>
      <w:r w:rsidR="002B055B" w:rsidRPr="00824588">
        <w:t>"</w:t>
      </w:r>
      <w:r w:rsidRPr="00824588">
        <w:t xml:space="preserve">, </w:t>
      </w:r>
      <w:r w:rsidRPr="00824588">
        <w:rPr>
          <w:strike/>
        </w:rPr>
        <w:t>или</w:t>
      </w:r>
      <w:r w:rsidRPr="00824588">
        <w:t xml:space="preserve"> </w:t>
      </w:r>
      <w:r w:rsidR="002B055B" w:rsidRPr="00824588">
        <w:t>"</w:t>
      </w:r>
      <w:r w:rsidRPr="00824588">
        <w:t>va</w:t>
      </w:r>
      <w:r w:rsidR="002B055B" w:rsidRPr="00824588">
        <w:t>"</w:t>
      </w:r>
      <w:r w:rsidRPr="00824588">
        <w:t xml:space="preserve"> </w:t>
      </w:r>
      <w:r w:rsidRPr="00824588">
        <w:rPr>
          <w:u w:val="single"/>
        </w:rPr>
        <w:t>или "vb"</w:t>
      </w:r>
      <w:r w:rsidRPr="00824588">
        <w:t xml:space="preserve"> ... </w:t>
      </w:r>
      <w:r w:rsidRPr="00FD7A98">
        <w:t xml:space="preserve">может быть установлен ... интервал между периодическими проверками ... баллонов, ... связок баллонов </w:t>
      </w:r>
      <w:r w:rsidRPr="001A65E2">
        <w:rPr>
          <w:u w:val="single"/>
        </w:rPr>
        <w:t>и транспортных средств-батарей</w:t>
      </w:r>
      <w:r w:rsidRPr="00FD7A98">
        <w:t xml:space="preserve">, изготовленные с использованием бесшовных стальных баллонов </w:t>
      </w:r>
      <w:r w:rsidRPr="001A65E2">
        <w:rPr>
          <w:u w:val="single"/>
        </w:rPr>
        <w:t>или бесшовных стальных трубок</w:t>
      </w:r>
      <w:r w:rsidR="002B055B" w:rsidRPr="002B055B">
        <w:t>»</w:t>
      </w:r>
      <w:r w:rsidRPr="00FD7A98">
        <w:t>.</w:t>
      </w:r>
    </w:p>
    <w:p w14:paraId="3FE9B8EA" w14:textId="57FAC936" w:rsidR="002E753E" w:rsidRPr="00FD7A98" w:rsidRDefault="002E753E" w:rsidP="002E753E">
      <w:pPr>
        <w:pStyle w:val="SingleTxtG"/>
      </w:pPr>
      <w:r w:rsidRPr="00FD7A98">
        <w:t>(13)</w:t>
      </w:r>
      <w:r w:rsidR="00C77D75">
        <w:t> </w:t>
      </w:r>
      <w:r w:rsidRPr="00FD7A98">
        <w:t xml:space="preserve">1.2 В первом предложении заменить </w:t>
      </w:r>
      <w:r w:rsidR="002B055B">
        <w:t>«</w:t>
      </w:r>
      <w:r w:rsidRPr="00FD7A98">
        <w:t>баллонов или связок баллонов</w:t>
      </w:r>
      <w:r w:rsidR="002B055B">
        <w:t>»</w:t>
      </w:r>
      <w:r w:rsidRPr="00FD7A98">
        <w:t xml:space="preserve"> на </w:t>
      </w:r>
      <w:r w:rsidR="002B055B">
        <w:t>«</w:t>
      </w:r>
      <w:r w:rsidRPr="00FD7A98">
        <w:t>баллонов, связок баллонов</w:t>
      </w:r>
      <w:r w:rsidRPr="00FD7A98">
        <w:rPr>
          <w:u w:val="single"/>
        </w:rPr>
        <w:t xml:space="preserve"> или транспортных средств-батарей</w:t>
      </w:r>
      <w:r w:rsidR="002B055B" w:rsidRPr="002B055B">
        <w:t>»</w:t>
      </w:r>
      <w:r w:rsidRPr="00FD7A98">
        <w:t>.</w:t>
      </w:r>
    </w:p>
    <w:p w14:paraId="0467C28D" w14:textId="77777777" w:rsidR="002E753E" w:rsidRPr="00FD7A98" w:rsidRDefault="002E753E" w:rsidP="002E753E">
      <w:pPr>
        <w:pStyle w:val="SingleTxtG"/>
        <w:rPr>
          <w:rFonts w:eastAsia="SimSun"/>
        </w:rPr>
      </w:pPr>
      <w:r w:rsidRPr="00FD7A98">
        <w:t xml:space="preserve">(13) 1.3 В первом предложении заменить </w:t>
      </w:r>
      <w:r w:rsidR="00403BFC">
        <w:t>«</w:t>
      </w:r>
      <w:r w:rsidRPr="00FD7A98">
        <w:t>Баллоны, изготовленные начиная с 1 января 1999 года</w:t>
      </w:r>
      <w:r w:rsidR="00403BFC">
        <w:t>»</w:t>
      </w:r>
      <w:r w:rsidRPr="00FD7A98">
        <w:t xml:space="preserve"> на </w:t>
      </w:r>
      <w:r w:rsidR="00403BFC">
        <w:t>«</w:t>
      </w:r>
      <w:r w:rsidRPr="00FD7A98">
        <w:t xml:space="preserve">Баллоны </w:t>
      </w:r>
      <w:r w:rsidRPr="00FD7A98">
        <w:rPr>
          <w:u w:val="single"/>
        </w:rPr>
        <w:t>и трубки</w:t>
      </w:r>
      <w:r w:rsidRPr="00FD7A98">
        <w:t>, изготовленные начиная с 1 января 1999 года</w:t>
      </w:r>
      <w:r w:rsidR="00403BFC">
        <w:t>»</w:t>
      </w:r>
      <w:r w:rsidRPr="00FD7A98">
        <w:t>.</w:t>
      </w:r>
    </w:p>
    <w:p w14:paraId="1B9F5106" w14:textId="77777777" w:rsidR="002E753E" w:rsidRPr="00FD7A98" w:rsidRDefault="002E753E" w:rsidP="002E753E">
      <w:pPr>
        <w:pStyle w:val="SingleTxtG"/>
        <w:rPr>
          <w:rFonts w:eastAsia="SimSun"/>
          <w:i/>
        </w:rPr>
      </w:pPr>
      <w:r w:rsidRPr="00FD7A98">
        <w:t xml:space="preserve">(13) 1.3 Вставить </w:t>
      </w:r>
      <w:r w:rsidRPr="00FD7A98">
        <w:rPr>
          <w:u w:val="single"/>
        </w:rPr>
        <w:t>EN ISO 11120</w:t>
      </w:r>
      <w:r w:rsidRPr="00D11AA3">
        <w:rPr>
          <w:u w:val="single"/>
        </w:rPr>
        <w:t xml:space="preserve">; </w:t>
      </w:r>
      <w:r w:rsidRPr="00FD7A98">
        <w:rPr>
          <w:u w:val="single"/>
        </w:rPr>
        <w:t>или</w:t>
      </w:r>
      <w:r w:rsidRPr="00D11AA3">
        <w:t xml:space="preserve"> </w:t>
      </w:r>
      <w:r w:rsidRPr="00FD7A98">
        <w:t xml:space="preserve">после EN 7866. </w:t>
      </w:r>
    </w:p>
    <w:p w14:paraId="49F416B1" w14:textId="77777777" w:rsidR="002E753E" w:rsidRPr="00FD7A98" w:rsidRDefault="002E753E" w:rsidP="002E753E">
      <w:pPr>
        <w:pStyle w:val="SingleTxtG"/>
        <w:rPr>
          <w:rFonts w:eastAsia="SimSun"/>
          <w:iCs/>
        </w:rPr>
      </w:pPr>
      <w:r w:rsidRPr="00FD7A98">
        <w:t xml:space="preserve">(13) 1.3 Во втором предложении заменить </w:t>
      </w:r>
      <w:r w:rsidR="00403BFC">
        <w:t>«</w:t>
      </w:r>
      <w:r w:rsidRPr="00FD7A98">
        <w:t>Для других баллонов, изготовленных до 1</w:t>
      </w:r>
      <w:r w:rsidR="00403BFC">
        <w:t> </w:t>
      </w:r>
      <w:r w:rsidRPr="00FD7A98">
        <w:t>января 2009 года</w:t>
      </w:r>
      <w:r w:rsidR="00403BFC">
        <w:t>»</w:t>
      </w:r>
      <w:r w:rsidRPr="00FD7A98">
        <w:t xml:space="preserve"> на </w:t>
      </w:r>
      <w:r w:rsidR="00403BFC">
        <w:t>«</w:t>
      </w:r>
      <w:r w:rsidRPr="00FD7A98">
        <w:t xml:space="preserve">Для других баллонов </w:t>
      </w:r>
      <w:r w:rsidRPr="00FD7A98">
        <w:rPr>
          <w:u w:val="single"/>
        </w:rPr>
        <w:t>и трубок</w:t>
      </w:r>
      <w:r w:rsidRPr="00FD7A98">
        <w:t>, изготовленных до 1 января 2009 года</w:t>
      </w:r>
      <w:r w:rsidR="00403BFC">
        <w:t>»</w:t>
      </w:r>
      <w:r w:rsidRPr="00FD7A98">
        <w:t>.</w:t>
      </w:r>
    </w:p>
    <w:p w14:paraId="34175107" w14:textId="15604CB7" w:rsidR="002E753E" w:rsidRPr="00FD7A98" w:rsidRDefault="00C77D75" w:rsidP="002E753E">
      <w:pPr>
        <w:pStyle w:val="SingleTxtG"/>
        <w:rPr>
          <w:rFonts w:eastAsia="SimSun"/>
          <w:iCs/>
        </w:rPr>
      </w:pPr>
      <w:r>
        <w:t>(</w:t>
      </w:r>
      <w:r w:rsidR="002E753E" w:rsidRPr="00FD7A98">
        <w:t>13)</w:t>
      </w:r>
      <w:r>
        <w:t> </w:t>
      </w:r>
      <w:r w:rsidR="002E753E" w:rsidRPr="00FD7A98">
        <w:t xml:space="preserve">1.3 В примечании первое предложение изменить следующим образом: </w:t>
      </w:r>
      <w:r w:rsidR="00403BFC">
        <w:t>«</w:t>
      </w:r>
      <w:r w:rsidR="002E753E" w:rsidRPr="00FD7A98">
        <w:rPr>
          <w:i/>
          <w:iCs/>
        </w:rPr>
        <w:t xml:space="preserve">Настоящее положение считается выполненным, если была произведена переоценка баллона </w:t>
      </w:r>
      <w:r w:rsidR="002E753E" w:rsidRPr="00FD7A98">
        <w:rPr>
          <w:i/>
          <w:iCs/>
          <w:u w:val="single"/>
        </w:rPr>
        <w:t>или трубки</w:t>
      </w:r>
      <w:r w:rsidR="002E753E" w:rsidRPr="00FD7A98">
        <w:rPr>
          <w:i/>
          <w:iCs/>
        </w:rPr>
        <w:t>...</w:t>
      </w:r>
      <w:r w:rsidR="00403BFC" w:rsidRPr="00403BFC">
        <w:rPr>
          <w:iCs/>
        </w:rPr>
        <w:t>»</w:t>
      </w:r>
      <w:r w:rsidR="002E753E" w:rsidRPr="00FD7A98">
        <w:t>.</w:t>
      </w:r>
    </w:p>
    <w:p w14:paraId="7D8C5361" w14:textId="6FC5B449" w:rsidR="002E753E" w:rsidRPr="00FD7A98" w:rsidRDefault="002E753E" w:rsidP="002E753E">
      <w:pPr>
        <w:pStyle w:val="SingleTxtG"/>
        <w:rPr>
          <w:rFonts w:eastAsia="SimSun"/>
          <w:iCs/>
        </w:rPr>
      </w:pPr>
      <w:r w:rsidRPr="00FD7A98">
        <w:t>(13)</w:t>
      </w:r>
      <w:r w:rsidR="00C77D75">
        <w:t> </w:t>
      </w:r>
      <w:r w:rsidRPr="00FD7A98">
        <w:t xml:space="preserve">1.3 В первом предложении заменить </w:t>
      </w:r>
      <w:r w:rsidR="00403BFC">
        <w:t>«</w:t>
      </w:r>
      <w:r w:rsidRPr="00FD7A98">
        <w:t>Для баллонов и связок баллонов</w:t>
      </w:r>
      <w:r w:rsidR="00403BFC">
        <w:t>»</w:t>
      </w:r>
      <w:r w:rsidRPr="00FD7A98">
        <w:t xml:space="preserve"> на </w:t>
      </w:r>
      <w:r w:rsidR="00403BFC">
        <w:t>«</w:t>
      </w:r>
      <w:r w:rsidRPr="00FD7A98">
        <w:t>Для</w:t>
      </w:r>
      <w:r w:rsidR="004E573F">
        <w:rPr>
          <w:lang w:val="en-US"/>
        </w:rPr>
        <w:t> </w:t>
      </w:r>
      <w:r w:rsidRPr="00FD7A98">
        <w:t xml:space="preserve">баллонов, связок баллонов </w:t>
      </w:r>
      <w:r w:rsidRPr="00FD7A98">
        <w:rPr>
          <w:u w:val="single"/>
        </w:rPr>
        <w:t>и трубок</w:t>
      </w:r>
      <w:r w:rsidR="00403BFC">
        <w:rPr>
          <w:u w:val="single"/>
        </w:rPr>
        <w:t>»</w:t>
      </w:r>
      <w:r w:rsidRPr="00FD7A98">
        <w:t>.</w:t>
      </w:r>
    </w:p>
    <w:p w14:paraId="0B67A847" w14:textId="40B81B4E" w:rsidR="002E753E" w:rsidRPr="00FD7A98" w:rsidRDefault="002E753E" w:rsidP="002E753E">
      <w:pPr>
        <w:pStyle w:val="SingleTxtG"/>
        <w:rPr>
          <w:rFonts w:eastAsia="SimSun"/>
        </w:rPr>
      </w:pPr>
      <w:r w:rsidRPr="00FD7A98">
        <w:t>(13)</w:t>
      </w:r>
      <w:r w:rsidR="00C77D75">
        <w:t> </w:t>
      </w:r>
      <w:r w:rsidRPr="00FD7A98">
        <w:t xml:space="preserve">1.4 В первом предложении заменить </w:t>
      </w:r>
      <w:r w:rsidR="00403BFC">
        <w:t>«</w:t>
      </w:r>
      <w:r w:rsidRPr="00FD7A98">
        <w:t>Связки баллонов должны быть сконструированы так, чтобы контакт между баллонами по продольной оси</w:t>
      </w:r>
      <w:r w:rsidR="00403BFC">
        <w:t>»</w:t>
      </w:r>
      <w:r w:rsidRPr="00FD7A98">
        <w:t xml:space="preserve"> на </w:t>
      </w:r>
      <w:r w:rsidR="00403BFC">
        <w:t>«</w:t>
      </w:r>
      <w:r w:rsidRPr="00FD7A98">
        <w:t xml:space="preserve">Связки баллонов </w:t>
      </w:r>
      <w:r w:rsidRPr="00FD7A98">
        <w:rPr>
          <w:u w:val="single"/>
        </w:rPr>
        <w:t>и транспортные средства-батареи</w:t>
      </w:r>
      <w:r w:rsidRPr="005A1905">
        <w:t xml:space="preserve"> </w:t>
      </w:r>
      <w:r w:rsidRPr="00FD7A98">
        <w:t xml:space="preserve">должны быть сконструированы так, чтобы контакт между баллонами </w:t>
      </w:r>
      <w:r w:rsidRPr="00FD7A98">
        <w:rPr>
          <w:u w:val="single"/>
        </w:rPr>
        <w:t xml:space="preserve">или трубками </w:t>
      </w:r>
      <w:r w:rsidRPr="00FD7A98">
        <w:t>по продольной оси</w:t>
      </w:r>
      <w:r w:rsidR="00403BFC">
        <w:t>»</w:t>
      </w:r>
      <w:r w:rsidRPr="00FD7A98">
        <w:t>.</w:t>
      </w:r>
    </w:p>
    <w:p w14:paraId="22AF5EF9" w14:textId="586B0998" w:rsidR="002E753E" w:rsidRPr="00FD7A98" w:rsidRDefault="002E753E" w:rsidP="002E753E">
      <w:pPr>
        <w:pStyle w:val="SingleTxtG"/>
        <w:rPr>
          <w:rFonts w:eastAsia="SimSun"/>
        </w:rPr>
      </w:pPr>
      <w:r w:rsidRPr="00FD7A98">
        <w:t>(13)</w:t>
      </w:r>
      <w:r w:rsidR="00C77D75">
        <w:t> </w:t>
      </w:r>
      <w:r w:rsidRPr="00FD7A98">
        <w:t xml:space="preserve">1.4 В конце второго предложения заменить </w:t>
      </w:r>
      <w:r w:rsidR="00403BFC">
        <w:t>«</w:t>
      </w:r>
      <w:r w:rsidRPr="00FD7A98">
        <w:t>баллоны</w:t>
      </w:r>
      <w:r w:rsidR="00403BFC">
        <w:t>»</w:t>
      </w:r>
      <w:r w:rsidRPr="00FD7A98">
        <w:t xml:space="preserve"> на </w:t>
      </w:r>
      <w:r w:rsidR="00403BFC">
        <w:t>«</w:t>
      </w:r>
      <w:r w:rsidRPr="00FD7A98">
        <w:t xml:space="preserve">баллоны </w:t>
      </w:r>
      <w:r w:rsidRPr="00FD7A98">
        <w:rPr>
          <w:u w:val="single"/>
        </w:rPr>
        <w:t>или трубки</w:t>
      </w:r>
      <w:r w:rsidR="00403BFC" w:rsidRPr="00403BFC">
        <w:t>»</w:t>
      </w:r>
      <w:r w:rsidRPr="00FD7A98">
        <w:t>.</w:t>
      </w:r>
    </w:p>
    <w:p w14:paraId="3CDB2C42" w14:textId="2E3803FC" w:rsidR="002E753E" w:rsidRPr="00FD7A98" w:rsidRDefault="002E753E" w:rsidP="002E753E">
      <w:pPr>
        <w:pStyle w:val="SingleTxtG"/>
        <w:rPr>
          <w:rFonts w:eastAsia="SimSun"/>
        </w:rPr>
      </w:pPr>
      <w:r w:rsidRPr="00FD7A98">
        <w:t>(13)</w:t>
      </w:r>
      <w:r w:rsidR="00C77D75">
        <w:t> </w:t>
      </w:r>
      <w:r w:rsidRPr="00FD7A98">
        <w:t xml:space="preserve">1.5 В первом предложении заменить </w:t>
      </w:r>
      <w:r w:rsidR="00403BFC">
        <w:t>«</w:t>
      </w:r>
      <w:r w:rsidRPr="00FD7A98">
        <w:t>что баллоны удовлетворяют</w:t>
      </w:r>
      <w:r w:rsidR="00403BFC">
        <w:t>»</w:t>
      </w:r>
      <w:r w:rsidRPr="00FD7A98">
        <w:t xml:space="preserve"> на </w:t>
      </w:r>
      <w:r w:rsidR="00403BFC">
        <w:t>«</w:t>
      </w:r>
      <w:r w:rsidRPr="00FD7A98">
        <w:t xml:space="preserve">что баллоны </w:t>
      </w:r>
      <w:r w:rsidRPr="00FD7A98">
        <w:rPr>
          <w:u w:val="single"/>
        </w:rPr>
        <w:t>и трубки</w:t>
      </w:r>
      <w:r w:rsidRPr="00FD7A98">
        <w:t xml:space="preserve"> удовлетворяют</w:t>
      </w:r>
      <w:r w:rsidR="00403BFC">
        <w:t>»</w:t>
      </w:r>
      <w:r w:rsidRPr="00FD7A98">
        <w:t>.</w:t>
      </w:r>
    </w:p>
    <w:p w14:paraId="3F3DA37D" w14:textId="00CDB758" w:rsidR="002E753E" w:rsidRPr="00FD7A98" w:rsidRDefault="002E753E" w:rsidP="002E753E">
      <w:pPr>
        <w:pStyle w:val="SingleTxtG"/>
        <w:rPr>
          <w:rFonts w:eastAsia="SimSun"/>
        </w:rPr>
      </w:pPr>
      <w:r w:rsidRPr="00FD7A98">
        <w:t>(13)</w:t>
      </w:r>
      <w:r w:rsidR="00C77D75">
        <w:t> </w:t>
      </w:r>
      <w:r w:rsidRPr="00FD7A98">
        <w:t xml:space="preserve">1.6 Во втором предложении заменить </w:t>
      </w:r>
      <w:r w:rsidR="00403BFC">
        <w:t>«</w:t>
      </w:r>
      <w:r w:rsidRPr="00FD7A98">
        <w:t>периодических проверок баллонов или связок баллонов</w:t>
      </w:r>
      <w:r w:rsidR="00403BFC">
        <w:t>»</w:t>
      </w:r>
      <w:r w:rsidRPr="00FD7A98">
        <w:t xml:space="preserve"> на </w:t>
      </w:r>
      <w:r w:rsidR="00403BFC">
        <w:t>«</w:t>
      </w:r>
      <w:r w:rsidRPr="00FD7A98">
        <w:t xml:space="preserve">периодических проверок баллонов, связок баллонов </w:t>
      </w:r>
      <w:r w:rsidRPr="00FD7A98">
        <w:rPr>
          <w:u w:val="single"/>
        </w:rPr>
        <w:t>или транспортных средств-батарей</w:t>
      </w:r>
      <w:r w:rsidR="00403BFC">
        <w:t>»</w:t>
      </w:r>
      <w:r w:rsidRPr="00FD7A98">
        <w:t xml:space="preserve">. </w:t>
      </w:r>
    </w:p>
    <w:p w14:paraId="3AB5BF23" w14:textId="51BEE1F5" w:rsidR="002E753E" w:rsidRPr="00FD7A98" w:rsidRDefault="002E753E" w:rsidP="00154FCB">
      <w:pPr>
        <w:pStyle w:val="SingleTxtG"/>
        <w:rPr>
          <w:rFonts w:eastAsia="SimSun"/>
        </w:rPr>
      </w:pPr>
      <w:r w:rsidRPr="00FD7A98">
        <w:t>(13)</w:t>
      </w:r>
      <w:r w:rsidR="00C77D75">
        <w:t> </w:t>
      </w:r>
      <w:r w:rsidRPr="00FD7A98">
        <w:t xml:space="preserve">1.6 В последнем предложении заменить </w:t>
      </w:r>
      <w:r w:rsidR="00403BFC">
        <w:t>«</w:t>
      </w:r>
      <w:r w:rsidRPr="00FD7A98">
        <w:t xml:space="preserve">в течение всего срока действия разрешения на проведение проверок </w:t>
      </w:r>
      <w:r w:rsidRPr="00154FCB">
        <w:t>баллонов</w:t>
      </w:r>
      <w:r w:rsidR="005A1905">
        <w:t>»</w:t>
      </w:r>
      <w:r w:rsidRPr="00FD7A98">
        <w:t xml:space="preserve"> на </w:t>
      </w:r>
      <w:r w:rsidR="005A1905">
        <w:t>«</w:t>
      </w:r>
      <w:r w:rsidRPr="00FD7A98">
        <w:t xml:space="preserve">в течение всего срока действия разрешения на проведение проверок баллонов </w:t>
      </w:r>
      <w:r w:rsidRPr="00FD7A98">
        <w:rPr>
          <w:u w:val="single"/>
        </w:rPr>
        <w:t>или трубок</w:t>
      </w:r>
      <w:r w:rsidR="005A1905">
        <w:t>»</w:t>
      </w:r>
      <w:r w:rsidRPr="00FD7A98">
        <w:t>.</w:t>
      </w:r>
    </w:p>
    <w:p w14:paraId="69727B8D" w14:textId="79E6B4CB" w:rsidR="002E753E" w:rsidRPr="00FD7A98" w:rsidRDefault="002E753E" w:rsidP="002E753E">
      <w:pPr>
        <w:pStyle w:val="SingleTxtG"/>
        <w:rPr>
          <w:rFonts w:eastAsia="SimSun"/>
          <w:i/>
          <w:iCs/>
        </w:rPr>
      </w:pPr>
      <w:r w:rsidRPr="00FD7A98">
        <w:lastRenderedPageBreak/>
        <w:t>(13</w:t>
      </w:r>
      <w:r w:rsidR="004E573F" w:rsidRPr="004E573F">
        <w:t>)</w:t>
      </w:r>
      <w:r w:rsidR="00C77D75">
        <w:t> </w:t>
      </w:r>
      <w:r w:rsidRPr="00FD7A98">
        <w:t xml:space="preserve">1.6 ПРИМЕЧАНИЕ В первом предложении заменить </w:t>
      </w:r>
      <w:r w:rsidR="005A1905">
        <w:t>«</w:t>
      </w:r>
      <w:r w:rsidRPr="00FD7A98">
        <w:rPr>
          <w:i/>
          <w:iCs/>
        </w:rPr>
        <w:t>Группа баллонов определяется по датам изготовления идентичных баллонов за период,</w:t>
      </w:r>
      <w:r w:rsidR="005A1905" w:rsidRPr="005A1905">
        <w:rPr>
          <w:iCs/>
        </w:rPr>
        <w:t>»</w:t>
      </w:r>
      <w:r w:rsidRPr="00FD7A98">
        <w:t xml:space="preserve"> на </w:t>
      </w:r>
      <w:r w:rsidR="005A1905">
        <w:t>«</w:t>
      </w:r>
      <w:r w:rsidRPr="00FD7A98">
        <w:rPr>
          <w:i/>
          <w:iCs/>
        </w:rPr>
        <w:t xml:space="preserve">Группа баллонов </w:t>
      </w:r>
      <w:r w:rsidRPr="00FD7A98">
        <w:rPr>
          <w:i/>
          <w:iCs/>
          <w:u w:val="single"/>
        </w:rPr>
        <w:t xml:space="preserve">или трубок </w:t>
      </w:r>
      <w:r w:rsidRPr="00FD7A98">
        <w:rPr>
          <w:i/>
          <w:iCs/>
        </w:rPr>
        <w:t xml:space="preserve">определяется по датам изготовления идентичных баллонов </w:t>
      </w:r>
      <w:r w:rsidRPr="00FD7A98">
        <w:rPr>
          <w:i/>
          <w:iCs/>
          <w:u w:val="single"/>
        </w:rPr>
        <w:t>или трубок</w:t>
      </w:r>
      <w:r w:rsidRPr="00154FCB">
        <w:rPr>
          <w:i/>
          <w:iCs/>
        </w:rPr>
        <w:t xml:space="preserve"> </w:t>
      </w:r>
      <w:r w:rsidRPr="00FD7A98">
        <w:rPr>
          <w:i/>
          <w:iCs/>
        </w:rPr>
        <w:t>за период,</w:t>
      </w:r>
      <w:r w:rsidR="005A1905" w:rsidRPr="005A1905">
        <w:rPr>
          <w:iCs/>
        </w:rPr>
        <w:t>»</w:t>
      </w:r>
      <w:r w:rsidRPr="00FD7A98">
        <w:t>.</w:t>
      </w:r>
    </w:p>
    <w:p w14:paraId="67FAC841" w14:textId="77777777" w:rsidR="002E753E" w:rsidRPr="00FD7A98" w:rsidRDefault="002E753E" w:rsidP="00154FCB">
      <w:pPr>
        <w:pStyle w:val="SingleTxtG"/>
      </w:pPr>
      <w:r w:rsidRPr="00FD7A98">
        <w:t xml:space="preserve">(13) 2.1 В первом предложении заменить </w:t>
      </w:r>
      <w:r w:rsidR="005A1905">
        <w:t>«</w:t>
      </w:r>
      <w:r w:rsidRPr="00FD7A98">
        <w:t>Баллоны или связки таких баллонов, для которых установлен</w:t>
      </w:r>
      <w:r w:rsidR="005A1905">
        <w:t>»</w:t>
      </w:r>
      <w:r w:rsidRPr="00FD7A98">
        <w:t xml:space="preserve"> на </w:t>
      </w:r>
      <w:r w:rsidR="005A1905">
        <w:t>«</w:t>
      </w:r>
      <w:r w:rsidRPr="00FD7A98">
        <w:t xml:space="preserve">Баллоны, связки таких баллонов </w:t>
      </w:r>
      <w:r w:rsidRPr="00FD7A98">
        <w:rPr>
          <w:u w:val="single"/>
        </w:rPr>
        <w:t>или транспортные средства-батареи</w:t>
      </w:r>
      <w:r w:rsidRPr="00FD7A98">
        <w:t>, для которых установлен</w:t>
      </w:r>
      <w:r w:rsidR="005A1905">
        <w:t>»</w:t>
      </w:r>
      <w:r w:rsidRPr="00FD7A98">
        <w:t xml:space="preserve"> и </w:t>
      </w:r>
      <w:r w:rsidR="005A1905">
        <w:t>«</w:t>
      </w:r>
      <w:r w:rsidRPr="00FD7A98">
        <w:t>EN ISO 24431:2016, EN 13365:2002, в зависимости от обстоятельств</w:t>
      </w:r>
      <w:r w:rsidR="005A1905">
        <w:t>»</w:t>
      </w:r>
      <w:r w:rsidRPr="00FD7A98">
        <w:t xml:space="preserve"> на </w:t>
      </w:r>
      <w:r w:rsidR="005A1905">
        <w:t>«</w:t>
      </w:r>
      <w:r w:rsidRPr="00FD7A98">
        <w:t xml:space="preserve">EN ISO 24431:2016, EN 13365:2002 </w:t>
      </w:r>
      <w:r w:rsidRPr="00FD7A98">
        <w:rPr>
          <w:u w:val="single"/>
        </w:rPr>
        <w:t>или</w:t>
      </w:r>
      <w:r w:rsidR="00154FCB">
        <w:rPr>
          <w:u w:val="single"/>
        </w:rPr>
        <w:br/>
      </w:r>
      <w:r w:rsidRPr="00FD7A98">
        <w:rPr>
          <w:u w:val="single"/>
        </w:rPr>
        <w:t>EN 13385:2002</w:t>
      </w:r>
      <w:r w:rsidRPr="00FD7A98">
        <w:t>, в зависимости от обстоятельств</w:t>
      </w:r>
      <w:r w:rsidR="005A1905">
        <w:t>»</w:t>
      </w:r>
      <w:r w:rsidRPr="00FD7A98">
        <w:t>.</w:t>
      </w:r>
    </w:p>
    <w:p w14:paraId="1AE1655E" w14:textId="77777777" w:rsidR="002E753E" w:rsidRPr="00FD7A98" w:rsidRDefault="002E753E" w:rsidP="00154FCB">
      <w:pPr>
        <w:pStyle w:val="SingleTxtG"/>
      </w:pPr>
      <w:r w:rsidRPr="00FD7A98">
        <w:t xml:space="preserve">(13) 2.1 В последнем предложении заменить </w:t>
      </w:r>
      <w:r w:rsidR="005A1905">
        <w:t>«</w:t>
      </w:r>
      <w:r w:rsidRPr="00FD7A98">
        <w:t xml:space="preserve">процесс наполнения </w:t>
      </w:r>
      <w:r w:rsidRPr="00154FCB">
        <w:t>применительно</w:t>
      </w:r>
      <w:r w:rsidRPr="00FD7A98">
        <w:t xml:space="preserve"> к баллонам, связкам баллонов и вентилям.</w:t>
      </w:r>
      <w:r w:rsidR="005A1905">
        <w:t>»</w:t>
      </w:r>
      <w:r w:rsidRPr="00FD7A98">
        <w:t xml:space="preserve"> на </w:t>
      </w:r>
      <w:r w:rsidR="005A1905">
        <w:t>«</w:t>
      </w:r>
      <w:r w:rsidRPr="00FD7A98">
        <w:t>процесс наполнения применительно к баллонам, связкам баллонов</w:t>
      </w:r>
      <w:r>
        <w:t>,</w:t>
      </w:r>
      <w:r w:rsidRPr="00FD7A98">
        <w:t xml:space="preserve"> </w:t>
      </w:r>
      <w:r w:rsidRPr="00FD7A98">
        <w:rPr>
          <w:u w:val="single"/>
        </w:rPr>
        <w:t>транспортным средствам-батареям</w:t>
      </w:r>
      <w:r w:rsidRPr="00FD7A98">
        <w:t xml:space="preserve"> и вентилям.</w:t>
      </w:r>
      <w:r w:rsidR="005A1905">
        <w:t>»</w:t>
      </w:r>
      <w:r w:rsidRPr="00FD7A98">
        <w:t>.</w:t>
      </w:r>
    </w:p>
    <w:p w14:paraId="53FA955F" w14:textId="7FD8FE6E" w:rsidR="002E753E" w:rsidRPr="00FD7A98" w:rsidRDefault="002E753E" w:rsidP="00154FCB">
      <w:pPr>
        <w:pStyle w:val="SingleTxtG"/>
        <w:rPr>
          <w:rFonts w:eastAsia="SimSun"/>
        </w:rPr>
      </w:pPr>
      <w:r w:rsidRPr="00FD7A98">
        <w:t>(13)</w:t>
      </w:r>
      <w:r w:rsidR="00C77D75">
        <w:t> </w:t>
      </w:r>
      <w:r w:rsidRPr="00FD7A98">
        <w:t xml:space="preserve">2.4 В первом предложении заменить </w:t>
      </w:r>
      <w:r w:rsidR="005A1905">
        <w:t>«</w:t>
      </w:r>
      <w:r w:rsidRPr="00FD7A98">
        <w:t>баллоны или связки баллонов должны наполняться</w:t>
      </w:r>
      <w:r w:rsidR="005A1905">
        <w:t>»</w:t>
      </w:r>
      <w:r w:rsidRPr="00FD7A98">
        <w:t xml:space="preserve"> на </w:t>
      </w:r>
      <w:r w:rsidR="005A1905">
        <w:t>«</w:t>
      </w:r>
      <w:r w:rsidRPr="00FD7A98">
        <w:t xml:space="preserve">баллоны, </w:t>
      </w:r>
      <w:r w:rsidRPr="00FD7A98">
        <w:rPr>
          <w:strike/>
        </w:rPr>
        <w:t xml:space="preserve">или </w:t>
      </w:r>
      <w:r w:rsidRPr="00FD7A98">
        <w:t xml:space="preserve">связки баллонов </w:t>
      </w:r>
      <w:r w:rsidRPr="00FD7A98">
        <w:rPr>
          <w:u w:val="single"/>
        </w:rPr>
        <w:t>или транспортные средства-батареи</w:t>
      </w:r>
      <w:r w:rsidRPr="00FD7A98">
        <w:t xml:space="preserve"> должны наполняться</w:t>
      </w:r>
      <w:r w:rsidR="005A1905">
        <w:t>»</w:t>
      </w:r>
      <w:r w:rsidRPr="00FD7A98">
        <w:t>.</w:t>
      </w:r>
    </w:p>
    <w:p w14:paraId="4F414FA0" w14:textId="77777777" w:rsidR="002E753E" w:rsidRPr="00FD7A98" w:rsidRDefault="002E753E" w:rsidP="002E753E">
      <w:pPr>
        <w:pStyle w:val="SingleTxtG"/>
        <w:spacing w:before="120" w:line="240" w:lineRule="auto"/>
        <w:ind w:right="884"/>
        <w:rPr>
          <w:rFonts w:eastAsia="SimSun"/>
        </w:rPr>
      </w:pPr>
      <w:r w:rsidRPr="00FD7A98">
        <w:t>Вставить новый пункт 2.5</w:t>
      </w:r>
    </w:p>
    <w:p w14:paraId="17989F78" w14:textId="77777777" w:rsidR="002E753E" w:rsidRPr="00FD7A98" w:rsidRDefault="002E753E" w:rsidP="005A1905">
      <w:pPr>
        <w:spacing w:before="120" w:after="120" w:line="228" w:lineRule="auto"/>
        <w:ind w:left="1701" w:right="1134" w:hanging="567"/>
        <w:jc w:val="both"/>
        <w:rPr>
          <w:rFonts w:eastAsia="SimSun"/>
          <w:bCs/>
          <w:u w:val="single"/>
        </w:rPr>
      </w:pPr>
      <w:r w:rsidRPr="00154FCB">
        <w:rPr>
          <w:u w:val="single"/>
        </w:rPr>
        <w:t>2.5</w:t>
      </w:r>
      <w:r w:rsidRPr="00154FCB">
        <w:rPr>
          <w:u w:val="single"/>
        </w:rPr>
        <w:tab/>
      </w:r>
      <w:r w:rsidRPr="00FD7A98">
        <w:rPr>
          <w:u w:val="single"/>
        </w:rPr>
        <w:t>Транспортные средства-батареи, для которых был установлен 15-летний инте</w:t>
      </w:r>
      <w:r w:rsidR="005A1905">
        <w:rPr>
          <w:u w:val="single"/>
        </w:rPr>
        <w:t>рвал</w:t>
      </w:r>
      <w:r w:rsidRPr="00FD7A98">
        <w:rPr>
          <w:u w:val="single"/>
        </w:rPr>
        <w:t xml:space="preserve"> между периодическими проверками, должны проверяться перед каждым наполнением в соответствии с документированной процедурой, которая должна включать по меньшей мере следующее:</w:t>
      </w:r>
    </w:p>
    <w:p w14:paraId="552A791D" w14:textId="77777777" w:rsidR="002E753E" w:rsidRPr="005A1905" w:rsidRDefault="002E753E" w:rsidP="005A1905">
      <w:pPr>
        <w:pStyle w:val="Bullet1G"/>
        <w:rPr>
          <w:rFonts w:eastAsia="SimSun"/>
          <w:bCs/>
          <w:u w:val="single"/>
        </w:rPr>
      </w:pPr>
      <w:r w:rsidRPr="005A1905">
        <w:rPr>
          <w:u w:val="single"/>
        </w:rPr>
        <w:t>проверку остаточного давления;</w:t>
      </w:r>
    </w:p>
    <w:p w14:paraId="5975220E" w14:textId="77777777" w:rsidR="002E753E" w:rsidRPr="005A1905" w:rsidRDefault="002E753E" w:rsidP="005A1905">
      <w:pPr>
        <w:pStyle w:val="Bullet1G"/>
        <w:rPr>
          <w:rFonts w:eastAsia="SimSun"/>
          <w:u w:val="single"/>
        </w:rPr>
      </w:pPr>
      <w:r w:rsidRPr="005A1905">
        <w:rPr>
          <w:u w:val="single"/>
        </w:rPr>
        <w:t>при наличии остаточного давления транспортное средство-батарея может наполняться;</w:t>
      </w:r>
    </w:p>
    <w:p w14:paraId="7DA848BA" w14:textId="77777777" w:rsidR="002E753E" w:rsidRPr="005A1905" w:rsidRDefault="002E753E" w:rsidP="005A1905">
      <w:pPr>
        <w:pStyle w:val="Bullet1G"/>
        <w:rPr>
          <w:rFonts w:eastAsia="SimSun"/>
          <w:u w:val="single"/>
        </w:rPr>
      </w:pPr>
      <w:r w:rsidRPr="005A1905">
        <w:rPr>
          <w:u w:val="single"/>
        </w:rPr>
        <w:t>если проверка показывает, что транспортное средство-батарея не имеет остаточного давления, должна быть проведена проверка внутреннего состояния элементов транспортного средства-батареи для выявления загрязнения:</w:t>
      </w:r>
    </w:p>
    <w:p w14:paraId="3BFAF903" w14:textId="77777777" w:rsidR="002E753E" w:rsidRPr="005A1905" w:rsidRDefault="002E753E" w:rsidP="005A1905">
      <w:pPr>
        <w:pStyle w:val="Bullet1G"/>
        <w:rPr>
          <w:rFonts w:eastAsia="SimSun"/>
          <w:u w:val="single"/>
        </w:rPr>
      </w:pPr>
      <w:r w:rsidRPr="005A1905">
        <w:rPr>
          <w:u w:val="single"/>
        </w:rPr>
        <w:t>если загрязнение не выявлено, транспортное средство-батарея может наполняться;</w:t>
      </w:r>
    </w:p>
    <w:p w14:paraId="262FC23B" w14:textId="77777777" w:rsidR="002E753E" w:rsidRPr="00FD7A98" w:rsidRDefault="002E753E" w:rsidP="002E753E">
      <w:pPr>
        <w:pStyle w:val="SingleTxtG"/>
        <w:spacing w:before="120"/>
        <w:ind w:left="1418" w:hanging="284"/>
        <w:rPr>
          <w:rFonts w:eastAsia="SimSun"/>
        </w:rPr>
      </w:pPr>
      <w:r w:rsidRPr="00FD7A98">
        <w:rPr>
          <w:u w:val="single"/>
        </w:rPr>
        <w:t>если выявлено загрязнение, должны быть приняты меры по его устранению.</w:t>
      </w:r>
    </w:p>
    <w:p w14:paraId="113B189E" w14:textId="77777777" w:rsidR="002E753E" w:rsidRPr="00FD7A98" w:rsidRDefault="002E753E" w:rsidP="002E753E">
      <w:pPr>
        <w:spacing w:before="120" w:after="120"/>
        <w:ind w:left="1134" w:right="1134"/>
        <w:jc w:val="both"/>
        <w:rPr>
          <w:rFonts w:eastAsia="SimSun"/>
        </w:rPr>
      </w:pPr>
      <w:r w:rsidRPr="00FD7A98">
        <w:t xml:space="preserve">(13) 2.5 Заменить </w:t>
      </w:r>
      <w:r w:rsidR="005A1905">
        <w:t>«</w:t>
      </w:r>
      <w:r w:rsidRPr="00FD7A98">
        <w:t>требований пунктов 2.1</w:t>
      </w:r>
      <w:r w:rsidR="005A1905">
        <w:t>–</w:t>
      </w:r>
      <w:r w:rsidRPr="00FD7A98">
        <w:t>2.4</w:t>
      </w:r>
      <w:r w:rsidR="005A1905">
        <w:t xml:space="preserve">» </w:t>
      </w:r>
      <w:r w:rsidRPr="00FD7A98">
        <w:t xml:space="preserve">на </w:t>
      </w:r>
      <w:r w:rsidR="005A1905">
        <w:t>«</w:t>
      </w:r>
      <w:r w:rsidRPr="00FD7A98">
        <w:t>требований пунктов 2.1</w:t>
      </w:r>
      <w:r w:rsidR="00154FCB">
        <w:t>–</w:t>
      </w:r>
      <w:r w:rsidRPr="00FD7A98">
        <w:rPr>
          <w:strike/>
        </w:rPr>
        <w:t xml:space="preserve">2.4 </w:t>
      </w:r>
      <w:r w:rsidRPr="00FD7A98">
        <w:rPr>
          <w:u w:val="single"/>
        </w:rPr>
        <w:t>2.5</w:t>
      </w:r>
      <w:r w:rsidR="005A1905">
        <w:t>»</w:t>
      </w:r>
      <w:r w:rsidRPr="00FD7A98">
        <w:t>.</w:t>
      </w:r>
    </w:p>
    <w:p w14:paraId="232C2E4E" w14:textId="77777777" w:rsidR="002E753E" w:rsidRPr="00FD7A98" w:rsidRDefault="002E753E" w:rsidP="002E753E">
      <w:pPr>
        <w:pStyle w:val="SingleTxtG"/>
        <w:spacing w:before="120"/>
        <w:rPr>
          <w:rFonts w:eastAsia="SimSun"/>
        </w:rPr>
      </w:pPr>
      <w:r w:rsidRPr="00FD7A98">
        <w:t>Изменить номера пунктов 2.5 на 2.6 и 2.6 на 2.7.</w:t>
      </w:r>
    </w:p>
    <w:p w14:paraId="70F9360F" w14:textId="77777777" w:rsidR="002E753E" w:rsidRPr="00FD7A98" w:rsidRDefault="002E753E" w:rsidP="002E753E">
      <w:pPr>
        <w:spacing w:before="120" w:after="120"/>
        <w:ind w:left="1134" w:right="1134"/>
        <w:jc w:val="both"/>
        <w:rPr>
          <w:rFonts w:eastAsia="SimSun"/>
        </w:rPr>
      </w:pPr>
      <w:r w:rsidRPr="00FD7A98">
        <w:t xml:space="preserve">(13) 3.1 Заменить </w:t>
      </w:r>
      <w:r w:rsidR="005A1905">
        <w:t>«</w:t>
      </w:r>
      <w:r w:rsidRPr="00FD7A98">
        <w:t>Для уже используемых баллонов или связок баллонов</w:t>
      </w:r>
      <w:r w:rsidR="005A1905">
        <w:t>»</w:t>
      </w:r>
      <w:r w:rsidRPr="00FD7A98">
        <w:t xml:space="preserve"> на </w:t>
      </w:r>
      <w:r w:rsidR="005A1905">
        <w:t>«</w:t>
      </w:r>
      <w:r w:rsidRPr="00FD7A98">
        <w:t xml:space="preserve">Для уже используемых </w:t>
      </w:r>
      <w:r w:rsidRPr="00FD7A98">
        <w:rPr>
          <w:u w:val="single"/>
        </w:rPr>
        <w:t xml:space="preserve">баллонов, связок </w:t>
      </w:r>
      <w:r w:rsidRPr="00FD7A98">
        <w:t xml:space="preserve">баллонов </w:t>
      </w:r>
      <w:r w:rsidRPr="00FD7A98">
        <w:rPr>
          <w:u w:val="single"/>
        </w:rPr>
        <w:t>и транспортных средств-батарей</w:t>
      </w:r>
      <w:r w:rsidR="005A1905" w:rsidRPr="005A1905">
        <w:t>»</w:t>
      </w:r>
      <w:r w:rsidRPr="00FD7A98">
        <w:t>.</w:t>
      </w:r>
    </w:p>
    <w:p w14:paraId="239BC17B" w14:textId="5D161220" w:rsidR="002E753E" w:rsidRPr="00FD7A98" w:rsidRDefault="002E753E" w:rsidP="002E753E">
      <w:pPr>
        <w:spacing w:before="120" w:after="120"/>
        <w:ind w:left="1134" w:right="1134"/>
        <w:jc w:val="both"/>
      </w:pPr>
      <w:r w:rsidRPr="00FD7A98">
        <w:t>(13)</w:t>
      </w:r>
      <w:r w:rsidR="00C77D75">
        <w:t> </w:t>
      </w:r>
      <w:r w:rsidRPr="00FD7A98">
        <w:t xml:space="preserve">3.1 Вставить </w:t>
      </w:r>
      <w:r>
        <w:t xml:space="preserve">следующее </w:t>
      </w:r>
      <w:r w:rsidRPr="00FD7A98">
        <w:t>новое предложение в конце пункта 3.1</w:t>
      </w:r>
      <w:r>
        <w:t>:</w:t>
      </w:r>
      <w:r w:rsidRPr="00FD7A98">
        <w:t xml:space="preserve"> </w:t>
      </w:r>
      <w:r w:rsidR="005A1905">
        <w:t>«</w:t>
      </w:r>
      <w:r w:rsidRPr="001A65E2">
        <w:rPr>
          <w:u w:val="single"/>
        </w:rPr>
        <w:t>В случае транспортных средств-батарей должны иметься документальные свидетельства того, что остаточное давление во всех элементах постоянно поддерживается</w:t>
      </w:r>
      <w:r w:rsidR="005A1905">
        <w:t>»</w:t>
      </w:r>
      <w:r w:rsidRPr="00FD7A98">
        <w:t>.</w:t>
      </w:r>
    </w:p>
    <w:p w14:paraId="295A520B" w14:textId="77777777" w:rsidR="002E753E" w:rsidRPr="00FD7A98" w:rsidRDefault="002E753E" w:rsidP="002E753E">
      <w:pPr>
        <w:spacing w:before="120" w:after="120"/>
        <w:ind w:left="1134" w:right="1134"/>
        <w:jc w:val="both"/>
      </w:pPr>
      <w:r w:rsidRPr="00FD7A98">
        <w:t xml:space="preserve">(13) 3.2 В первом предложении заменить </w:t>
      </w:r>
      <w:r w:rsidR="005A1905">
        <w:t>«</w:t>
      </w:r>
      <w:r w:rsidRPr="00FD7A98">
        <w:t>Если баллон, подвергающийся проверкам с 15-летней периодичностью</w:t>
      </w:r>
      <w:r w:rsidR="005A1905">
        <w:t>»</w:t>
      </w:r>
      <w:r w:rsidRPr="00FD7A98">
        <w:t xml:space="preserve"> на </w:t>
      </w:r>
      <w:r w:rsidR="005A1905">
        <w:t>«</w:t>
      </w:r>
      <w:r w:rsidRPr="00FD7A98">
        <w:t xml:space="preserve">Если баллон </w:t>
      </w:r>
      <w:r w:rsidRPr="00FD7A98">
        <w:rPr>
          <w:u w:val="single"/>
        </w:rPr>
        <w:t>или трубка</w:t>
      </w:r>
      <w:r w:rsidRPr="00FD7A98">
        <w:t>, подвергающиеся проверкам с 15-летней периодичностью</w:t>
      </w:r>
      <w:r w:rsidR="005A1905">
        <w:t>»</w:t>
      </w:r>
      <w:r w:rsidRPr="00FD7A98">
        <w:t xml:space="preserve"> и </w:t>
      </w:r>
      <w:r w:rsidR="005A1905">
        <w:t>«</w:t>
      </w:r>
      <w:r w:rsidRPr="00FD7A98">
        <w:t>повреждены ли другие баллоны (например, относящиеся к тому же типу или той же группе)</w:t>
      </w:r>
      <w:r w:rsidR="005A1905">
        <w:t>»</w:t>
      </w:r>
      <w:r w:rsidRPr="00FD7A98">
        <w:t xml:space="preserve"> на </w:t>
      </w:r>
      <w:r w:rsidR="005A1905">
        <w:t>«</w:t>
      </w:r>
      <w:r w:rsidRPr="00FD7A98">
        <w:t xml:space="preserve">повреждены ли другие баллоны </w:t>
      </w:r>
      <w:r w:rsidRPr="00FD7A98">
        <w:rPr>
          <w:u w:val="single"/>
        </w:rPr>
        <w:t>или трубки</w:t>
      </w:r>
      <w:r w:rsidRPr="00154FCB">
        <w:t xml:space="preserve"> </w:t>
      </w:r>
      <w:r w:rsidRPr="00FD7A98">
        <w:t>(например, относящиеся к тому же типу или той же группе)</w:t>
      </w:r>
      <w:r w:rsidR="005A1905">
        <w:t>»</w:t>
      </w:r>
      <w:r w:rsidRPr="00FD7A98">
        <w:t>.</w:t>
      </w:r>
    </w:p>
    <w:p w14:paraId="090A38FB" w14:textId="40A72B12" w:rsidR="002E753E" w:rsidRPr="00FD7A98" w:rsidRDefault="002E753E" w:rsidP="002E753E">
      <w:pPr>
        <w:spacing w:before="120" w:after="120"/>
        <w:ind w:left="1134" w:right="1134"/>
        <w:jc w:val="both"/>
      </w:pPr>
      <w:r w:rsidRPr="00FD7A98">
        <w:t>(13)</w:t>
      </w:r>
      <w:r w:rsidR="00C77D75">
        <w:t> </w:t>
      </w:r>
      <w:r w:rsidRPr="00FD7A98">
        <w:t xml:space="preserve">3.3 В первом предложении заменить </w:t>
      </w:r>
      <w:r w:rsidR="005A1905">
        <w:t>«</w:t>
      </w:r>
      <w:r w:rsidRPr="00FD7A98">
        <w:t>Если выявлена внутренняя коррозия и другие дефекты, определенные в стандартах по периодической проверке, на которые сделаны ссылки в разделе 6.2.4, то баллон должен быть изъят из эксплуатации</w:t>
      </w:r>
      <w:r w:rsidR="005A1905">
        <w:t>»</w:t>
      </w:r>
      <w:r w:rsidRPr="00FD7A98">
        <w:t xml:space="preserve"> на </w:t>
      </w:r>
      <w:r w:rsidR="005A1905">
        <w:t>«</w:t>
      </w:r>
      <w:r w:rsidRPr="00FD7A98">
        <w:t xml:space="preserve">Если выявлена внутренняя коррозия и другие дефекты, определенные в стандартах по периодической проверке, на которые сделаны ссылки в разделе 6.2.4, то баллон </w:t>
      </w:r>
      <w:r w:rsidRPr="00FD7A98">
        <w:rPr>
          <w:u w:val="single"/>
        </w:rPr>
        <w:t>или трубка</w:t>
      </w:r>
      <w:r w:rsidRPr="00154FCB">
        <w:t xml:space="preserve"> </w:t>
      </w:r>
      <w:r w:rsidRPr="00FD7A98">
        <w:t>должны быть изъяты из эксплуатации</w:t>
      </w:r>
      <w:r w:rsidR="005A1905">
        <w:t>»</w:t>
      </w:r>
      <w:r w:rsidRPr="00FD7A98">
        <w:t>.</w:t>
      </w:r>
    </w:p>
    <w:p w14:paraId="6838A583" w14:textId="77777777" w:rsidR="002E753E" w:rsidRPr="00FD7A98" w:rsidRDefault="002E753E" w:rsidP="002E753E">
      <w:pPr>
        <w:spacing w:before="120" w:after="120"/>
        <w:ind w:left="1134" w:right="1134"/>
        <w:jc w:val="both"/>
      </w:pPr>
      <w:r w:rsidRPr="00FD7A98">
        <w:t xml:space="preserve">Добавить </w:t>
      </w:r>
      <w:r>
        <w:t xml:space="preserve">следующий </w:t>
      </w:r>
      <w:r w:rsidRPr="00FD7A98">
        <w:t>новый пункт 3.5</w:t>
      </w:r>
      <w:r>
        <w:t>:</w:t>
      </w:r>
      <w:r w:rsidRPr="00FD7A98">
        <w:t xml:space="preserve"> </w:t>
      </w:r>
      <w:r w:rsidR="005A1905">
        <w:t>«</w:t>
      </w:r>
      <w:r w:rsidRPr="00FD7A98">
        <w:rPr>
          <w:u w:val="single"/>
        </w:rPr>
        <w:t>Вентили, установленные на транспортных средствах-батареях, для которых предусмотрена 15-летняя периодичность проведения проверок, могут продолжать использоваться до следующей периодической проверки</w:t>
      </w:r>
      <w:r w:rsidR="005A1905">
        <w:t>»</w:t>
      </w:r>
      <w:r w:rsidRPr="00FD7A98">
        <w:t>.</w:t>
      </w:r>
    </w:p>
    <w:p w14:paraId="6032727F" w14:textId="1512C7D7" w:rsidR="002E753E" w:rsidRPr="00FD7A98" w:rsidRDefault="002E753E" w:rsidP="002E753E">
      <w:pPr>
        <w:spacing w:before="120" w:after="120"/>
        <w:ind w:left="1134" w:right="1134"/>
        <w:jc w:val="both"/>
        <w:rPr>
          <w:rFonts w:eastAsia="SimSun"/>
        </w:rPr>
      </w:pPr>
      <w:r w:rsidRPr="00FD7A98">
        <w:lastRenderedPageBreak/>
        <w:t>(13)</w:t>
      </w:r>
      <w:r w:rsidR="00C77D75">
        <w:t> </w:t>
      </w:r>
      <w:r w:rsidRPr="00FD7A98">
        <w:t>4.</w:t>
      </w:r>
      <w:r w:rsidR="00C77D75">
        <w:rPr>
          <w:lang w:val="en-US"/>
        </w:rPr>
        <w:t> </w:t>
      </w:r>
      <w:r w:rsidRPr="00FD7A98">
        <w:t xml:space="preserve">В первом предложении заменить </w:t>
      </w:r>
      <w:r w:rsidR="005A1905">
        <w:t>«</w:t>
      </w:r>
      <w:r w:rsidRPr="00FD7A98">
        <w:t>На баллоны или связки баллонов, для которых установлена</w:t>
      </w:r>
      <w:r w:rsidR="005A1905">
        <w:t>»</w:t>
      </w:r>
      <w:r w:rsidRPr="00FD7A98">
        <w:t xml:space="preserve"> на </w:t>
      </w:r>
      <w:r w:rsidR="005A1905">
        <w:t>«</w:t>
      </w:r>
      <w:r w:rsidRPr="00FD7A98">
        <w:t xml:space="preserve">На баллоны, </w:t>
      </w:r>
      <w:r w:rsidRPr="00FD7A98">
        <w:rPr>
          <w:strike/>
        </w:rPr>
        <w:t>или</w:t>
      </w:r>
      <w:r w:rsidRPr="00154FCB">
        <w:t xml:space="preserve"> </w:t>
      </w:r>
      <w:r w:rsidRPr="00FD7A98">
        <w:t>связки баллонов и элементы транспортных средств-батарей, для которых установлена</w:t>
      </w:r>
      <w:r w:rsidR="005A1905">
        <w:t>»</w:t>
      </w:r>
      <w:r w:rsidRPr="00FD7A98">
        <w:t>.</w:t>
      </w:r>
    </w:p>
    <w:p w14:paraId="0A5F5F29" w14:textId="72679C97" w:rsidR="002E753E" w:rsidRPr="00FD7A98" w:rsidRDefault="002E753E" w:rsidP="002E753E">
      <w:pPr>
        <w:pStyle w:val="SingleTxtG"/>
        <w:spacing w:before="120"/>
        <w:rPr>
          <w:rFonts w:eastAsia="SimSun"/>
        </w:rPr>
      </w:pPr>
      <w:r w:rsidRPr="00FD7A98">
        <w:t>(13)</w:t>
      </w:r>
      <w:r w:rsidR="00C77D75">
        <w:t> </w:t>
      </w:r>
      <w:r w:rsidRPr="00FD7A98">
        <w:t>4</w:t>
      </w:r>
      <w:r w:rsidR="00C77D75" w:rsidRPr="00C77D75">
        <w:t>.</w:t>
      </w:r>
      <w:r w:rsidR="00C77D75">
        <w:rPr>
          <w:lang w:val="en-US"/>
        </w:rPr>
        <w:t> </w:t>
      </w:r>
      <w:r w:rsidRPr="00FD7A98">
        <w:t xml:space="preserve">Добавить новое второе предложение следующего содержания: </w:t>
      </w:r>
      <w:r w:rsidR="005A1905">
        <w:br/>
        <w:t>«</w:t>
      </w:r>
      <w:r w:rsidRPr="00FD7A98">
        <w:rPr>
          <w:u w:val="single"/>
        </w:rPr>
        <w:t>На транспортные средства-батареи на металлической табличке транспортного средства-батареи, предписанной в пункте 6.8.3.5.10, должен дополнительно наноситься маркировочный знак "P15Y"</w:t>
      </w:r>
      <w:r w:rsidR="005A1905" w:rsidRPr="005A1905">
        <w:t>»</w:t>
      </w:r>
      <w:r w:rsidRPr="00FD7A98">
        <w:t>.</w:t>
      </w:r>
    </w:p>
    <w:p w14:paraId="07D26663" w14:textId="69F6E199" w:rsidR="002E753E" w:rsidRPr="00FD7A98" w:rsidRDefault="002E753E" w:rsidP="002E753E">
      <w:pPr>
        <w:pStyle w:val="SingleTxtG"/>
        <w:spacing w:before="120"/>
        <w:rPr>
          <w:rFonts w:eastAsia="SimSun"/>
        </w:rPr>
      </w:pPr>
      <w:r w:rsidRPr="00FD7A98">
        <w:t>(13)</w:t>
      </w:r>
      <w:r w:rsidR="00962D67">
        <w:rPr>
          <w:lang w:val="en-US"/>
        </w:rPr>
        <w:t> </w:t>
      </w:r>
      <w:r w:rsidRPr="00FD7A98">
        <w:t>4</w:t>
      </w:r>
      <w:r w:rsidR="00C77D75" w:rsidRPr="00C77D75">
        <w:t>.</w:t>
      </w:r>
      <w:r w:rsidR="00962D67">
        <w:rPr>
          <w:lang w:val="en-US"/>
        </w:rPr>
        <w:t> </w:t>
      </w:r>
      <w:r w:rsidRPr="00FD7A98">
        <w:t xml:space="preserve">В последнем предложении заменить </w:t>
      </w:r>
      <w:r w:rsidR="005A1905">
        <w:t>«</w:t>
      </w:r>
      <w:r w:rsidRPr="00FD7A98">
        <w:t>если для данного баллона или данной связки баллонов более не разрешается</w:t>
      </w:r>
      <w:r w:rsidR="005A1905">
        <w:t>»</w:t>
      </w:r>
      <w:r w:rsidRPr="00FD7A98">
        <w:t xml:space="preserve"> на </w:t>
      </w:r>
      <w:r w:rsidR="005A1905">
        <w:t>«</w:t>
      </w:r>
      <w:r w:rsidRPr="00FD7A98">
        <w:t xml:space="preserve">если для данного баллона, </w:t>
      </w:r>
      <w:r w:rsidRPr="00FD7A98">
        <w:rPr>
          <w:strike/>
        </w:rPr>
        <w:t>или</w:t>
      </w:r>
      <w:r w:rsidRPr="00154FCB">
        <w:t xml:space="preserve"> </w:t>
      </w:r>
      <w:r w:rsidRPr="00FD7A98">
        <w:t xml:space="preserve">данной связки баллонов </w:t>
      </w:r>
      <w:r w:rsidRPr="00FD7A98">
        <w:rPr>
          <w:u w:val="single"/>
        </w:rPr>
        <w:t>или транспортного средства-батареи</w:t>
      </w:r>
      <w:r w:rsidRPr="00FD7A98">
        <w:t xml:space="preserve"> более не разрешается</w:t>
      </w:r>
      <w:r w:rsidR="005A1905">
        <w:t>»</w:t>
      </w:r>
      <w:r w:rsidRPr="00FD7A98">
        <w:t>.</w:t>
      </w:r>
    </w:p>
    <w:p w14:paraId="2DAEAA2D" w14:textId="77777777" w:rsidR="002E753E" w:rsidRPr="00FD7A98" w:rsidRDefault="002E753E" w:rsidP="002E753E">
      <w:pPr>
        <w:spacing w:before="120" w:after="120"/>
        <w:ind w:left="1134" w:right="1134"/>
        <w:jc w:val="both"/>
      </w:pPr>
      <w:r w:rsidRPr="00FD7A98">
        <w:t xml:space="preserve">Внести в таблицу 1 следующие изменения: для сжатых газов в ИНСТРУКЦИИ ПО УПАКОВКЕ P200 добавить </w:t>
      </w:r>
      <w:r w:rsidR="005A1905">
        <w:t>«</w:t>
      </w:r>
      <w:r w:rsidRPr="00FD7A98">
        <w:t>vb</w:t>
      </w:r>
      <w:r w:rsidR="005A1905">
        <w:t>»</w:t>
      </w:r>
      <w:r w:rsidRPr="00FD7A98">
        <w:t xml:space="preserve"> в колонку </w:t>
      </w:r>
      <w:r w:rsidR="005A1905">
        <w:t>«</w:t>
      </w:r>
      <w:r w:rsidRPr="00FD7A98">
        <w:t>Специальные положения по упаковке</w:t>
      </w:r>
      <w:r w:rsidR="005A1905">
        <w:t>»</w:t>
      </w:r>
      <w:r w:rsidRPr="00FD7A98">
        <w:t xml:space="preserve"> для № ООН 1046 ГЕЛИЙ СЖАТЫЙ и № ООН 1049 ВОДОРОД СЖАТЫЙ.</w:t>
      </w:r>
    </w:p>
    <w:p w14:paraId="20C33B65" w14:textId="77777777" w:rsidR="002E753E" w:rsidRPr="00FD7A98" w:rsidRDefault="002E753E" w:rsidP="00C77D75">
      <w:pPr>
        <w:spacing w:before="120"/>
        <w:jc w:val="center"/>
        <w:rPr>
          <w:u w:val="single"/>
        </w:rPr>
      </w:pPr>
      <w:r w:rsidRPr="00FD7A98">
        <w:rPr>
          <w:u w:val="single"/>
        </w:rPr>
        <w:t>Добавление 1 Примеры транспортных средств-батарей</w:t>
      </w:r>
    </w:p>
    <w:p w14:paraId="7CCA4A42" w14:textId="77777777" w:rsidR="002E753E" w:rsidRPr="00FD7A98" w:rsidRDefault="002E753E" w:rsidP="002E753E">
      <w:pPr>
        <w:spacing w:before="240"/>
        <w:jc w:val="center"/>
        <w:rPr>
          <w:u w:val="single"/>
        </w:rPr>
      </w:pPr>
      <w:r w:rsidRPr="00FD7A98">
        <w:rPr>
          <w:noProof/>
          <w:u w:val="single"/>
          <w:lang w:val="en-US"/>
        </w:rPr>
        <w:drawing>
          <wp:inline distT="0" distB="0" distL="0" distR="0" wp14:anchorId="6B8F69DE" wp14:editId="4911FEA6">
            <wp:extent cx="3543300" cy="2655255"/>
            <wp:effectExtent l="0" t="0" r="0" b="0"/>
            <wp:docPr id="4" name="Picture 4" descr="Tube Tra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be Trail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297" cy="26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EBB59" w14:textId="3CB7E8D8" w:rsidR="002E753E" w:rsidRPr="00FD7A98" w:rsidRDefault="002E753E" w:rsidP="00FD6789">
      <w:pPr>
        <w:suppressAutoHyphens w:val="0"/>
        <w:spacing w:before="120" w:line="240" w:lineRule="auto"/>
        <w:jc w:val="center"/>
        <w:rPr>
          <w:u w:val="single"/>
        </w:rPr>
      </w:pPr>
      <w:r w:rsidRPr="00FD7A98">
        <w:rPr>
          <w:u w:val="single"/>
        </w:rPr>
        <w:t xml:space="preserve">Транспортное средство-батарея, сконструированное </w:t>
      </w:r>
      <w:r w:rsidR="00FD6789">
        <w:rPr>
          <w:u w:val="single"/>
        </w:rPr>
        <w:br/>
      </w:r>
      <w:r w:rsidRPr="00FD7A98">
        <w:rPr>
          <w:u w:val="single"/>
        </w:rPr>
        <w:t>с использованием бесшовных стальных трубок</w:t>
      </w:r>
    </w:p>
    <w:p w14:paraId="32E63B0C" w14:textId="77777777" w:rsidR="002E753E" w:rsidRPr="00FD7A98" w:rsidRDefault="002E753E" w:rsidP="002E753E">
      <w:pPr>
        <w:spacing w:before="240"/>
        <w:jc w:val="center"/>
        <w:rPr>
          <w:u w:val="single"/>
        </w:rPr>
      </w:pPr>
      <w:r w:rsidRPr="00FD7A98">
        <w:rPr>
          <w:noProof/>
          <w:u w:val="single"/>
          <w:lang w:val="en-US"/>
        </w:rPr>
        <w:drawing>
          <wp:inline distT="0" distB="0" distL="0" distR="0" wp14:anchorId="03248508" wp14:editId="1D745D85">
            <wp:extent cx="3543300" cy="2661839"/>
            <wp:effectExtent l="0" t="0" r="0" b="5715"/>
            <wp:docPr id="5" name="Picture 3" descr="Battery veh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ttery vehic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171" cy="267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3FC8C" w14:textId="2BB38EDE" w:rsidR="002E753E" w:rsidRPr="00FD7A98" w:rsidRDefault="002E753E" w:rsidP="00347CFD">
      <w:pPr>
        <w:spacing w:before="120" w:after="80"/>
        <w:jc w:val="center"/>
        <w:rPr>
          <w:u w:val="single"/>
        </w:rPr>
      </w:pPr>
      <w:r w:rsidRPr="00FD7A98">
        <w:rPr>
          <w:u w:val="single"/>
        </w:rPr>
        <w:t xml:space="preserve">Транспортное средство-батарея, сконструированное </w:t>
      </w:r>
      <w:r w:rsidR="00FD6789">
        <w:rPr>
          <w:u w:val="single"/>
        </w:rPr>
        <w:br/>
      </w:r>
      <w:r w:rsidRPr="00FD7A98">
        <w:rPr>
          <w:u w:val="single"/>
        </w:rPr>
        <w:t>с использованием бесшовных стальных баллонов</w:t>
      </w:r>
    </w:p>
    <w:p w14:paraId="292EC2E4" w14:textId="5115F1E5" w:rsidR="00E12C5F" w:rsidRPr="008D53B6" w:rsidRDefault="002E753E" w:rsidP="00347CFD">
      <w:pPr>
        <w:spacing w:line="220" w:lineRule="atLeast"/>
        <w:jc w:val="center"/>
      </w:pPr>
      <w:r w:rsidRPr="00FD7A98">
        <w:rPr>
          <w:u w:val="single"/>
        </w:rPr>
        <w:tab/>
      </w:r>
      <w:r w:rsidRPr="00FD7A98">
        <w:rPr>
          <w:u w:val="single"/>
        </w:rPr>
        <w:tab/>
      </w:r>
      <w:r w:rsidRPr="00FD7A98">
        <w:rPr>
          <w:u w:val="single"/>
        </w:rPr>
        <w:tab/>
      </w:r>
    </w:p>
    <w:sectPr w:rsidR="00E12C5F" w:rsidRPr="008D53B6" w:rsidSect="002E753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F8418" w14:textId="77777777" w:rsidR="00FF0F5C" w:rsidRPr="00A312BC" w:rsidRDefault="00FF0F5C" w:rsidP="00A312BC"/>
  </w:endnote>
  <w:endnote w:type="continuationSeparator" w:id="0">
    <w:p w14:paraId="5056DC91" w14:textId="77777777" w:rsidR="00FF0F5C" w:rsidRPr="00A312BC" w:rsidRDefault="00FF0F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64ED" w14:textId="174369D9" w:rsidR="002E753E" w:rsidRPr="002E753E" w:rsidRDefault="002E753E">
    <w:pPr>
      <w:pStyle w:val="Footer"/>
    </w:pPr>
    <w:r w:rsidRPr="002E753E">
      <w:rPr>
        <w:b/>
        <w:sz w:val="18"/>
      </w:rPr>
      <w:fldChar w:fldCharType="begin"/>
    </w:r>
    <w:r w:rsidRPr="002E753E">
      <w:rPr>
        <w:b/>
        <w:sz w:val="18"/>
      </w:rPr>
      <w:instrText xml:space="preserve"> PAGE  \* MERGEFORMAT </w:instrText>
    </w:r>
    <w:r w:rsidRPr="002E753E">
      <w:rPr>
        <w:b/>
        <w:sz w:val="18"/>
      </w:rPr>
      <w:fldChar w:fldCharType="separate"/>
    </w:r>
    <w:r w:rsidR="00477098">
      <w:rPr>
        <w:b/>
        <w:noProof/>
        <w:sz w:val="18"/>
      </w:rPr>
      <w:t>4</w:t>
    </w:r>
    <w:r w:rsidRPr="002E753E">
      <w:rPr>
        <w:b/>
        <w:sz w:val="18"/>
      </w:rPr>
      <w:fldChar w:fldCharType="end"/>
    </w:r>
    <w:r>
      <w:rPr>
        <w:b/>
        <w:sz w:val="18"/>
      </w:rPr>
      <w:tab/>
    </w:r>
    <w:r>
      <w:t>GE.19-21809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AB021" w14:textId="20DBDF45" w:rsidR="002E753E" w:rsidRPr="002E753E" w:rsidRDefault="002E753E" w:rsidP="002E753E">
    <w:pPr>
      <w:pStyle w:val="Footer"/>
      <w:tabs>
        <w:tab w:val="clear" w:pos="9639"/>
        <w:tab w:val="right" w:pos="9638"/>
      </w:tabs>
      <w:rPr>
        <w:b/>
        <w:sz w:val="18"/>
      </w:rPr>
    </w:pPr>
    <w:r>
      <w:t>GE.19-21809</w:t>
    </w:r>
    <w:r>
      <w:tab/>
    </w:r>
    <w:r w:rsidRPr="002E753E">
      <w:rPr>
        <w:b/>
        <w:sz w:val="18"/>
      </w:rPr>
      <w:fldChar w:fldCharType="begin"/>
    </w:r>
    <w:r w:rsidRPr="002E753E">
      <w:rPr>
        <w:b/>
        <w:sz w:val="18"/>
      </w:rPr>
      <w:instrText xml:space="preserve"> PAGE  \* MERGEFORMAT </w:instrText>
    </w:r>
    <w:r w:rsidRPr="002E753E">
      <w:rPr>
        <w:b/>
        <w:sz w:val="18"/>
      </w:rPr>
      <w:fldChar w:fldCharType="separate"/>
    </w:r>
    <w:r w:rsidR="00477098">
      <w:rPr>
        <w:b/>
        <w:noProof/>
        <w:sz w:val="18"/>
      </w:rPr>
      <w:t>7</w:t>
    </w:r>
    <w:r w:rsidRPr="002E75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E000E" w14:textId="218AB386" w:rsidR="00042B72" w:rsidRPr="002E753E" w:rsidRDefault="002E753E" w:rsidP="002E753E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2E4670EA" wp14:editId="5F66880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19-21809  (R)</w:t>
    </w:r>
    <w:r>
      <w:rPr>
        <w:lang w:val="en-US"/>
      </w:rPr>
      <w:t xml:space="preserve">  0</w:t>
    </w:r>
    <w:r w:rsidR="00205F04">
      <w:rPr>
        <w:lang w:val="en-US"/>
      </w:rPr>
      <w:t>9</w:t>
    </w:r>
    <w:r>
      <w:rPr>
        <w:lang w:val="en-US"/>
      </w:rPr>
      <w:t>0120  0</w:t>
    </w:r>
    <w:r w:rsidR="00205F04">
      <w:rPr>
        <w:lang w:val="en-US"/>
      </w:rPr>
      <w:t>9</w:t>
    </w:r>
    <w:r>
      <w:rPr>
        <w:lang w:val="en-US"/>
      </w:rPr>
      <w:t>0120</w:t>
    </w:r>
    <w:r>
      <w:br/>
    </w:r>
    <w:r w:rsidRPr="002E753E">
      <w:rPr>
        <w:rFonts w:ascii="C39T30Lfz" w:hAnsi="C39T30Lfz"/>
        <w:kern w:val="14"/>
        <w:sz w:val="56"/>
      </w:rPr>
      <w:t></w:t>
    </w:r>
    <w:r w:rsidRPr="002E753E">
      <w:rPr>
        <w:rFonts w:ascii="C39T30Lfz" w:hAnsi="C39T30Lfz"/>
        <w:kern w:val="14"/>
        <w:sz w:val="56"/>
      </w:rPr>
      <w:t></w:t>
    </w:r>
    <w:r w:rsidRPr="002E753E">
      <w:rPr>
        <w:rFonts w:ascii="C39T30Lfz" w:hAnsi="C39T30Lfz"/>
        <w:kern w:val="14"/>
        <w:sz w:val="56"/>
      </w:rPr>
      <w:t></w:t>
    </w:r>
    <w:r w:rsidRPr="002E753E">
      <w:rPr>
        <w:rFonts w:ascii="C39T30Lfz" w:hAnsi="C39T30Lfz"/>
        <w:kern w:val="14"/>
        <w:sz w:val="56"/>
      </w:rPr>
      <w:t></w:t>
    </w:r>
    <w:r w:rsidRPr="002E753E">
      <w:rPr>
        <w:rFonts w:ascii="C39T30Lfz" w:hAnsi="C39T30Lfz"/>
        <w:kern w:val="14"/>
        <w:sz w:val="56"/>
      </w:rPr>
      <w:t></w:t>
    </w:r>
    <w:r w:rsidRPr="002E753E">
      <w:rPr>
        <w:rFonts w:ascii="C39T30Lfz" w:hAnsi="C39T30Lfz"/>
        <w:kern w:val="14"/>
        <w:sz w:val="56"/>
      </w:rPr>
      <w:t></w:t>
    </w:r>
    <w:r w:rsidRPr="002E753E">
      <w:rPr>
        <w:rFonts w:ascii="C39T30Lfz" w:hAnsi="C39T30Lfz"/>
        <w:kern w:val="14"/>
        <w:sz w:val="56"/>
      </w:rPr>
      <w:t></w:t>
    </w:r>
    <w:r w:rsidRPr="002E753E">
      <w:rPr>
        <w:rFonts w:ascii="C39T30Lfz" w:hAnsi="C39T30Lfz"/>
        <w:kern w:val="14"/>
        <w:sz w:val="56"/>
      </w:rPr>
      <w:t></w:t>
    </w:r>
    <w:r w:rsidRPr="002E753E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E70CF8" wp14:editId="47E9724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F061B" w14:textId="77777777" w:rsidR="00FF0F5C" w:rsidRPr="001075E9" w:rsidRDefault="00FF0F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538967" w14:textId="77777777" w:rsidR="00FF0F5C" w:rsidRDefault="00FF0F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D265CF" w14:textId="77777777" w:rsidR="002E753E" w:rsidRPr="005732AF" w:rsidRDefault="002E753E" w:rsidP="002E753E">
      <w:pPr>
        <w:pStyle w:val="FootnoteText"/>
        <w:rPr>
          <w:sz w:val="20"/>
        </w:rPr>
      </w:pPr>
      <w:r>
        <w:tab/>
      </w:r>
      <w:r w:rsidRPr="002B055B">
        <w:rPr>
          <w:sz w:val="20"/>
        </w:rPr>
        <w:t>*</w:t>
      </w:r>
      <w:r>
        <w:tab/>
      </w:r>
      <w:r>
        <w:tab/>
        <w:t>В соответствии с программой работы Комитета по внутреннему транспорту на 2018–2019 годы (ECE/TRANS/WP.15/237, приложение V (9.2)).</w:t>
      </w:r>
    </w:p>
  </w:footnote>
  <w:footnote w:id="2">
    <w:p w14:paraId="5F98A9BD" w14:textId="77777777" w:rsidR="002E753E" w:rsidRPr="005732AF" w:rsidRDefault="002E753E" w:rsidP="002E753E">
      <w:pPr>
        <w:pStyle w:val="FootnoteText"/>
        <w:rPr>
          <w:sz w:val="20"/>
        </w:rPr>
      </w:pPr>
      <w:r>
        <w:tab/>
      </w:r>
      <w:r w:rsidRPr="002B055B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3AC9" w14:textId="1B095F97" w:rsidR="002E753E" w:rsidRPr="002E753E" w:rsidRDefault="008578B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77098">
      <w:t>ECE/TRANS/WP.15/AC.1/2020/9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C0C5A" w14:textId="3EA5E9DE" w:rsidR="002E753E" w:rsidRPr="002E753E" w:rsidRDefault="008578B9" w:rsidP="002E753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77098">
      <w:t>ECE/TRANS/WP.15/AC.1/2020/9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1DB05E9"/>
    <w:multiLevelType w:val="hybridMultilevel"/>
    <w:tmpl w:val="F8B28BB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7700DF60">
      <w:numFmt w:val="bullet"/>
      <w:lvlText w:val="-"/>
      <w:lvlJc w:val="left"/>
      <w:pPr>
        <w:ind w:left="2739" w:hanging="525"/>
      </w:pPr>
      <w:rPr>
        <w:rFonts w:ascii="Times New Roman" w:eastAsia="SimSu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7F11905"/>
    <w:multiLevelType w:val="hybridMultilevel"/>
    <w:tmpl w:val="764CAFB6"/>
    <w:lvl w:ilvl="0" w:tplc="1000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1" w:tplc="1000000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2" w:tplc="100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77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49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215" w:hanging="360"/>
      </w:pPr>
      <w:rPr>
        <w:rFonts w:ascii="Wingdings" w:hAnsi="Wingdings" w:hint="default"/>
      </w:rPr>
    </w:lvl>
  </w:abstractNum>
  <w:abstractNum w:abstractNumId="21" w15:restartNumberingAfterBreak="0">
    <w:nsid w:val="7DD64BAD"/>
    <w:multiLevelType w:val="hybridMultilevel"/>
    <w:tmpl w:val="A5FAD816"/>
    <w:lvl w:ilvl="0" w:tplc="AC360BD0">
      <w:start w:val="1"/>
      <w:numFmt w:val="lowerLetter"/>
      <w:lvlText w:val="%1)"/>
      <w:lvlJc w:val="left"/>
      <w:pPr>
        <w:ind w:left="204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9" w:hanging="360"/>
      </w:pPr>
    </w:lvl>
    <w:lvl w:ilvl="2" w:tplc="1000001B" w:tentative="1">
      <w:start w:val="1"/>
      <w:numFmt w:val="lowerRoman"/>
      <w:lvlText w:val="%3."/>
      <w:lvlJc w:val="right"/>
      <w:pPr>
        <w:ind w:left="3489" w:hanging="180"/>
      </w:pPr>
    </w:lvl>
    <w:lvl w:ilvl="3" w:tplc="1000000F" w:tentative="1">
      <w:start w:val="1"/>
      <w:numFmt w:val="decimal"/>
      <w:lvlText w:val="%4."/>
      <w:lvlJc w:val="left"/>
      <w:pPr>
        <w:ind w:left="4209" w:hanging="360"/>
      </w:pPr>
    </w:lvl>
    <w:lvl w:ilvl="4" w:tplc="10000019" w:tentative="1">
      <w:start w:val="1"/>
      <w:numFmt w:val="lowerLetter"/>
      <w:lvlText w:val="%5."/>
      <w:lvlJc w:val="left"/>
      <w:pPr>
        <w:ind w:left="4929" w:hanging="360"/>
      </w:pPr>
    </w:lvl>
    <w:lvl w:ilvl="5" w:tplc="1000001B" w:tentative="1">
      <w:start w:val="1"/>
      <w:numFmt w:val="lowerRoman"/>
      <w:lvlText w:val="%6."/>
      <w:lvlJc w:val="right"/>
      <w:pPr>
        <w:ind w:left="5649" w:hanging="180"/>
      </w:pPr>
    </w:lvl>
    <w:lvl w:ilvl="6" w:tplc="1000000F" w:tentative="1">
      <w:start w:val="1"/>
      <w:numFmt w:val="decimal"/>
      <w:lvlText w:val="%7."/>
      <w:lvlJc w:val="left"/>
      <w:pPr>
        <w:ind w:left="6369" w:hanging="360"/>
      </w:pPr>
    </w:lvl>
    <w:lvl w:ilvl="7" w:tplc="10000019" w:tentative="1">
      <w:start w:val="1"/>
      <w:numFmt w:val="lowerLetter"/>
      <w:lvlText w:val="%8."/>
      <w:lvlJc w:val="left"/>
      <w:pPr>
        <w:ind w:left="7089" w:hanging="360"/>
      </w:pPr>
    </w:lvl>
    <w:lvl w:ilvl="8" w:tplc="1000001B" w:tentative="1">
      <w:start w:val="1"/>
      <w:numFmt w:val="lowerRoman"/>
      <w:lvlText w:val="%9."/>
      <w:lvlJc w:val="right"/>
      <w:pPr>
        <w:ind w:left="7809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0"/>
  </w:num>
  <w:num w:numId="23">
    <w:abstractNumId w:val="12"/>
    <w:lvlOverride w:ilvl="0">
      <w:lvl w:ilvl="0" w:tplc="08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 w:numId="24">
    <w:abstractNumId w:val="20"/>
    <w:lvlOverride w:ilvl="1">
      <w:lvl w:ilvl="1" w:tplc="10000001">
        <w:start w:val="1"/>
        <w:numFmt w:val="bullet"/>
        <w:lvlText w:val=""/>
        <w:lvlJc w:val="left"/>
        <w:pPr>
          <w:ind w:left="3175" w:hanging="360"/>
        </w:pPr>
        <w:rPr>
          <w:rFonts w:ascii="Symbol" w:hAnsi="Symbol" w:hint="default"/>
        </w:rPr>
      </w:lvl>
    </w:lvlOverride>
  </w:num>
  <w:num w:numId="25">
    <w:abstractNumId w:val="21"/>
    <w:lvlOverride w:ilvl="0">
      <w:lvl w:ilvl="0" w:tplc="AC360BD0">
        <w:start w:val="1"/>
        <w:numFmt w:val="lowerLetter"/>
        <w:lvlText w:val="%1)"/>
        <w:lvlJc w:val="left"/>
        <w:pPr>
          <w:ind w:left="2049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F5C"/>
    <w:rsid w:val="00033EE1"/>
    <w:rsid w:val="00042B72"/>
    <w:rsid w:val="000558BD"/>
    <w:rsid w:val="00062D2E"/>
    <w:rsid w:val="000B57E7"/>
    <w:rsid w:val="000B6373"/>
    <w:rsid w:val="000E4E5B"/>
    <w:rsid w:val="000F09DF"/>
    <w:rsid w:val="000F61B2"/>
    <w:rsid w:val="001075E9"/>
    <w:rsid w:val="0014152F"/>
    <w:rsid w:val="00154FCB"/>
    <w:rsid w:val="00180183"/>
    <w:rsid w:val="0018024D"/>
    <w:rsid w:val="0018649F"/>
    <w:rsid w:val="00196389"/>
    <w:rsid w:val="001B3EF6"/>
    <w:rsid w:val="001C7A89"/>
    <w:rsid w:val="00205F04"/>
    <w:rsid w:val="00255343"/>
    <w:rsid w:val="0027151D"/>
    <w:rsid w:val="002A2EFC"/>
    <w:rsid w:val="002B0106"/>
    <w:rsid w:val="002B055B"/>
    <w:rsid w:val="002B74B1"/>
    <w:rsid w:val="002C0E18"/>
    <w:rsid w:val="002D5AAC"/>
    <w:rsid w:val="002E5067"/>
    <w:rsid w:val="002E753E"/>
    <w:rsid w:val="002F405F"/>
    <w:rsid w:val="002F7EEC"/>
    <w:rsid w:val="00301299"/>
    <w:rsid w:val="00305C08"/>
    <w:rsid w:val="00307FB6"/>
    <w:rsid w:val="00317339"/>
    <w:rsid w:val="00322004"/>
    <w:rsid w:val="003402C2"/>
    <w:rsid w:val="00347CFD"/>
    <w:rsid w:val="00381C24"/>
    <w:rsid w:val="00387CD4"/>
    <w:rsid w:val="003958D0"/>
    <w:rsid w:val="003A0D43"/>
    <w:rsid w:val="003A48CE"/>
    <w:rsid w:val="003A7A95"/>
    <w:rsid w:val="003B00E5"/>
    <w:rsid w:val="003C3B3A"/>
    <w:rsid w:val="003E0B46"/>
    <w:rsid w:val="00403BFC"/>
    <w:rsid w:val="00407B78"/>
    <w:rsid w:val="00424203"/>
    <w:rsid w:val="00452493"/>
    <w:rsid w:val="00453318"/>
    <w:rsid w:val="00454AF2"/>
    <w:rsid w:val="00454E07"/>
    <w:rsid w:val="00472C5C"/>
    <w:rsid w:val="00477098"/>
    <w:rsid w:val="004E05B7"/>
    <w:rsid w:val="004E573F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1905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3FAD"/>
    <w:rsid w:val="006D461A"/>
    <w:rsid w:val="006F35EE"/>
    <w:rsid w:val="007021FF"/>
    <w:rsid w:val="00712895"/>
    <w:rsid w:val="007130C0"/>
    <w:rsid w:val="00734ACB"/>
    <w:rsid w:val="00744B14"/>
    <w:rsid w:val="00757357"/>
    <w:rsid w:val="00792497"/>
    <w:rsid w:val="00806737"/>
    <w:rsid w:val="00824588"/>
    <w:rsid w:val="00825F8D"/>
    <w:rsid w:val="00834B71"/>
    <w:rsid w:val="008578B9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61A9"/>
    <w:rsid w:val="00951972"/>
    <w:rsid w:val="009608F3"/>
    <w:rsid w:val="00962D67"/>
    <w:rsid w:val="00980A3E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536F"/>
    <w:rsid w:val="00AB4B51"/>
    <w:rsid w:val="00B10CC7"/>
    <w:rsid w:val="00B36DF7"/>
    <w:rsid w:val="00B539E7"/>
    <w:rsid w:val="00B62458"/>
    <w:rsid w:val="00B84C58"/>
    <w:rsid w:val="00BC18B2"/>
    <w:rsid w:val="00BD33EE"/>
    <w:rsid w:val="00BE1CC7"/>
    <w:rsid w:val="00C106D6"/>
    <w:rsid w:val="00C119AE"/>
    <w:rsid w:val="00C42A10"/>
    <w:rsid w:val="00C60F0C"/>
    <w:rsid w:val="00C62D78"/>
    <w:rsid w:val="00C71E84"/>
    <w:rsid w:val="00C77D75"/>
    <w:rsid w:val="00C805C9"/>
    <w:rsid w:val="00C92939"/>
    <w:rsid w:val="00C97ACF"/>
    <w:rsid w:val="00CA1679"/>
    <w:rsid w:val="00CB151C"/>
    <w:rsid w:val="00CE5A1A"/>
    <w:rsid w:val="00CF55F6"/>
    <w:rsid w:val="00D11AA3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75FDF"/>
    <w:rsid w:val="00EA2C9F"/>
    <w:rsid w:val="00EA420E"/>
    <w:rsid w:val="00EB349D"/>
    <w:rsid w:val="00ED0BDA"/>
    <w:rsid w:val="00EE142A"/>
    <w:rsid w:val="00EF1360"/>
    <w:rsid w:val="00EF3220"/>
    <w:rsid w:val="00F2523A"/>
    <w:rsid w:val="00F43903"/>
    <w:rsid w:val="00F8446D"/>
    <w:rsid w:val="00F94155"/>
    <w:rsid w:val="00F9783F"/>
    <w:rsid w:val="00FD2EF7"/>
    <w:rsid w:val="00FD6789"/>
    <w:rsid w:val="00FE447E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407FC0"/>
  <w15:docId w15:val="{2E784608-C7BC-43D5-8CF6-D2268D5E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uiPriority w:val="99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2E753E"/>
    <w:rPr>
      <w:lang w:val="ru-RU" w:eastAsia="en-US"/>
    </w:rPr>
  </w:style>
  <w:style w:type="paragraph" w:customStyle="1" w:styleId="ParNoG">
    <w:name w:val="_ParNo_G"/>
    <w:basedOn w:val="SingleTxtG"/>
    <w:qFormat/>
    <w:rsid w:val="002E753E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uiPriority w:val="99"/>
    <w:rsid w:val="002E753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2728</Words>
  <Characters>15551</Characters>
  <Application>Microsoft Office Word</Application>
  <DocSecurity>0</DocSecurity>
  <Lines>129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ECE/TRANS/WP.15/AC.1/2020/9</vt:lpstr>
      <vt:lpstr>ECE/TRANS/WP.15/AC.1/2020/9</vt:lpstr>
      <vt:lpstr>A/</vt:lpstr>
    </vt:vector>
  </TitlesOfParts>
  <Company>DCM</Company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ECE/TRANS/WP.15/AC.1/2020/9</dc:title>
  <dc:subject/>
  <dc:creator>Elena IZOTOVA</dc:creator>
  <cp:keywords/>
  <cp:lastModifiedBy>Christine Barrio-Champeau</cp:lastModifiedBy>
  <cp:revision>2</cp:revision>
  <cp:lastPrinted>2020-01-09T13:00:00Z</cp:lastPrinted>
  <dcterms:created xsi:type="dcterms:W3CDTF">2020-01-14T13:49:00Z</dcterms:created>
  <dcterms:modified xsi:type="dcterms:W3CDTF">2020-01-14T13:49:00Z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