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31BE75" w14:textId="77777777" w:rsidTr="00C97039">
        <w:trPr>
          <w:trHeight w:hRule="exact" w:val="851"/>
        </w:trPr>
        <w:tc>
          <w:tcPr>
            <w:tcW w:w="1276" w:type="dxa"/>
            <w:tcBorders>
              <w:bottom w:val="single" w:sz="4" w:space="0" w:color="auto"/>
            </w:tcBorders>
          </w:tcPr>
          <w:p w14:paraId="254B0628" w14:textId="77777777" w:rsidR="00F35BAF" w:rsidRPr="00DB58B5" w:rsidRDefault="00F35BAF" w:rsidP="006A356F">
            <w:bookmarkStart w:id="0" w:name="_GoBack"/>
            <w:bookmarkEnd w:id="0"/>
          </w:p>
        </w:tc>
        <w:tc>
          <w:tcPr>
            <w:tcW w:w="2268" w:type="dxa"/>
            <w:tcBorders>
              <w:bottom w:val="single" w:sz="4" w:space="0" w:color="auto"/>
            </w:tcBorders>
            <w:vAlign w:val="bottom"/>
          </w:tcPr>
          <w:p w14:paraId="4A37FCC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E94CBC" w14:textId="77777777" w:rsidR="00F35BAF" w:rsidRPr="00DB58B5" w:rsidRDefault="006A356F" w:rsidP="006A356F">
            <w:pPr>
              <w:jc w:val="right"/>
            </w:pPr>
            <w:r w:rsidRPr="006A356F">
              <w:rPr>
                <w:sz w:val="40"/>
              </w:rPr>
              <w:t>ECE</w:t>
            </w:r>
            <w:r>
              <w:t>/TRANS/WP.15/AC.1/2020/6</w:t>
            </w:r>
          </w:p>
        </w:tc>
      </w:tr>
      <w:tr w:rsidR="00F35BAF" w:rsidRPr="00DB58B5" w14:paraId="63F70619" w14:textId="77777777" w:rsidTr="00C97039">
        <w:trPr>
          <w:trHeight w:hRule="exact" w:val="2835"/>
        </w:trPr>
        <w:tc>
          <w:tcPr>
            <w:tcW w:w="1276" w:type="dxa"/>
            <w:tcBorders>
              <w:top w:val="single" w:sz="4" w:space="0" w:color="auto"/>
              <w:bottom w:val="single" w:sz="12" w:space="0" w:color="auto"/>
            </w:tcBorders>
          </w:tcPr>
          <w:p w14:paraId="1C647981" w14:textId="77777777" w:rsidR="00F35BAF" w:rsidRPr="00DB58B5" w:rsidRDefault="00F35BAF" w:rsidP="00C97039">
            <w:pPr>
              <w:spacing w:before="120"/>
              <w:jc w:val="center"/>
            </w:pPr>
            <w:r>
              <w:rPr>
                <w:noProof/>
                <w:lang w:eastAsia="fr-CH"/>
              </w:rPr>
              <w:drawing>
                <wp:inline distT="0" distB="0" distL="0" distR="0" wp14:anchorId="083BE267" wp14:editId="7C6937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960C0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582AED" w14:textId="77777777" w:rsidR="00F35BAF" w:rsidRDefault="006A356F" w:rsidP="00C97039">
            <w:pPr>
              <w:spacing w:before="240"/>
            </w:pPr>
            <w:r>
              <w:t xml:space="preserve">Distr. </w:t>
            </w:r>
            <w:proofErr w:type="gramStart"/>
            <w:r>
              <w:t>générale</w:t>
            </w:r>
            <w:proofErr w:type="gramEnd"/>
          </w:p>
          <w:p w14:paraId="6973C3C0" w14:textId="77777777" w:rsidR="006A356F" w:rsidRDefault="006A356F" w:rsidP="006A356F">
            <w:pPr>
              <w:spacing w:line="240" w:lineRule="exact"/>
            </w:pPr>
            <w:r>
              <w:t>17 décembre 2019</w:t>
            </w:r>
          </w:p>
          <w:p w14:paraId="19298E1F" w14:textId="77777777" w:rsidR="006A356F" w:rsidRDefault="006A356F" w:rsidP="006A356F">
            <w:pPr>
              <w:spacing w:line="240" w:lineRule="exact"/>
            </w:pPr>
            <w:r>
              <w:t>Français</w:t>
            </w:r>
          </w:p>
          <w:p w14:paraId="6A3DE7EB" w14:textId="77777777" w:rsidR="006A356F" w:rsidRPr="00DB58B5" w:rsidRDefault="006A356F" w:rsidP="006A356F">
            <w:pPr>
              <w:spacing w:line="240" w:lineRule="exact"/>
            </w:pPr>
            <w:r>
              <w:t>Original : anglais</w:t>
            </w:r>
          </w:p>
        </w:tc>
      </w:tr>
    </w:tbl>
    <w:p w14:paraId="16B1E439" w14:textId="77777777" w:rsidR="007F20FA" w:rsidRPr="000312C0" w:rsidRDefault="007F20FA" w:rsidP="007F20FA">
      <w:pPr>
        <w:spacing w:before="120"/>
        <w:rPr>
          <w:b/>
          <w:sz w:val="28"/>
          <w:szCs w:val="28"/>
        </w:rPr>
      </w:pPr>
      <w:r w:rsidRPr="000312C0">
        <w:rPr>
          <w:b/>
          <w:sz w:val="28"/>
          <w:szCs w:val="28"/>
        </w:rPr>
        <w:t>Commission économique pour l</w:t>
      </w:r>
      <w:r w:rsidR="006A356F">
        <w:rPr>
          <w:b/>
          <w:sz w:val="28"/>
          <w:szCs w:val="28"/>
        </w:rPr>
        <w:t>’</w:t>
      </w:r>
      <w:r w:rsidRPr="000312C0">
        <w:rPr>
          <w:b/>
          <w:sz w:val="28"/>
          <w:szCs w:val="28"/>
        </w:rPr>
        <w:t>Europe</w:t>
      </w:r>
    </w:p>
    <w:p w14:paraId="418D0AD7" w14:textId="77777777" w:rsidR="007F20FA" w:rsidRDefault="007F20FA" w:rsidP="007F20FA">
      <w:pPr>
        <w:spacing w:before="120"/>
        <w:rPr>
          <w:sz w:val="28"/>
          <w:szCs w:val="28"/>
        </w:rPr>
      </w:pPr>
      <w:r w:rsidRPr="00685843">
        <w:rPr>
          <w:sz w:val="28"/>
          <w:szCs w:val="28"/>
        </w:rPr>
        <w:t>Comité des transports intérieurs</w:t>
      </w:r>
    </w:p>
    <w:p w14:paraId="5AE5B36B" w14:textId="77777777" w:rsidR="006A356F" w:rsidRPr="009E01B8" w:rsidRDefault="006A356F" w:rsidP="00AF0CB5">
      <w:pPr>
        <w:spacing w:before="120"/>
        <w:rPr>
          <w:b/>
          <w:sz w:val="24"/>
          <w:szCs w:val="24"/>
        </w:rPr>
      </w:pPr>
      <w:r w:rsidRPr="009E01B8">
        <w:rPr>
          <w:b/>
          <w:sz w:val="24"/>
          <w:szCs w:val="24"/>
        </w:rPr>
        <w:t>Groupe de travail des transports de marchandises dangereuses</w:t>
      </w:r>
    </w:p>
    <w:p w14:paraId="3920FD7E" w14:textId="77777777" w:rsidR="006A356F" w:rsidRPr="00926E87" w:rsidRDefault="006A356F" w:rsidP="0083569B">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1A99AA6" w14:textId="77777777" w:rsidR="006A356F" w:rsidRPr="006A356F" w:rsidRDefault="006A356F" w:rsidP="006A356F">
      <w:r w:rsidRPr="006A356F">
        <w:rPr>
          <w:lang w:val="fr-FR"/>
        </w:rPr>
        <w:t>Berne, 16-20 mars 2020</w:t>
      </w:r>
    </w:p>
    <w:p w14:paraId="229E9DE9" w14:textId="77777777" w:rsidR="006A356F" w:rsidRPr="006A356F" w:rsidRDefault="006A356F" w:rsidP="006A356F">
      <w:r w:rsidRPr="006A356F">
        <w:rPr>
          <w:lang w:val="fr-FR"/>
        </w:rPr>
        <w:t>Point</w:t>
      </w:r>
      <w:r>
        <w:rPr>
          <w:lang w:val="fr-FR"/>
        </w:rPr>
        <w:t> </w:t>
      </w:r>
      <w:r w:rsidRPr="006A356F">
        <w:rPr>
          <w:lang w:val="fr-FR"/>
        </w:rPr>
        <w:t>2 de l</w:t>
      </w:r>
      <w:r>
        <w:rPr>
          <w:lang w:val="fr-FR"/>
        </w:rPr>
        <w:t>’</w:t>
      </w:r>
      <w:r w:rsidRPr="006A356F">
        <w:rPr>
          <w:lang w:val="fr-FR"/>
        </w:rPr>
        <w:t>ordre du jour provisoire</w:t>
      </w:r>
    </w:p>
    <w:p w14:paraId="3A1CB1B0" w14:textId="77777777" w:rsidR="006A356F" w:rsidRDefault="006A356F" w:rsidP="006A356F">
      <w:r w:rsidRPr="006A356F">
        <w:rPr>
          <w:b/>
          <w:bCs/>
          <w:lang w:val="fr-FR"/>
        </w:rPr>
        <w:t>Citernes</w:t>
      </w:r>
    </w:p>
    <w:p w14:paraId="79D96FB2" w14:textId="77777777" w:rsidR="006A356F" w:rsidRPr="0014447A" w:rsidRDefault="006A356F" w:rsidP="006A356F">
      <w:pPr>
        <w:pStyle w:val="HChG"/>
      </w:pPr>
      <w:r>
        <w:rPr>
          <w:lang w:val="fr-FR"/>
        </w:rPr>
        <w:tab/>
      </w:r>
      <w:r>
        <w:rPr>
          <w:lang w:val="fr-FR"/>
        </w:rPr>
        <w:tab/>
      </w:r>
      <w:r w:rsidRPr="0014447A">
        <w:rPr>
          <w:lang w:val="fr-FR"/>
        </w:rPr>
        <w:t>Conteneurs-citernes de très grandes dimensions</w:t>
      </w:r>
    </w:p>
    <w:p w14:paraId="259EF9CD" w14:textId="77777777" w:rsidR="00F9573C" w:rsidRDefault="006A356F" w:rsidP="006A356F">
      <w:pPr>
        <w:pStyle w:val="H1G"/>
        <w:spacing w:before="240"/>
        <w:rPr>
          <w:b w:val="0"/>
          <w:bCs/>
          <w:sz w:val="20"/>
          <w:lang w:val="fr-FR"/>
        </w:rPr>
      </w:pPr>
      <w:r w:rsidRPr="0014447A">
        <w:rPr>
          <w:lang w:val="fr-FR"/>
        </w:rPr>
        <w:tab/>
      </w:r>
      <w:r w:rsidRPr="0014447A">
        <w:rPr>
          <w:lang w:val="fr-FR"/>
        </w:rPr>
        <w:tab/>
        <w:t>Proposition communiquée par le Secrétariat de l</w:t>
      </w:r>
      <w:r>
        <w:rPr>
          <w:lang w:val="fr-FR"/>
        </w:rPr>
        <w:t>’</w:t>
      </w:r>
      <w:r w:rsidRPr="0014447A">
        <w:rPr>
          <w:lang w:val="fr-FR"/>
        </w:rPr>
        <w:t>OTIF</w:t>
      </w:r>
      <w:r w:rsidRPr="006A356F">
        <w:rPr>
          <w:rStyle w:val="FootnoteReference"/>
          <w:b w:val="0"/>
          <w:bCs/>
          <w:sz w:val="20"/>
          <w:vertAlign w:val="baseline"/>
          <w:lang w:val="fr-FR"/>
        </w:rPr>
        <w:footnoteReference w:customMarkFollows="1" w:id="2"/>
        <w:t>*</w:t>
      </w:r>
      <w:r w:rsidRPr="006A356F">
        <w:rPr>
          <w:position w:val="6"/>
          <w:sz w:val="20"/>
          <w:lang w:val="fr-FR"/>
        </w:rPr>
        <w:t>,</w:t>
      </w:r>
      <w:r>
        <w:rPr>
          <w:sz w:val="20"/>
          <w:lang w:val="fr-FR"/>
        </w:rPr>
        <w:t xml:space="preserve"> </w:t>
      </w:r>
      <w:r w:rsidRPr="006A356F">
        <w:rPr>
          <w:rStyle w:val="FootnoteReference"/>
          <w:b w:val="0"/>
          <w:bCs/>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A356F" w14:paraId="1AF296C7" w14:textId="77777777">
        <w:trPr>
          <w:jc w:val="center"/>
        </w:trPr>
        <w:tc>
          <w:tcPr>
            <w:tcW w:w="9637" w:type="dxa"/>
            <w:shd w:val="clear" w:color="auto" w:fill="auto"/>
          </w:tcPr>
          <w:p w14:paraId="5EE1E3F2" w14:textId="77777777" w:rsidR="006A356F" w:rsidRDefault="006A356F">
            <w:pPr>
              <w:spacing w:before="240" w:after="120"/>
              <w:ind w:left="255"/>
              <w:rPr>
                <w:i/>
                <w:sz w:val="24"/>
              </w:rPr>
            </w:pPr>
            <w:r>
              <w:rPr>
                <w:i/>
                <w:sz w:val="24"/>
              </w:rPr>
              <w:t>Résumé</w:t>
            </w:r>
          </w:p>
        </w:tc>
      </w:tr>
      <w:tr w:rsidR="006A356F" w:rsidRPr="006A356F" w14:paraId="788A0074" w14:textId="77777777">
        <w:trPr>
          <w:jc w:val="center"/>
        </w:trPr>
        <w:tc>
          <w:tcPr>
            <w:tcW w:w="9637" w:type="dxa"/>
            <w:shd w:val="clear" w:color="auto" w:fill="auto"/>
          </w:tcPr>
          <w:p w14:paraId="678F1E4B" w14:textId="77777777" w:rsidR="006A356F" w:rsidRPr="006A356F" w:rsidRDefault="006A356F" w:rsidP="006A356F">
            <w:pPr>
              <w:pStyle w:val="SingleTxtG"/>
              <w:ind w:left="3119" w:hanging="1985"/>
              <w:rPr>
                <w:sz w:val="18"/>
                <w:szCs w:val="18"/>
              </w:rPr>
            </w:pPr>
            <w:r w:rsidRPr="006A356F">
              <w:rPr>
                <w:b/>
                <w:bCs/>
                <w:sz w:val="18"/>
                <w:szCs w:val="18"/>
                <w:lang w:val="fr-FR"/>
              </w:rPr>
              <w:t>Contexte :</w:t>
            </w:r>
            <w:r w:rsidRPr="006A356F">
              <w:rPr>
                <w:sz w:val="18"/>
                <w:szCs w:val="18"/>
                <w:lang w:val="fr-FR"/>
              </w:rPr>
              <w:t xml:space="preserve"> </w:t>
            </w:r>
            <w:r w:rsidRPr="006A356F">
              <w:rPr>
                <w:sz w:val="18"/>
                <w:szCs w:val="18"/>
                <w:lang w:val="fr-FR"/>
              </w:rPr>
              <w:tab/>
              <w:t>Au cours du débat sur les questions de sécurité en rapport avec le transport de conteneurs-citernes de très grandes dimensions, le Groupe de travail permanent de la Commission d</w:t>
            </w:r>
            <w:r>
              <w:rPr>
                <w:sz w:val="18"/>
                <w:szCs w:val="18"/>
                <w:lang w:val="fr-FR"/>
              </w:rPr>
              <w:t>’</w:t>
            </w:r>
            <w:r w:rsidRPr="006A356F">
              <w:rPr>
                <w:sz w:val="18"/>
                <w:szCs w:val="18"/>
                <w:lang w:val="fr-FR"/>
              </w:rPr>
              <w:t>experts du RID et le Groupe de travail des aspects techniques des citernes et des véhicules a fait observer que deux dispositions qui, actuellement, ne concernent que la construction des wagons-citernes, devraient être étendues aux conteneurs-citernes, dans le RID et l</w:t>
            </w:r>
            <w:r>
              <w:rPr>
                <w:sz w:val="18"/>
                <w:szCs w:val="18"/>
                <w:lang w:val="fr-FR"/>
              </w:rPr>
              <w:t>’</w:t>
            </w:r>
            <w:r w:rsidRPr="006A356F">
              <w:rPr>
                <w:sz w:val="18"/>
                <w:szCs w:val="18"/>
                <w:lang w:val="fr-FR"/>
              </w:rPr>
              <w:t>ADR.</w:t>
            </w:r>
          </w:p>
        </w:tc>
      </w:tr>
      <w:tr w:rsidR="006A356F" w:rsidRPr="006A356F" w14:paraId="7DD01E4C" w14:textId="77777777">
        <w:trPr>
          <w:jc w:val="center"/>
        </w:trPr>
        <w:tc>
          <w:tcPr>
            <w:tcW w:w="9637" w:type="dxa"/>
            <w:shd w:val="clear" w:color="auto" w:fill="auto"/>
          </w:tcPr>
          <w:p w14:paraId="614060D8" w14:textId="77777777" w:rsidR="006A356F" w:rsidRPr="006A356F" w:rsidRDefault="006A356F" w:rsidP="006A356F">
            <w:pPr>
              <w:pStyle w:val="SingleTxtG"/>
              <w:ind w:left="3119" w:hanging="1985"/>
              <w:rPr>
                <w:sz w:val="18"/>
                <w:szCs w:val="18"/>
              </w:rPr>
            </w:pPr>
            <w:r w:rsidRPr="006A356F">
              <w:rPr>
                <w:b/>
                <w:bCs/>
                <w:sz w:val="18"/>
                <w:szCs w:val="18"/>
                <w:lang w:val="fr-FR"/>
              </w:rPr>
              <w:t>Mesure à prendre :</w:t>
            </w:r>
            <w:r w:rsidRPr="006A356F">
              <w:rPr>
                <w:sz w:val="18"/>
                <w:szCs w:val="18"/>
                <w:lang w:val="fr-FR"/>
              </w:rPr>
              <w:tab/>
              <w:t>Modifier les paragraphes 6.8.2.2.1 et 6.8.2.2.4.</w:t>
            </w:r>
          </w:p>
        </w:tc>
      </w:tr>
      <w:tr w:rsidR="006A356F" w:rsidRPr="006A356F" w14:paraId="641C030F" w14:textId="77777777">
        <w:trPr>
          <w:jc w:val="center"/>
        </w:trPr>
        <w:tc>
          <w:tcPr>
            <w:tcW w:w="9637" w:type="dxa"/>
            <w:shd w:val="clear" w:color="auto" w:fill="auto"/>
          </w:tcPr>
          <w:p w14:paraId="34275607" w14:textId="77777777" w:rsidR="006A356F" w:rsidRPr="006A356F" w:rsidRDefault="006A356F" w:rsidP="006A356F">
            <w:pPr>
              <w:pStyle w:val="SingleTxtG"/>
              <w:spacing w:after="0"/>
              <w:ind w:left="3119" w:hanging="1985"/>
            </w:pPr>
            <w:r w:rsidRPr="006A356F">
              <w:rPr>
                <w:b/>
                <w:bCs/>
                <w:sz w:val="18"/>
                <w:szCs w:val="18"/>
                <w:lang w:val="fr-FR"/>
              </w:rPr>
              <w:t>Documents connexes</w:t>
            </w:r>
            <w:r>
              <w:rPr>
                <w:b/>
                <w:bCs/>
                <w:sz w:val="18"/>
                <w:szCs w:val="18"/>
                <w:lang w:val="fr-FR"/>
              </w:rPr>
              <w:t> </w:t>
            </w:r>
            <w:r w:rsidRPr="006A356F">
              <w:rPr>
                <w:b/>
                <w:bCs/>
                <w:sz w:val="18"/>
                <w:szCs w:val="18"/>
                <w:lang w:val="fr-FR"/>
              </w:rPr>
              <w:t>:</w:t>
            </w:r>
            <w:r w:rsidRPr="006A356F">
              <w:rPr>
                <w:sz w:val="18"/>
                <w:szCs w:val="18"/>
                <w:lang w:val="fr-FR"/>
              </w:rPr>
              <w:tab/>
            </w:r>
            <w:r w:rsidRPr="006A356F">
              <w:rPr>
                <w:spacing w:val="-3"/>
                <w:sz w:val="18"/>
                <w:szCs w:val="18"/>
                <w:lang w:val="fr-FR"/>
              </w:rPr>
              <w:t>Document informel INF.19 de la Réunion commune de mars 2018 ; Rapport du groupe de travail des citernes à la Réunion commune de mars 2018 ECE/TRANS/WP.15/AC.1/150/Add.1 (OTIF/RID/RC/2018-A/Add.1) ;</w:t>
            </w:r>
          </w:p>
          <w:p w14:paraId="641C0D4D" w14:textId="77777777" w:rsidR="006A356F" w:rsidRPr="006A356F" w:rsidRDefault="006A356F" w:rsidP="006A356F">
            <w:pPr>
              <w:pStyle w:val="SingleTxtG"/>
              <w:spacing w:after="0"/>
              <w:ind w:left="3119" w:hanging="1985"/>
              <w:rPr>
                <w:snapToGrid w:val="0"/>
                <w:sz w:val="18"/>
                <w:szCs w:val="18"/>
              </w:rPr>
            </w:pPr>
            <w:r w:rsidRPr="006A356F">
              <w:rPr>
                <w:sz w:val="18"/>
                <w:szCs w:val="18"/>
                <w:lang w:val="fr-FR"/>
              </w:rPr>
              <w:tab/>
              <w:t>Rapport de la seizième session du groupe de travail des aspects techniques des citernes et des véhicules (OTIF/RID/CE/GTT/2018-B) ;</w:t>
            </w:r>
          </w:p>
          <w:p w14:paraId="23373D1C" w14:textId="77777777" w:rsidR="006A356F" w:rsidRPr="006A356F" w:rsidRDefault="006A356F" w:rsidP="006A356F">
            <w:pPr>
              <w:pStyle w:val="SingleTxtG"/>
              <w:spacing w:after="0"/>
              <w:ind w:left="3119" w:hanging="1985"/>
              <w:rPr>
                <w:snapToGrid w:val="0"/>
                <w:sz w:val="18"/>
                <w:szCs w:val="18"/>
              </w:rPr>
            </w:pPr>
            <w:r w:rsidRPr="006A356F">
              <w:rPr>
                <w:sz w:val="18"/>
                <w:szCs w:val="18"/>
                <w:lang w:val="fr-FR"/>
              </w:rPr>
              <w:tab/>
              <w:t>Rapport de la dix-septième session du Groupe de travail des aspects techniques des citernes et des véhicules (OTIF/RID/CE/GTT/2019-A) ;</w:t>
            </w:r>
          </w:p>
          <w:p w14:paraId="1930117F" w14:textId="77777777" w:rsidR="006A356F" w:rsidRPr="006A356F" w:rsidRDefault="006A356F" w:rsidP="006A356F">
            <w:pPr>
              <w:pStyle w:val="SingleTxtG"/>
              <w:ind w:left="3119" w:hanging="1985"/>
              <w:rPr>
                <w:sz w:val="18"/>
                <w:szCs w:val="18"/>
              </w:rPr>
            </w:pPr>
            <w:r w:rsidRPr="006A356F">
              <w:rPr>
                <w:sz w:val="18"/>
                <w:szCs w:val="18"/>
                <w:lang w:val="fr-FR"/>
              </w:rPr>
              <w:tab/>
              <w:t>Rapport de la onzième session du Groupe de travail permanent de la Commission d</w:t>
            </w:r>
            <w:r>
              <w:rPr>
                <w:sz w:val="18"/>
                <w:szCs w:val="18"/>
                <w:lang w:val="fr-FR"/>
              </w:rPr>
              <w:t>’</w:t>
            </w:r>
            <w:r w:rsidRPr="006A356F">
              <w:rPr>
                <w:sz w:val="18"/>
                <w:szCs w:val="18"/>
                <w:lang w:val="fr-FR"/>
              </w:rPr>
              <w:t>experts du RID</w:t>
            </w:r>
            <w:r w:rsidRPr="006A356F">
              <w:rPr>
                <w:rStyle w:val="FootnoteReference"/>
                <w:szCs w:val="18"/>
                <w:lang w:val="fr-FR"/>
              </w:rPr>
              <w:footnoteReference w:id="4"/>
            </w:r>
          </w:p>
        </w:tc>
      </w:tr>
      <w:tr w:rsidR="006A356F" w14:paraId="37B51C8C" w14:textId="77777777">
        <w:trPr>
          <w:jc w:val="center"/>
        </w:trPr>
        <w:tc>
          <w:tcPr>
            <w:tcW w:w="9637" w:type="dxa"/>
            <w:shd w:val="clear" w:color="auto" w:fill="auto"/>
          </w:tcPr>
          <w:p w14:paraId="21AE530F" w14:textId="77777777" w:rsidR="006A356F" w:rsidRDefault="006A356F"/>
        </w:tc>
      </w:tr>
    </w:tbl>
    <w:p w14:paraId="3A15063E" w14:textId="77777777" w:rsidR="006A356F" w:rsidRPr="006A356F" w:rsidRDefault="006A356F" w:rsidP="006A356F">
      <w:pPr>
        <w:pStyle w:val="HChG"/>
      </w:pPr>
      <w:r>
        <w:rPr>
          <w:lang w:val="fr-FR"/>
        </w:rPr>
        <w:lastRenderedPageBreak/>
        <w:tab/>
      </w:r>
      <w:r>
        <w:rPr>
          <w:lang w:val="fr-FR"/>
        </w:rPr>
        <w:tab/>
      </w:r>
      <w:r w:rsidRPr="006A356F">
        <w:rPr>
          <w:lang w:val="fr-FR"/>
        </w:rPr>
        <w:t>Introduction</w:t>
      </w:r>
    </w:p>
    <w:p w14:paraId="539D5B21" w14:textId="77777777" w:rsidR="006A356F" w:rsidRPr="006A356F" w:rsidRDefault="006A356F" w:rsidP="006A356F">
      <w:pPr>
        <w:pStyle w:val="SingleTxtG"/>
      </w:pPr>
      <w:r w:rsidRPr="006A356F">
        <w:rPr>
          <w:lang w:val="fr-FR"/>
        </w:rPr>
        <w:t>1.</w:t>
      </w:r>
      <w:r w:rsidRPr="006A356F">
        <w:rPr>
          <w:lang w:val="fr-FR"/>
        </w:rPr>
        <w:tab/>
        <w:t>En collaboration avec le constructeur belge de conteneurs-citernes van Hool, BASF a mis au point de nouveaux conteneurs-citernes de 45 et 52</w:t>
      </w:r>
      <w:r>
        <w:rPr>
          <w:lang w:val="fr-FR"/>
        </w:rPr>
        <w:t> </w:t>
      </w:r>
      <w:r w:rsidRPr="006A356F">
        <w:rPr>
          <w:lang w:val="fr-FR"/>
        </w:rPr>
        <w:t>pieds</w:t>
      </w:r>
      <w:r w:rsidRPr="006A356F">
        <w:rPr>
          <w:vertAlign w:val="superscript"/>
          <w:lang w:val="fr-FR"/>
        </w:rPr>
        <w:footnoteReference w:id="5"/>
      </w:r>
      <w:r w:rsidRPr="006A356F">
        <w:rPr>
          <w:lang w:val="fr-FR"/>
        </w:rPr>
        <w:t xml:space="preserve"> sur la même base technique que les conteneurs-citernes de 20 et 30 pieds déjà utilisés dans le transport combiné. La capacité de ces conteneurs-citernes peut atteindre 73</w:t>
      </w:r>
      <w:r>
        <w:rPr>
          <w:lang w:val="fr-FR"/>
        </w:rPr>
        <w:t> </w:t>
      </w:r>
      <w:r w:rsidRPr="006A356F">
        <w:rPr>
          <w:lang w:val="fr-FR"/>
        </w:rPr>
        <w:t>500</w:t>
      </w:r>
      <w:r>
        <w:rPr>
          <w:lang w:val="fr-FR"/>
        </w:rPr>
        <w:t> </w:t>
      </w:r>
      <w:r w:rsidRPr="006A356F">
        <w:rPr>
          <w:lang w:val="fr-FR"/>
        </w:rPr>
        <w:t>litres, et leur charge utile 66 tonnes. Leur capacité de charge est donc équivalente à celle de deux conteneurs-citernes classiques ou à celle d</w:t>
      </w:r>
      <w:r>
        <w:rPr>
          <w:lang w:val="fr-FR"/>
        </w:rPr>
        <w:t>’</w:t>
      </w:r>
      <w:r w:rsidRPr="006A356F">
        <w:rPr>
          <w:lang w:val="fr-FR"/>
        </w:rPr>
        <w:t>un wagon-citerne à bogies.</w:t>
      </w:r>
    </w:p>
    <w:p w14:paraId="56BDDC53" w14:textId="77777777" w:rsidR="006A356F" w:rsidRPr="006A356F" w:rsidRDefault="006A356F" w:rsidP="006A356F">
      <w:pPr>
        <w:pStyle w:val="SingleTxtG"/>
      </w:pPr>
      <w:r w:rsidRPr="006A356F">
        <w:rPr>
          <w:lang w:val="fr-FR"/>
        </w:rPr>
        <w:t>2.</w:t>
      </w:r>
      <w:r w:rsidRPr="006A356F">
        <w:rPr>
          <w:lang w:val="fr-FR"/>
        </w:rPr>
        <w:tab/>
        <w:t>Ces conteneurs-citernes de très grandes dimensions étant actuellement principalement transportés par voie ferrée en raison de leur masse importante, les questions relatives à la sécurité pendant leur transport ont jusqu</w:t>
      </w:r>
      <w:r>
        <w:rPr>
          <w:lang w:val="fr-FR"/>
        </w:rPr>
        <w:t>’</w:t>
      </w:r>
      <w:r w:rsidRPr="006A356F">
        <w:rPr>
          <w:lang w:val="fr-FR"/>
        </w:rPr>
        <w:t>à présent fait l</w:t>
      </w:r>
      <w:r>
        <w:rPr>
          <w:lang w:val="fr-FR"/>
        </w:rPr>
        <w:t>’</w:t>
      </w:r>
      <w:r w:rsidRPr="006A356F">
        <w:rPr>
          <w:lang w:val="fr-FR"/>
        </w:rPr>
        <w:t>objet de débats au sein du Groupe de travail permanent de la Commission d</w:t>
      </w:r>
      <w:r>
        <w:rPr>
          <w:lang w:val="fr-FR"/>
        </w:rPr>
        <w:t>’</w:t>
      </w:r>
      <w:r w:rsidRPr="006A356F">
        <w:rPr>
          <w:lang w:val="fr-FR"/>
        </w:rPr>
        <w:t>experts du RID et du Groupe de travail des aspects techniques des citernes et des véhicules.</w:t>
      </w:r>
    </w:p>
    <w:p w14:paraId="4CBA461A" w14:textId="77777777" w:rsidR="006A356F" w:rsidRPr="006A356F" w:rsidRDefault="006A356F" w:rsidP="006A356F">
      <w:pPr>
        <w:pStyle w:val="SingleTxtG"/>
      </w:pPr>
      <w:r w:rsidRPr="006A356F">
        <w:rPr>
          <w:lang w:val="fr-FR"/>
        </w:rPr>
        <w:t>3.</w:t>
      </w:r>
      <w:r w:rsidRPr="006A356F">
        <w:rPr>
          <w:lang w:val="fr-FR"/>
        </w:rPr>
        <w:tab/>
        <w:t>Lors de sa réunion de mars 2019, le Groupe de travail des citernes de la Réunion commune a été informé, dans le document informel INF.19, de la teneur des discussions du Groupe de travail des aspects techniques des citernes et des véhicules, et prié de se pencher sur les questions suivantes</w:t>
      </w:r>
      <w:r>
        <w:rPr>
          <w:lang w:val="fr-FR"/>
        </w:rPr>
        <w:t> </w:t>
      </w:r>
      <w:r w:rsidRPr="006A356F">
        <w:rPr>
          <w:lang w:val="fr-FR"/>
        </w:rPr>
        <w:t>: épaisseur de la paroi</w:t>
      </w:r>
      <w:r>
        <w:rPr>
          <w:lang w:val="fr-FR"/>
        </w:rPr>
        <w:t> </w:t>
      </w:r>
      <w:r w:rsidRPr="006A356F">
        <w:rPr>
          <w:lang w:val="fr-FR"/>
        </w:rPr>
        <w:t>; résistance à la pression des dispositifs de fermeture ; inscription de la date de la prochaine inspection sur la citerne ; prescriptions générales applicables aux conteneurs-citernes.</w:t>
      </w:r>
    </w:p>
    <w:p w14:paraId="21202724" w14:textId="77777777" w:rsidR="006A356F" w:rsidRPr="006A356F" w:rsidRDefault="006A356F" w:rsidP="006A356F">
      <w:pPr>
        <w:pStyle w:val="SingleTxtG"/>
      </w:pPr>
      <w:r w:rsidRPr="006A356F">
        <w:rPr>
          <w:lang w:val="fr-FR"/>
        </w:rPr>
        <w:t>4.</w:t>
      </w:r>
      <w:r w:rsidRPr="006A356F">
        <w:rPr>
          <w:lang w:val="fr-FR"/>
        </w:rPr>
        <w:tab/>
        <w:t>En ce qui concerne le 6.8.2.1.2, le groupe de travail des citernes a pris à sa réunion de mars 2018 une décision préliminaire dont il est tenu compte dans l</w:t>
      </w:r>
      <w:r>
        <w:rPr>
          <w:lang w:val="fr-FR"/>
        </w:rPr>
        <w:t>’</w:t>
      </w:r>
      <w:r w:rsidRPr="006A356F">
        <w:rPr>
          <w:lang w:val="fr-FR"/>
        </w:rPr>
        <w:t>édition 2019 du</w:t>
      </w:r>
      <w:r>
        <w:rPr>
          <w:lang w:val="fr-FR"/>
        </w:rPr>
        <w:t> </w:t>
      </w:r>
      <w:r w:rsidRPr="006A356F">
        <w:rPr>
          <w:lang w:val="fr-FR"/>
        </w:rPr>
        <w:t>RID/ADR.</w:t>
      </w:r>
    </w:p>
    <w:p w14:paraId="698A65CB" w14:textId="77777777" w:rsidR="006A356F" w:rsidRPr="006A356F" w:rsidRDefault="006A356F" w:rsidP="006A356F">
      <w:pPr>
        <w:pStyle w:val="SingleTxtG"/>
      </w:pPr>
      <w:r w:rsidRPr="006A356F">
        <w:rPr>
          <w:lang w:val="fr-FR"/>
        </w:rPr>
        <w:t>5.</w:t>
      </w:r>
      <w:r w:rsidRPr="006A356F">
        <w:rPr>
          <w:lang w:val="fr-FR"/>
        </w:rPr>
        <w:tab/>
        <w:t>En ce qui concerne les autres points, le Groupe de travail des citernes a estimé qu</w:t>
      </w:r>
      <w:r>
        <w:rPr>
          <w:lang w:val="fr-FR"/>
        </w:rPr>
        <w:t>’</w:t>
      </w:r>
      <w:r w:rsidRPr="006A356F">
        <w:rPr>
          <w:lang w:val="fr-FR"/>
        </w:rPr>
        <w:t>il était plus approprié de discuter des questions essentiellement ferroviaires au sein du Groupe de travail des aspects techniques des citernes et des véhicules, avec la participation d</w:t>
      </w:r>
      <w:r>
        <w:rPr>
          <w:lang w:val="fr-FR"/>
        </w:rPr>
        <w:t>’</w:t>
      </w:r>
      <w:r w:rsidRPr="006A356F">
        <w:rPr>
          <w:lang w:val="fr-FR"/>
        </w:rPr>
        <w:t>experts des citernes (voir le rapport publié sous la cote ECE/TRANS/WP.15/AC.1/</w:t>
      </w:r>
      <w:r>
        <w:rPr>
          <w:lang w:val="fr-FR"/>
        </w:rPr>
        <w:br/>
      </w:r>
      <w:r w:rsidRPr="006A356F">
        <w:rPr>
          <w:lang w:val="fr-FR"/>
        </w:rPr>
        <w:t>150/Add.1 (OTIF/RID/RC/2018-A/Add.1), par</w:t>
      </w:r>
      <w:r w:rsidR="0020710E">
        <w:rPr>
          <w:lang w:val="fr-FR"/>
        </w:rPr>
        <w:t>. </w:t>
      </w:r>
      <w:r w:rsidRPr="006A356F">
        <w:rPr>
          <w:lang w:val="fr-FR"/>
        </w:rPr>
        <w:t>27 à</w:t>
      </w:r>
      <w:r>
        <w:rPr>
          <w:lang w:val="fr-FR"/>
        </w:rPr>
        <w:t> </w:t>
      </w:r>
      <w:r w:rsidRPr="006A356F">
        <w:rPr>
          <w:lang w:val="fr-FR"/>
        </w:rPr>
        <w:t>35).</w:t>
      </w:r>
    </w:p>
    <w:p w14:paraId="7D701527" w14:textId="77777777" w:rsidR="006A356F" w:rsidRPr="006A356F" w:rsidRDefault="006A356F" w:rsidP="006A356F">
      <w:pPr>
        <w:pStyle w:val="SingleTxtG"/>
      </w:pPr>
      <w:r w:rsidRPr="006A356F">
        <w:rPr>
          <w:lang w:val="fr-FR"/>
        </w:rPr>
        <w:t>6.</w:t>
      </w:r>
      <w:r w:rsidRPr="006A356F">
        <w:rPr>
          <w:lang w:val="fr-FR"/>
        </w:rPr>
        <w:tab/>
        <w:t>Entre-temps, le Groupe de travail des aspects techniques des citernes et des véhicules a tenu deux autres sessions, dont les résultats sont résumés dans les rapports OTIF/RID/CE/GTT/2018-B et OTIF/RID/CE/GTT/2019-A. Ces deux documents ont été soumis au Groupe de travail permanent.</w:t>
      </w:r>
    </w:p>
    <w:p w14:paraId="4FE87566" w14:textId="77777777" w:rsidR="006A356F" w:rsidRPr="006A356F" w:rsidRDefault="006A356F" w:rsidP="006A356F">
      <w:pPr>
        <w:pStyle w:val="SingleTxtG"/>
      </w:pPr>
      <w:r w:rsidRPr="006A356F">
        <w:rPr>
          <w:lang w:val="fr-FR"/>
        </w:rPr>
        <w:t>7.</w:t>
      </w:r>
      <w:r w:rsidRPr="006A356F">
        <w:rPr>
          <w:lang w:val="fr-FR"/>
        </w:rPr>
        <w:tab/>
        <w:t xml:space="preserve">À sa </w:t>
      </w:r>
      <w:r w:rsidR="004933BF">
        <w:rPr>
          <w:lang w:val="fr-FR"/>
        </w:rPr>
        <w:t>onzième</w:t>
      </w:r>
      <w:r w:rsidRPr="006A356F">
        <w:rPr>
          <w:lang w:val="fr-FR"/>
        </w:rPr>
        <w:t xml:space="preserve"> session, le Groupe de travail permanent a estimé que les discussions sur la question des fixations de constructions annexes soudées et celle de la résistance à la pression des dispositifs de fermeture étaient terminées. Il a donc prié le secrétariat de soumettre à la Réunion commune les propositions correspondantes en vue de l</w:t>
      </w:r>
      <w:r>
        <w:rPr>
          <w:lang w:val="fr-FR"/>
        </w:rPr>
        <w:t>’</w:t>
      </w:r>
      <w:r w:rsidRPr="006A356F">
        <w:rPr>
          <w:lang w:val="fr-FR"/>
        </w:rPr>
        <w:t>adaptation des dispositions applicables aux conteneurs-citernes (voir rapport OTIF/RID/CE/GTP/</w:t>
      </w:r>
      <w:r w:rsidR="0020710E">
        <w:rPr>
          <w:lang w:val="fr-FR"/>
        </w:rPr>
        <w:br/>
      </w:r>
      <w:r w:rsidRPr="006A356F">
        <w:rPr>
          <w:lang w:val="fr-FR"/>
        </w:rPr>
        <w:t>2019-A, par</w:t>
      </w:r>
      <w:r w:rsidR="0020710E">
        <w:rPr>
          <w:lang w:val="fr-FR"/>
        </w:rPr>
        <w:t>. </w:t>
      </w:r>
      <w:r w:rsidRPr="006A356F">
        <w:rPr>
          <w:lang w:val="fr-FR"/>
        </w:rPr>
        <w:t>53).</w:t>
      </w:r>
    </w:p>
    <w:p w14:paraId="23ECAA31" w14:textId="77777777" w:rsidR="006A356F" w:rsidRPr="006A356F" w:rsidRDefault="006A356F" w:rsidP="004933BF">
      <w:pPr>
        <w:pStyle w:val="H1G"/>
      </w:pPr>
      <w:r w:rsidRPr="006A356F">
        <w:rPr>
          <w:lang w:val="fr-FR"/>
        </w:rPr>
        <w:tab/>
      </w:r>
      <w:r w:rsidRPr="006A356F">
        <w:rPr>
          <w:lang w:val="fr-FR"/>
        </w:rPr>
        <w:tab/>
        <w:t>Fixations de constructions annexes soudées</w:t>
      </w:r>
    </w:p>
    <w:p w14:paraId="4949CF00" w14:textId="77777777" w:rsidR="006A356F" w:rsidRPr="006A356F" w:rsidRDefault="006A356F" w:rsidP="006A356F">
      <w:pPr>
        <w:pStyle w:val="SingleTxtG"/>
        <w:rPr>
          <w:lang w:val="fr-FR"/>
        </w:rPr>
      </w:pPr>
      <w:r w:rsidRPr="006A356F">
        <w:rPr>
          <w:lang w:val="fr-FR"/>
        </w:rPr>
        <w:t>8.</w:t>
      </w:r>
      <w:r w:rsidRPr="006A356F">
        <w:rPr>
          <w:lang w:val="fr-FR"/>
        </w:rPr>
        <w:tab/>
        <w:t>Pour les wagons-citernes, en ce qui concerne les fixations de constructions annexes soudées, le deuxième sous-paragraphe du 6.8.2.2.1 du RID dispose ce qui suit :</w:t>
      </w:r>
    </w:p>
    <w:p w14:paraId="2F970B7E" w14:textId="77777777" w:rsidR="006A356F" w:rsidRPr="006A356F" w:rsidRDefault="0020710E" w:rsidP="006A356F">
      <w:pPr>
        <w:pStyle w:val="SingleTxtG"/>
        <w:rPr>
          <w:bCs/>
          <w:iCs/>
        </w:rPr>
      </w:pPr>
      <w:r>
        <w:rPr>
          <w:lang w:val="fr-FR"/>
        </w:rPr>
        <w:t>« </w:t>
      </w:r>
      <w:r w:rsidR="006A356F" w:rsidRPr="006A356F">
        <w:rPr>
          <w:lang w:val="fr-FR"/>
        </w:rPr>
        <w:t>Les fixations de constructions annexes soudées doivent être réalisées de manière à empêcher que le réservoir ne soit éventré en cas de sollicitations dues à un accident. Les mesures suivantes permettent de satisfaire à cette condition :</w:t>
      </w:r>
    </w:p>
    <w:p w14:paraId="50A0A81B" w14:textId="77777777" w:rsidR="006A356F" w:rsidRPr="006A356F" w:rsidRDefault="006A356F" w:rsidP="0020710E">
      <w:pPr>
        <w:pStyle w:val="SingleTxtG"/>
        <w:ind w:left="1701" w:hanging="567"/>
        <w:rPr>
          <w:bCs/>
          <w:iCs/>
        </w:rPr>
      </w:pPr>
      <w:r w:rsidRPr="006A356F">
        <w:rPr>
          <w:lang w:val="fr-FR"/>
        </w:rPr>
        <w:t>–</w:t>
      </w:r>
      <w:r w:rsidRPr="006A356F">
        <w:rPr>
          <w:lang w:val="fr-FR"/>
        </w:rPr>
        <w:tab/>
        <w:t>Liaison avec le châssis</w:t>
      </w:r>
      <w:r w:rsidR="0020710E">
        <w:rPr>
          <w:lang w:val="fr-FR"/>
        </w:rPr>
        <w:t> </w:t>
      </w:r>
      <w:r w:rsidRPr="006A356F">
        <w:rPr>
          <w:lang w:val="fr-FR"/>
        </w:rPr>
        <w:t>: fixation par l</w:t>
      </w:r>
      <w:r>
        <w:rPr>
          <w:lang w:val="fr-FR"/>
        </w:rPr>
        <w:t>’</w:t>
      </w:r>
      <w:r w:rsidRPr="006A356F">
        <w:rPr>
          <w:lang w:val="fr-FR"/>
        </w:rPr>
        <w:t>intermédiaire d</w:t>
      </w:r>
      <w:r>
        <w:rPr>
          <w:lang w:val="fr-FR"/>
        </w:rPr>
        <w:t>’</w:t>
      </w:r>
      <w:r w:rsidRPr="006A356F">
        <w:rPr>
          <w:lang w:val="fr-FR"/>
        </w:rPr>
        <w:t>une selle assurant la répartition des efforts dynamiques</w:t>
      </w:r>
      <w:r w:rsidR="0020710E">
        <w:rPr>
          <w:lang w:val="fr-FR"/>
        </w:rPr>
        <w:t> </w:t>
      </w:r>
      <w:r w:rsidRPr="006A356F">
        <w:rPr>
          <w:lang w:val="fr-FR"/>
        </w:rPr>
        <w:t>;</w:t>
      </w:r>
    </w:p>
    <w:p w14:paraId="3E5DEAA7" w14:textId="77777777" w:rsidR="006A356F" w:rsidRPr="006A356F" w:rsidRDefault="006A356F" w:rsidP="0020710E">
      <w:pPr>
        <w:pStyle w:val="SingleTxtG"/>
        <w:ind w:left="1701" w:hanging="567"/>
        <w:rPr>
          <w:bCs/>
          <w:iCs/>
        </w:rPr>
      </w:pPr>
      <w:r w:rsidRPr="006A356F">
        <w:rPr>
          <w:lang w:val="fr-FR"/>
        </w:rPr>
        <w:t>–</w:t>
      </w:r>
      <w:r w:rsidRPr="006A356F">
        <w:rPr>
          <w:lang w:val="fr-FR"/>
        </w:rPr>
        <w:tab/>
        <w:t>Supports de la passerelle supérieure, de l</w:t>
      </w:r>
      <w:r>
        <w:rPr>
          <w:lang w:val="fr-FR"/>
        </w:rPr>
        <w:t>’</w:t>
      </w:r>
      <w:r w:rsidRPr="006A356F">
        <w:rPr>
          <w:lang w:val="fr-FR"/>
        </w:rPr>
        <w:t>échelle d</w:t>
      </w:r>
      <w:r>
        <w:rPr>
          <w:lang w:val="fr-FR"/>
        </w:rPr>
        <w:t>’</w:t>
      </w:r>
      <w:r w:rsidRPr="006A356F">
        <w:rPr>
          <w:lang w:val="fr-FR"/>
        </w:rPr>
        <w:t>accès, des tubulures de vidange, de la commande de la soupape et autres consoles de transmission d</w:t>
      </w:r>
      <w:r>
        <w:rPr>
          <w:lang w:val="fr-FR"/>
        </w:rPr>
        <w:t>’</w:t>
      </w:r>
      <w:r w:rsidRPr="006A356F">
        <w:rPr>
          <w:lang w:val="fr-FR"/>
        </w:rPr>
        <w:t>efforts : fixation par l</w:t>
      </w:r>
      <w:r>
        <w:rPr>
          <w:lang w:val="fr-FR"/>
        </w:rPr>
        <w:t>’</w:t>
      </w:r>
      <w:r w:rsidRPr="006A356F">
        <w:rPr>
          <w:lang w:val="fr-FR"/>
        </w:rPr>
        <w:t>intermédiaire d</w:t>
      </w:r>
      <w:r>
        <w:rPr>
          <w:lang w:val="fr-FR"/>
        </w:rPr>
        <w:t>’</w:t>
      </w:r>
      <w:r w:rsidRPr="006A356F">
        <w:rPr>
          <w:lang w:val="fr-FR"/>
        </w:rPr>
        <w:t>une plaque de renfort rapportée par soudure</w:t>
      </w:r>
      <w:r w:rsidR="0020710E">
        <w:rPr>
          <w:lang w:val="fr-FR"/>
        </w:rPr>
        <w:t> </w:t>
      </w:r>
      <w:r w:rsidRPr="006A356F">
        <w:rPr>
          <w:lang w:val="fr-FR"/>
        </w:rPr>
        <w:t>;</w:t>
      </w:r>
    </w:p>
    <w:p w14:paraId="33FFD027" w14:textId="77777777" w:rsidR="006A356F" w:rsidRPr="006A356F" w:rsidRDefault="006A356F" w:rsidP="0020710E">
      <w:pPr>
        <w:pStyle w:val="SingleTxtG"/>
        <w:ind w:left="1701" w:hanging="567"/>
        <w:rPr>
          <w:lang w:val="fr-FR"/>
        </w:rPr>
      </w:pPr>
      <w:r w:rsidRPr="006A356F">
        <w:rPr>
          <w:lang w:val="fr-FR"/>
        </w:rPr>
        <w:lastRenderedPageBreak/>
        <w:t>–</w:t>
      </w:r>
      <w:r w:rsidRPr="006A356F">
        <w:rPr>
          <w:lang w:val="fr-FR"/>
        </w:rPr>
        <w:tab/>
        <w:t>Dimensionnement approprié ou autres mesures de protection (par exemple «</w:t>
      </w:r>
      <w:r w:rsidR="0020710E">
        <w:rPr>
          <w:lang w:val="fr-FR"/>
        </w:rPr>
        <w:t> </w:t>
      </w:r>
      <w:r w:rsidRPr="006A356F">
        <w:rPr>
          <w:lang w:val="fr-FR"/>
        </w:rPr>
        <w:t>zone fusible</w:t>
      </w:r>
      <w:r w:rsidR="0020710E">
        <w:rPr>
          <w:lang w:val="fr-FR"/>
        </w:rPr>
        <w:t> </w:t>
      </w:r>
      <w:r w:rsidRPr="006A356F">
        <w:rPr>
          <w:lang w:val="fr-FR"/>
        </w:rPr>
        <w:t xml:space="preserve">»). </w:t>
      </w:r>
    </w:p>
    <w:p w14:paraId="77E12695" w14:textId="77777777" w:rsidR="006A356F" w:rsidRPr="006A356F" w:rsidRDefault="006A356F" w:rsidP="006A356F">
      <w:pPr>
        <w:pStyle w:val="SingleTxtG"/>
      </w:pPr>
      <w:r w:rsidRPr="006A356F">
        <w:rPr>
          <w:lang w:val="fr-FR"/>
        </w:rPr>
        <w:t>9.</w:t>
      </w:r>
      <w:r w:rsidRPr="006A356F">
        <w:rPr>
          <w:lang w:val="fr-FR"/>
        </w:rPr>
        <w:tab/>
        <w:t xml:space="preserve">À la </w:t>
      </w:r>
      <w:r w:rsidR="0020710E">
        <w:rPr>
          <w:lang w:val="fr-FR"/>
        </w:rPr>
        <w:t>quinzième</w:t>
      </w:r>
      <w:r w:rsidRPr="006A356F">
        <w:rPr>
          <w:lang w:val="fr-FR"/>
        </w:rPr>
        <w:t xml:space="preserve"> session du groupe de travail permanent, le CEFIC et la société van Hool ont confirmé que pour les conteneurs-citernes de très grandes dimensions les éléments de construction fixés sur les parois des citernes étaient évités et que les organes étaient encastrés dans les citernes. En outre, aucune échelle fixe n</w:t>
      </w:r>
      <w:r>
        <w:rPr>
          <w:lang w:val="fr-FR"/>
        </w:rPr>
        <w:t>’</w:t>
      </w:r>
      <w:r w:rsidRPr="006A356F">
        <w:rPr>
          <w:lang w:val="fr-FR"/>
        </w:rPr>
        <w:t>était installée, seulement des points d</w:t>
      </w:r>
      <w:r>
        <w:rPr>
          <w:lang w:val="fr-FR"/>
        </w:rPr>
        <w:t>’</w:t>
      </w:r>
      <w:r w:rsidRPr="006A356F">
        <w:rPr>
          <w:lang w:val="fr-FR"/>
        </w:rPr>
        <w:t>accroche (voir OTIF/RID/CE/GTT/2018-A, par</w:t>
      </w:r>
      <w:r w:rsidR="0020710E">
        <w:rPr>
          <w:lang w:val="fr-FR"/>
        </w:rPr>
        <w:t>. </w:t>
      </w:r>
      <w:r w:rsidRPr="006A356F">
        <w:rPr>
          <w:lang w:val="fr-FR"/>
        </w:rPr>
        <w:t>23 et</w:t>
      </w:r>
      <w:r w:rsidR="0020710E">
        <w:rPr>
          <w:lang w:val="fr-FR"/>
        </w:rPr>
        <w:t> </w:t>
      </w:r>
      <w:r w:rsidRPr="006A356F">
        <w:rPr>
          <w:lang w:val="fr-FR"/>
        </w:rPr>
        <w:t>24).</w:t>
      </w:r>
    </w:p>
    <w:p w14:paraId="139207BC" w14:textId="77777777" w:rsidR="006A356F" w:rsidRPr="006A356F" w:rsidRDefault="006A356F" w:rsidP="006A356F">
      <w:pPr>
        <w:pStyle w:val="SingleTxtG"/>
      </w:pPr>
      <w:r w:rsidRPr="006A356F">
        <w:rPr>
          <w:lang w:val="fr-FR"/>
        </w:rPr>
        <w:t>10.</w:t>
      </w:r>
      <w:r w:rsidRPr="006A356F">
        <w:rPr>
          <w:lang w:val="fr-FR"/>
        </w:rPr>
        <w:tab/>
        <w:t>Lors de sa dernière réunion, le Groupe de travail permanent a recommandé que cette prescription soit également proposée pour les conteneurs-citernes.</w:t>
      </w:r>
    </w:p>
    <w:p w14:paraId="643F7676" w14:textId="77777777" w:rsidR="006A356F" w:rsidRPr="006A356F" w:rsidRDefault="006A356F" w:rsidP="00990AAF">
      <w:pPr>
        <w:pStyle w:val="H1G"/>
      </w:pPr>
      <w:r w:rsidRPr="006A356F">
        <w:rPr>
          <w:lang w:val="fr-FR"/>
        </w:rPr>
        <w:tab/>
      </w:r>
      <w:r w:rsidRPr="006A356F">
        <w:rPr>
          <w:lang w:val="fr-FR"/>
        </w:rPr>
        <w:tab/>
        <w:t>Proposition</w:t>
      </w:r>
      <w:r w:rsidR="00862EEF">
        <w:rPr>
          <w:lang w:val="fr-FR"/>
        </w:rPr>
        <w:t> </w:t>
      </w:r>
      <w:r w:rsidRPr="006A356F">
        <w:rPr>
          <w:lang w:val="fr-FR"/>
        </w:rPr>
        <w:t>1</w:t>
      </w:r>
    </w:p>
    <w:p w14:paraId="71B06B6D" w14:textId="77777777" w:rsidR="006A356F" w:rsidRPr="006A356F" w:rsidRDefault="006A356F" w:rsidP="006A356F">
      <w:pPr>
        <w:pStyle w:val="SingleTxtG"/>
      </w:pPr>
      <w:r w:rsidRPr="006A356F">
        <w:rPr>
          <w:lang w:val="fr-FR"/>
        </w:rPr>
        <w:t>11.</w:t>
      </w:r>
      <w:r w:rsidRPr="006A356F">
        <w:rPr>
          <w:lang w:val="fr-FR"/>
        </w:rPr>
        <w:tab/>
        <w:t>Il est proposé de modifier le 6.8.2.2.1 comme suit</w:t>
      </w:r>
      <w:r w:rsidR="0020710E">
        <w:rPr>
          <w:lang w:val="fr-FR"/>
        </w:rPr>
        <w:t> :</w:t>
      </w:r>
    </w:p>
    <w:p w14:paraId="18161748" w14:textId="77777777" w:rsidR="006A356F" w:rsidRPr="006A356F" w:rsidRDefault="006A356F" w:rsidP="006A356F">
      <w:pPr>
        <w:pStyle w:val="SingleTxtG"/>
      </w:pPr>
      <w:r w:rsidRPr="006A356F">
        <w:rPr>
          <w:lang w:val="fr-FR"/>
        </w:rPr>
        <w:t>(RID :)</w:t>
      </w:r>
    </w:p>
    <w:p w14:paraId="2287E12D" w14:textId="77777777" w:rsidR="006A356F" w:rsidRPr="006A356F" w:rsidRDefault="006A356F" w:rsidP="0020710E">
      <w:pPr>
        <w:pStyle w:val="SingleTxtG"/>
        <w:ind w:left="2268" w:hanging="1134"/>
      </w:pPr>
      <w:r w:rsidRPr="006A356F">
        <w:rPr>
          <w:b/>
          <w:lang w:val="fr-FR"/>
        </w:rPr>
        <w:t>6.8.2.2.1</w:t>
      </w:r>
      <w:r w:rsidRPr="006A356F">
        <w:rPr>
          <w:lang w:val="fr-FR"/>
        </w:rPr>
        <w:tab/>
        <w:t>Reproduire dans la colonne de droite le texte du deuxième sous-paragraphe figurant actuellement dans la colonne de gauche, à l</w:t>
      </w:r>
      <w:r>
        <w:rPr>
          <w:lang w:val="fr-FR"/>
        </w:rPr>
        <w:t>’</w:t>
      </w:r>
      <w:r w:rsidRPr="006A356F">
        <w:rPr>
          <w:lang w:val="fr-FR"/>
        </w:rPr>
        <w:t>exception du premier tiret, de sorte qu</w:t>
      </w:r>
      <w:r>
        <w:rPr>
          <w:lang w:val="fr-FR"/>
        </w:rPr>
        <w:t>’</w:t>
      </w:r>
      <w:r w:rsidRPr="006A356F">
        <w:rPr>
          <w:lang w:val="fr-FR"/>
        </w:rPr>
        <w:t>il s</w:t>
      </w:r>
      <w:r>
        <w:rPr>
          <w:lang w:val="fr-FR"/>
        </w:rPr>
        <w:t>’</w:t>
      </w:r>
      <w:r w:rsidRPr="006A356F">
        <w:rPr>
          <w:lang w:val="fr-FR"/>
        </w:rPr>
        <w:t>applique également aux conteneurs-citernes.</w:t>
      </w:r>
    </w:p>
    <w:p w14:paraId="51D641C8" w14:textId="77777777" w:rsidR="006A356F" w:rsidRPr="006A356F" w:rsidRDefault="006A356F" w:rsidP="006A356F">
      <w:pPr>
        <w:pStyle w:val="SingleTxtG"/>
      </w:pPr>
      <w:r w:rsidRPr="006A356F">
        <w:rPr>
          <w:lang w:val="fr-FR"/>
        </w:rPr>
        <w:t>(ADR</w:t>
      </w:r>
      <w:r w:rsidR="0020710E">
        <w:rPr>
          <w:lang w:val="fr-FR"/>
        </w:rPr>
        <w:t> </w:t>
      </w:r>
      <w:r w:rsidRPr="006A356F">
        <w:rPr>
          <w:lang w:val="fr-FR"/>
        </w:rPr>
        <w:t>:)</w:t>
      </w:r>
    </w:p>
    <w:p w14:paraId="23A6659B" w14:textId="77777777" w:rsidR="006A356F" w:rsidRPr="006A356F" w:rsidRDefault="006A356F" w:rsidP="006A356F">
      <w:pPr>
        <w:pStyle w:val="SingleTxtG"/>
      </w:pPr>
      <w:r w:rsidRPr="006A356F">
        <w:rPr>
          <w:b/>
          <w:lang w:val="fr-FR"/>
        </w:rPr>
        <w:t>6.8.2.2.1</w:t>
      </w:r>
      <w:r w:rsidRPr="006A356F">
        <w:rPr>
          <w:lang w:val="fr-FR"/>
        </w:rPr>
        <w:tab/>
        <w:t>Ajouter le deuxième sous-paragraphe suivant dans la colonne de droite</w:t>
      </w:r>
      <w:r w:rsidR="00B27BE6">
        <w:rPr>
          <w:lang w:val="fr-FR"/>
        </w:rPr>
        <w:t> :</w:t>
      </w:r>
    </w:p>
    <w:p w14:paraId="4194BDE1" w14:textId="77777777" w:rsidR="006A356F" w:rsidRPr="006A356F" w:rsidRDefault="0020710E" w:rsidP="0020710E">
      <w:pPr>
        <w:pStyle w:val="SingleTxtG"/>
        <w:ind w:left="2268" w:hanging="1134"/>
        <w:rPr>
          <w:bCs/>
          <w:iCs/>
        </w:rPr>
      </w:pPr>
      <w:r>
        <w:rPr>
          <w:lang w:val="fr-FR"/>
        </w:rPr>
        <w:tab/>
        <w:t>« </w:t>
      </w:r>
      <w:r w:rsidR="006A356F" w:rsidRPr="006A356F">
        <w:rPr>
          <w:lang w:val="fr-FR"/>
        </w:rPr>
        <w:t>Les fixations de constructions annexes soudées doivent être réalisées de manière à empêcher que le réservoir ne soit éventré en cas de sollicitations dues à un accident. Les mesures suivantes permettent de satisfaire à cette condition</w:t>
      </w:r>
      <w:r>
        <w:rPr>
          <w:lang w:val="fr-FR"/>
        </w:rPr>
        <w:t> :</w:t>
      </w:r>
    </w:p>
    <w:p w14:paraId="02454106" w14:textId="77777777" w:rsidR="006A356F" w:rsidRPr="006A356F" w:rsidRDefault="006A356F" w:rsidP="0020710E">
      <w:pPr>
        <w:pStyle w:val="SingleTxtG"/>
        <w:ind w:left="2835" w:hanging="567"/>
        <w:rPr>
          <w:bCs/>
          <w:iCs/>
        </w:rPr>
      </w:pPr>
      <w:r w:rsidRPr="006A356F">
        <w:rPr>
          <w:lang w:val="fr-FR"/>
        </w:rPr>
        <w:t>–</w:t>
      </w:r>
      <w:r w:rsidRPr="006A356F">
        <w:rPr>
          <w:lang w:val="fr-FR"/>
        </w:rPr>
        <w:tab/>
        <w:t>Supports de la passerelle supérieure, de l</w:t>
      </w:r>
      <w:r>
        <w:rPr>
          <w:lang w:val="fr-FR"/>
        </w:rPr>
        <w:t>’</w:t>
      </w:r>
      <w:r w:rsidRPr="006A356F">
        <w:rPr>
          <w:lang w:val="fr-FR"/>
        </w:rPr>
        <w:t>échelle d</w:t>
      </w:r>
      <w:r>
        <w:rPr>
          <w:lang w:val="fr-FR"/>
        </w:rPr>
        <w:t>’</w:t>
      </w:r>
      <w:r w:rsidRPr="006A356F">
        <w:rPr>
          <w:lang w:val="fr-FR"/>
        </w:rPr>
        <w:t>accès, des tubulures de vidange, de la commande de la soupape et autres consoles de transmission d</w:t>
      </w:r>
      <w:r>
        <w:rPr>
          <w:lang w:val="fr-FR"/>
        </w:rPr>
        <w:t>’</w:t>
      </w:r>
      <w:r w:rsidRPr="006A356F">
        <w:rPr>
          <w:lang w:val="fr-FR"/>
        </w:rPr>
        <w:t>efforts</w:t>
      </w:r>
      <w:r w:rsidR="0020710E">
        <w:rPr>
          <w:lang w:val="fr-FR"/>
        </w:rPr>
        <w:t> </w:t>
      </w:r>
      <w:r w:rsidRPr="006A356F">
        <w:rPr>
          <w:lang w:val="fr-FR"/>
        </w:rPr>
        <w:t>: fixation par l</w:t>
      </w:r>
      <w:r>
        <w:rPr>
          <w:lang w:val="fr-FR"/>
        </w:rPr>
        <w:t>’</w:t>
      </w:r>
      <w:r w:rsidRPr="006A356F">
        <w:rPr>
          <w:lang w:val="fr-FR"/>
        </w:rPr>
        <w:t>intermédiaire d</w:t>
      </w:r>
      <w:r>
        <w:rPr>
          <w:lang w:val="fr-FR"/>
        </w:rPr>
        <w:t>’</w:t>
      </w:r>
      <w:r w:rsidRPr="006A356F">
        <w:rPr>
          <w:lang w:val="fr-FR"/>
        </w:rPr>
        <w:t>une plaque de renfort rapportée par soudure</w:t>
      </w:r>
      <w:r w:rsidR="0020710E">
        <w:rPr>
          <w:lang w:val="fr-FR"/>
        </w:rPr>
        <w:t> ;</w:t>
      </w:r>
    </w:p>
    <w:p w14:paraId="35DC4651" w14:textId="77777777" w:rsidR="006A356F" w:rsidRPr="006A356F" w:rsidRDefault="006A356F" w:rsidP="0020710E">
      <w:pPr>
        <w:pStyle w:val="SingleTxtG"/>
        <w:ind w:left="2835" w:hanging="567"/>
        <w:rPr>
          <w:bCs/>
          <w:iCs/>
        </w:rPr>
      </w:pPr>
      <w:r w:rsidRPr="006A356F">
        <w:rPr>
          <w:lang w:val="fr-FR"/>
        </w:rPr>
        <w:t>–</w:t>
      </w:r>
      <w:r w:rsidRPr="006A356F">
        <w:rPr>
          <w:lang w:val="fr-FR"/>
        </w:rPr>
        <w:tab/>
        <w:t xml:space="preserve">Dimensionnement approprié ou autres mesures de protection (par exemple </w:t>
      </w:r>
      <w:r w:rsidR="0020710E" w:rsidRPr="0020710E">
        <w:t>“</w:t>
      </w:r>
      <w:r w:rsidRPr="006A356F">
        <w:rPr>
          <w:lang w:val="fr-FR"/>
        </w:rPr>
        <w:t>zone fusible</w:t>
      </w:r>
      <w:r w:rsidR="0020710E" w:rsidRPr="0020710E">
        <w:t>”</w:t>
      </w:r>
      <w:r w:rsidRPr="006A356F">
        <w:rPr>
          <w:lang w:val="fr-FR"/>
        </w:rPr>
        <w:t>).</w:t>
      </w:r>
      <w:r w:rsidR="0020710E">
        <w:rPr>
          <w:lang w:val="fr-FR"/>
        </w:rPr>
        <w:t> »</w:t>
      </w:r>
    </w:p>
    <w:p w14:paraId="5E8261AD" w14:textId="77777777" w:rsidR="006A356F" w:rsidRPr="006A356F" w:rsidRDefault="006A356F" w:rsidP="006A356F">
      <w:pPr>
        <w:pStyle w:val="SingleTxtG"/>
      </w:pPr>
      <w:r w:rsidRPr="006A356F">
        <w:rPr>
          <w:lang w:val="fr-FR"/>
        </w:rPr>
        <w:t>12.</w:t>
      </w:r>
      <w:r w:rsidRPr="006A356F">
        <w:rPr>
          <w:lang w:val="fr-FR"/>
        </w:rPr>
        <w:tab/>
        <w:t>Le cas échéant, le Groupe de travail des citernes pourrait aussi vérifier si une disposition similaire est également nécessaire pour les véhicules-citernes.</w:t>
      </w:r>
    </w:p>
    <w:p w14:paraId="4AEA08EE" w14:textId="77777777" w:rsidR="006A356F" w:rsidRPr="006A356F" w:rsidRDefault="006A356F" w:rsidP="002E7017">
      <w:pPr>
        <w:pStyle w:val="H1G"/>
      </w:pPr>
      <w:r w:rsidRPr="006A356F">
        <w:rPr>
          <w:lang w:val="fr-FR"/>
        </w:rPr>
        <w:tab/>
      </w:r>
      <w:r w:rsidRPr="006A356F">
        <w:rPr>
          <w:lang w:val="fr-FR"/>
        </w:rPr>
        <w:tab/>
        <w:t>Résistance à la pression des dispositifs de fermeture</w:t>
      </w:r>
    </w:p>
    <w:p w14:paraId="0F657F8F" w14:textId="77777777" w:rsidR="006A356F" w:rsidRPr="006A356F" w:rsidRDefault="006A356F" w:rsidP="006A356F">
      <w:pPr>
        <w:pStyle w:val="SingleTxtG"/>
      </w:pPr>
      <w:r w:rsidRPr="006A356F">
        <w:rPr>
          <w:lang w:val="fr-FR"/>
        </w:rPr>
        <w:t>13.</w:t>
      </w:r>
      <w:r w:rsidRPr="006A356F">
        <w:rPr>
          <w:lang w:val="fr-FR"/>
        </w:rPr>
        <w:tab/>
        <w:t>Le paragraphe 6.8.2.2.4 se lit actuellement comme suit</w:t>
      </w:r>
      <w:r w:rsidR="00B27BE6">
        <w:rPr>
          <w:lang w:val="fr-FR"/>
        </w:rPr>
        <w: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3848"/>
        <w:gridCol w:w="2374"/>
      </w:tblGrid>
      <w:tr w:rsidR="006A356F" w:rsidRPr="006A356F" w14:paraId="71C8EF3E" w14:textId="77777777" w:rsidTr="00B27BE6">
        <w:tc>
          <w:tcPr>
            <w:tcW w:w="1148" w:type="dxa"/>
          </w:tcPr>
          <w:p w14:paraId="43DB5668" w14:textId="77777777" w:rsidR="006A356F" w:rsidRPr="006A356F" w:rsidRDefault="006A356F" w:rsidP="00B27BE6">
            <w:pPr>
              <w:pStyle w:val="SingleTxtG"/>
              <w:ind w:left="0" w:right="0"/>
            </w:pPr>
            <w:r w:rsidRPr="006A356F">
              <w:rPr>
                <w:b/>
                <w:bCs/>
                <w:lang w:val="fr-FR"/>
              </w:rPr>
              <w:t>6.8.2.2.4</w:t>
            </w:r>
          </w:p>
        </w:tc>
        <w:tc>
          <w:tcPr>
            <w:tcW w:w="622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7805"/>
            </w:tblGrid>
            <w:tr w:rsidR="006A356F" w:rsidRPr="006A356F" w14:paraId="0ED80538" w14:textId="77777777" w:rsidTr="00B27BE6">
              <w:trPr>
                <w:trHeight w:val="187"/>
              </w:trPr>
              <w:tc>
                <w:tcPr>
                  <w:tcW w:w="7805" w:type="dxa"/>
                  <w:tcMar>
                    <w:left w:w="0" w:type="dxa"/>
                    <w:right w:w="0" w:type="dxa"/>
                  </w:tcMar>
                </w:tcPr>
                <w:p w14:paraId="508EBC3B" w14:textId="77777777" w:rsidR="006A356F" w:rsidRPr="006A356F" w:rsidRDefault="006A356F" w:rsidP="00B27BE6">
                  <w:pPr>
                    <w:pStyle w:val="SingleTxtG"/>
                    <w:ind w:left="0" w:right="0"/>
                    <w:jc w:val="left"/>
                  </w:pPr>
                  <w:r w:rsidRPr="006A356F">
                    <w:rPr>
                      <w:lang w:val="fr-FR"/>
                    </w:rPr>
                    <w:t>Le réservoir ou chacun de ses compartiments doit être pourvu d</w:t>
                  </w:r>
                  <w:r>
                    <w:rPr>
                      <w:lang w:val="fr-FR"/>
                    </w:rPr>
                    <w:t>’</w:t>
                  </w:r>
                  <w:r w:rsidRPr="006A356F">
                    <w:rPr>
                      <w:lang w:val="fr-FR"/>
                    </w:rPr>
                    <w:t xml:space="preserve">une ouverture </w:t>
                  </w:r>
                  <w:r w:rsidR="00B27BE6">
                    <w:rPr>
                      <w:lang w:val="fr-FR"/>
                    </w:rPr>
                    <w:br/>
                  </w:r>
                  <w:r w:rsidRPr="006A356F">
                    <w:rPr>
                      <w:lang w:val="fr-FR"/>
                    </w:rPr>
                    <w:t>suffisante pour en permettre l</w:t>
                  </w:r>
                  <w:r>
                    <w:rPr>
                      <w:lang w:val="fr-FR"/>
                    </w:rPr>
                    <w:t>’</w:t>
                  </w:r>
                  <w:r w:rsidRPr="006A356F">
                    <w:rPr>
                      <w:lang w:val="fr-FR"/>
                    </w:rPr>
                    <w:t xml:space="preserve">inspection. </w:t>
                  </w:r>
                </w:p>
              </w:tc>
            </w:tr>
          </w:tbl>
          <w:p w14:paraId="104CEA65" w14:textId="77777777" w:rsidR="006A356F" w:rsidRPr="006A356F" w:rsidRDefault="006A356F" w:rsidP="00B27BE6">
            <w:pPr>
              <w:pStyle w:val="SingleTxtG"/>
              <w:ind w:left="0" w:right="0"/>
            </w:pPr>
          </w:p>
        </w:tc>
      </w:tr>
      <w:tr w:rsidR="006A356F" w:rsidRPr="006A356F" w14:paraId="2CE6C867" w14:textId="77777777" w:rsidTr="00B27BE6">
        <w:tc>
          <w:tcPr>
            <w:tcW w:w="1148" w:type="dxa"/>
          </w:tcPr>
          <w:p w14:paraId="448F1376" w14:textId="77777777" w:rsidR="006A356F" w:rsidRPr="006A356F" w:rsidRDefault="006A356F" w:rsidP="00B27BE6">
            <w:pPr>
              <w:pStyle w:val="SingleTxtG"/>
              <w:ind w:left="0" w:right="0"/>
            </w:pPr>
          </w:p>
        </w:tc>
        <w:tc>
          <w:tcPr>
            <w:tcW w:w="3848" w:type="dxa"/>
            <w:tcBorders>
              <w:right w:val="single" w:sz="4" w:space="0" w:color="auto"/>
            </w:tcBorders>
          </w:tcPr>
          <w:p w14:paraId="3FEA6C1C" w14:textId="77777777" w:rsidR="006A356F" w:rsidRPr="006A356F" w:rsidRDefault="006A356F" w:rsidP="00B27BE6">
            <w:pPr>
              <w:pStyle w:val="SingleTxtG"/>
              <w:ind w:left="0" w:right="0"/>
            </w:pPr>
            <w:r w:rsidRPr="006A356F">
              <w:rPr>
                <w:lang w:val="fr-FR"/>
              </w:rPr>
              <w:t>(RID seulement</w:t>
            </w:r>
            <w:r w:rsidR="00B27BE6">
              <w:rPr>
                <w:lang w:val="fr-FR"/>
              </w:rPr>
              <w:t> </w:t>
            </w:r>
            <w:r w:rsidRPr="006A356F">
              <w:rPr>
                <w:lang w:val="fr-FR"/>
              </w:rPr>
              <w:t>:)</w:t>
            </w:r>
          </w:p>
          <w:p w14:paraId="1F424AA3" w14:textId="77777777" w:rsidR="006A356F" w:rsidRPr="006A356F" w:rsidRDefault="006A356F" w:rsidP="00B27BE6">
            <w:pPr>
              <w:pStyle w:val="SingleTxtG"/>
              <w:ind w:left="0" w:right="0"/>
              <w:jc w:val="left"/>
            </w:pPr>
            <w:r w:rsidRPr="006A356F">
              <w:rPr>
                <w:lang w:val="fr-FR"/>
              </w:rPr>
              <w:t>Ces ouvertures doivent être munies de fermetures qui sont conçues pour une pression d</w:t>
            </w:r>
            <w:r w:rsidRPr="00B27BE6">
              <w:rPr>
                <w:lang w:val="fr-FR"/>
              </w:rPr>
              <w:t>’</w:t>
            </w:r>
            <w:r w:rsidRPr="006A356F">
              <w:rPr>
                <w:lang w:val="fr-FR"/>
              </w:rPr>
              <w:t>épreuve d</w:t>
            </w:r>
            <w:r w:rsidRPr="00B27BE6">
              <w:rPr>
                <w:lang w:val="fr-FR"/>
              </w:rPr>
              <w:t>’</w:t>
            </w:r>
            <w:r w:rsidRPr="006A356F">
              <w:rPr>
                <w:lang w:val="fr-FR"/>
              </w:rPr>
              <w:t xml:space="preserve">au moins 0,4 MPa (4 </w:t>
            </w:r>
            <w:proofErr w:type="gramStart"/>
            <w:r w:rsidRPr="006A356F">
              <w:rPr>
                <w:lang w:val="fr-FR"/>
              </w:rPr>
              <w:t>bar</w:t>
            </w:r>
            <w:proofErr w:type="gramEnd"/>
            <w:r w:rsidRPr="006A356F">
              <w:rPr>
                <w:lang w:val="fr-FR"/>
              </w:rPr>
              <w:t>). Les</w:t>
            </w:r>
            <w:r w:rsidR="00B27BE6">
              <w:rPr>
                <w:lang w:val="fr-FR"/>
              </w:rPr>
              <w:t> </w:t>
            </w:r>
            <w:r w:rsidRPr="006A356F">
              <w:rPr>
                <w:lang w:val="fr-FR"/>
              </w:rPr>
              <w:t>couvercles de dôme rabattables pour les</w:t>
            </w:r>
            <w:r w:rsidR="00770E11">
              <w:rPr>
                <w:lang w:val="fr-FR"/>
              </w:rPr>
              <w:t> </w:t>
            </w:r>
            <w:r w:rsidRPr="006A356F">
              <w:rPr>
                <w:lang w:val="fr-FR"/>
              </w:rPr>
              <w:t>citernes ayant une pression d</w:t>
            </w:r>
            <w:r w:rsidRPr="00B27BE6">
              <w:rPr>
                <w:lang w:val="fr-FR"/>
              </w:rPr>
              <w:t>’</w:t>
            </w:r>
            <w:r w:rsidRPr="006A356F">
              <w:rPr>
                <w:lang w:val="fr-FR"/>
              </w:rPr>
              <w:t>épreuve supérieure à 0,6 MPa (6 </w:t>
            </w:r>
            <w:proofErr w:type="gramStart"/>
            <w:r w:rsidRPr="006A356F">
              <w:rPr>
                <w:lang w:val="fr-FR"/>
              </w:rPr>
              <w:t>bar</w:t>
            </w:r>
            <w:proofErr w:type="gramEnd"/>
            <w:r w:rsidRPr="006A356F">
              <w:rPr>
                <w:lang w:val="fr-FR"/>
              </w:rPr>
              <w:t>) ne sont pas autorisés.</w:t>
            </w:r>
          </w:p>
        </w:tc>
        <w:tc>
          <w:tcPr>
            <w:tcW w:w="2374" w:type="dxa"/>
            <w:tcBorders>
              <w:left w:val="single" w:sz="4" w:space="0" w:color="auto"/>
            </w:tcBorders>
          </w:tcPr>
          <w:p w14:paraId="4D36083C" w14:textId="77777777" w:rsidR="006A356F" w:rsidRPr="006A356F" w:rsidRDefault="006A356F" w:rsidP="00B27BE6">
            <w:pPr>
              <w:pStyle w:val="SingleTxtG"/>
              <w:ind w:left="0" w:right="0"/>
            </w:pPr>
          </w:p>
        </w:tc>
      </w:tr>
    </w:tbl>
    <w:p w14:paraId="2CA2F2C2" w14:textId="77777777" w:rsidR="006A356F" w:rsidRPr="006A356F" w:rsidRDefault="006A356F" w:rsidP="006A356F">
      <w:pPr>
        <w:pStyle w:val="SingleTxtG"/>
      </w:pPr>
      <w:r w:rsidRPr="006A356F">
        <w:rPr>
          <w:lang w:val="fr-FR"/>
        </w:rPr>
        <w:t>14.</w:t>
      </w:r>
      <w:r w:rsidRPr="006A356F">
        <w:rPr>
          <w:lang w:val="fr-FR"/>
        </w:rPr>
        <w:tab/>
        <w:t>Dans le rapport portant la cote OTIF/RID/CE/GTT/2018-A, le Groupe de travail des aspects techniques des citernes et des véhicules a fait à ce sujet les observations suivantes :</w:t>
      </w:r>
    </w:p>
    <w:p w14:paraId="0247C011" w14:textId="77777777" w:rsidR="006A356F" w:rsidRPr="006A356F" w:rsidRDefault="00B27BE6" w:rsidP="00B27BE6">
      <w:pPr>
        <w:pStyle w:val="SingleTxtG"/>
        <w:ind w:left="1701"/>
        <w:rPr>
          <w:bCs/>
          <w:i/>
        </w:rPr>
      </w:pPr>
      <w:r>
        <w:rPr>
          <w:lang w:val="fr-FR"/>
        </w:rPr>
        <w:t>« </w:t>
      </w:r>
      <w:r w:rsidR="006A356F" w:rsidRPr="006A356F">
        <w:rPr>
          <w:i/>
          <w:iCs/>
          <w:u w:val="single"/>
          <w:lang w:val="fr-FR"/>
        </w:rPr>
        <w:t>Résistance à la pression des dispositifs de fermeture</w:t>
      </w:r>
    </w:p>
    <w:p w14:paraId="159FF983" w14:textId="77777777" w:rsidR="006A356F" w:rsidRPr="006A356F" w:rsidRDefault="006A356F" w:rsidP="00B27BE6">
      <w:pPr>
        <w:pStyle w:val="SingleTxtG"/>
        <w:ind w:left="1701"/>
        <w:rPr>
          <w:bCs/>
          <w:i/>
        </w:rPr>
      </w:pPr>
      <w:r w:rsidRPr="006A356F">
        <w:rPr>
          <w:lang w:val="fr-FR"/>
        </w:rPr>
        <w:t>26.</w:t>
      </w:r>
      <w:r w:rsidRPr="006A356F">
        <w:rPr>
          <w:lang w:val="fr-FR"/>
        </w:rPr>
        <w:tab/>
      </w:r>
      <w:r w:rsidRPr="006A356F">
        <w:rPr>
          <w:i/>
          <w:iCs/>
          <w:lang w:val="fr-FR"/>
        </w:rPr>
        <w:t xml:space="preserve">Le 6.8.2.2.4 prévoit pour les ouvertures des wagons-citernes une certaine résistance à la pression des dispositifs de fermeture. Cette prescription a été </w:t>
      </w:r>
      <w:r w:rsidRPr="006A356F">
        <w:rPr>
          <w:i/>
          <w:iCs/>
          <w:lang w:val="fr-FR"/>
        </w:rPr>
        <w:lastRenderedPageBreak/>
        <w:t>introduite pour obvier aux défauts d</w:t>
      </w:r>
      <w:r>
        <w:rPr>
          <w:i/>
          <w:iCs/>
          <w:lang w:val="fr-FR"/>
        </w:rPr>
        <w:t>’</w:t>
      </w:r>
      <w:r w:rsidRPr="006A356F">
        <w:rPr>
          <w:i/>
          <w:iCs/>
          <w:lang w:val="fr-FR"/>
        </w:rPr>
        <w:t>étanchéité des fermetures consécutifs à des oscillations du contenu.</w:t>
      </w:r>
      <w:r w:rsidRPr="006A356F">
        <w:rPr>
          <w:lang w:val="fr-FR"/>
        </w:rPr>
        <w:t xml:space="preserve"> </w:t>
      </w:r>
    </w:p>
    <w:p w14:paraId="3533C5F3" w14:textId="77777777" w:rsidR="006A356F" w:rsidRPr="006A356F" w:rsidRDefault="006A356F" w:rsidP="00B27BE6">
      <w:pPr>
        <w:pStyle w:val="SingleTxtG"/>
        <w:ind w:left="1701"/>
        <w:rPr>
          <w:bCs/>
          <w:i/>
        </w:rPr>
      </w:pPr>
      <w:r w:rsidRPr="006A356F">
        <w:rPr>
          <w:lang w:val="fr-FR"/>
        </w:rPr>
        <w:t>27.</w:t>
      </w:r>
      <w:r w:rsidRPr="006A356F">
        <w:rPr>
          <w:lang w:val="fr-FR"/>
        </w:rPr>
        <w:tab/>
      </w:r>
      <w:r w:rsidRPr="006A356F">
        <w:rPr>
          <w:i/>
          <w:iCs/>
          <w:lang w:val="fr-FR"/>
        </w:rPr>
        <w:t>Le représentant de van Hool confirme que les très grands conteneurs-citernes satisfont également à cette prescription.</w:t>
      </w:r>
    </w:p>
    <w:p w14:paraId="1E3DBDF7" w14:textId="77777777" w:rsidR="006A356F" w:rsidRPr="006A356F" w:rsidRDefault="006A356F" w:rsidP="00B27BE6">
      <w:pPr>
        <w:pStyle w:val="SingleTxtG"/>
        <w:ind w:left="1701"/>
      </w:pPr>
      <w:r w:rsidRPr="006A356F">
        <w:rPr>
          <w:lang w:val="fr-FR"/>
        </w:rPr>
        <w:t>28.</w:t>
      </w:r>
      <w:r w:rsidRPr="006A356F">
        <w:rPr>
          <w:lang w:val="fr-FR"/>
        </w:rPr>
        <w:tab/>
      </w:r>
      <w:r w:rsidRPr="006A356F">
        <w:rPr>
          <w:i/>
          <w:iCs/>
          <w:lang w:val="fr-FR"/>
        </w:rPr>
        <w:t>Le Groupe de travail prie le groupe de travail sur les citernes de la Réunion commune d</w:t>
      </w:r>
      <w:r>
        <w:rPr>
          <w:i/>
          <w:iCs/>
          <w:lang w:val="fr-FR"/>
        </w:rPr>
        <w:t>’</w:t>
      </w:r>
      <w:r w:rsidRPr="006A356F">
        <w:rPr>
          <w:i/>
          <w:iCs/>
          <w:lang w:val="fr-FR"/>
        </w:rPr>
        <w:t>examiner si les prescriptions en la matière pour les wagons-citernes et les conteneurs-citernes peuvent être harmonisées, étant donné que la norme EN</w:t>
      </w:r>
      <w:r w:rsidR="00770E11">
        <w:rPr>
          <w:i/>
          <w:iCs/>
          <w:lang w:val="fr-FR"/>
        </w:rPr>
        <w:t> </w:t>
      </w:r>
      <w:r w:rsidRPr="006A356F">
        <w:rPr>
          <w:i/>
          <w:iCs/>
          <w:lang w:val="fr-FR"/>
        </w:rPr>
        <w:t>14025 prévoit elle aussi des valeurs de pression analogues pour toutes les citernes.</w:t>
      </w:r>
      <w:r w:rsidR="00B27BE6">
        <w:t> »</w:t>
      </w:r>
    </w:p>
    <w:p w14:paraId="41AD7988" w14:textId="77777777" w:rsidR="006A356F" w:rsidRPr="006A356F" w:rsidRDefault="006A356F" w:rsidP="006A356F">
      <w:pPr>
        <w:pStyle w:val="SingleTxtG"/>
      </w:pPr>
      <w:r w:rsidRPr="006A356F">
        <w:rPr>
          <w:lang w:val="fr-FR"/>
        </w:rPr>
        <w:t>15.</w:t>
      </w:r>
      <w:r w:rsidRPr="006A356F">
        <w:rPr>
          <w:lang w:val="fr-FR"/>
        </w:rPr>
        <w:tab/>
        <w:t>À sa réunion de mars</w:t>
      </w:r>
      <w:r w:rsidR="00B27BE6">
        <w:rPr>
          <w:lang w:val="fr-FR"/>
        </w:rPr>
        <w:t> </w:t>
      </w:r>
      <w:r w:rsidRPr="006A356F">
        <w:rPr>
          <w:lang w:val="fr-FR"/>
        </w:rPr>
        <w:t>2018, le Groupe de travail des citernes de la Réunion commune avait déjà établi qu</w:t>
      </w:r>
      <w:r>
        <w:rPr>
          <w:lang w:val="fr-FR"/>
        </w:rPr>
        <w:t>’</w:t>
      </w:r>
      <w:r w:rsidRPr="006A356F">
        <w:rPr>
          <w:lang w:val="fr-FR"/>
        </w:rPr>
        <w:t>en raison de la longueur plus importante des conteneurs-citernes de très grandes dimensions, les surpressions résultant d</w:t>
      </w:r>
      <w:r>
        <w:rPr>
          <w:lang w:val="fr-FR"/>
        </w:rPr>
        <w:t>’</w:t>
      </w:r>
      <w:r w:rsidRPr="006A356F">
        <w:rPr>
          <w:lang w:val="fr-FR"/>
        </w:rPr>
        <w:t>oscillations étaient également plus importantes que dans les conteneurs-citernes classiques. Cela pourrait justifier l</w:t>
      </w:r>
      <w:r>
        <w:rPr>
          <w:lang w:val="fr-FR"/>
        </w:rPr>
        <w:t>’</w:t>
      </w:r>
      <w:r w:rsidRPr="006A356F">
        <w:rPr>
          <w:lang w:val="fr-FR"/>
        </w:rPr>
        <w:t>application du</w:t>
      </w:r>
      <w:r w:rsidR="00770E11">
        <w:rPr>
          <w:lang w:val="fr-FR"/>
        </w:rPr>
        <w:t> </w:t>
      </w:r>
      <w:r w:rsidRPr="006A356F">
        <w:rPr>
          <w:lang w:val="fr-FR"/>
        </w:rPr>
        <w:t>6.8.2.2.4 aux conteneurs-citernes de très grandes dimensions (voir ECE/TRANS/WP.15/AC.1/150/Add.1 (OTIF/RID/RC/2018/Add.1), par</w:t>
      </w:r>
      <w:r w:rsidR="00B27BE6">
        <w:rPr>
          <w:lang w:val="fr-FR"/>
        </w:rPr>
        <w:t>. </w:t>
      </w:r>
      <w:r w:rsidRPr="006A356F">
        <w:rPr>
          <w:lang w:val="fr-FR"/>
        </w:rPr>
        <w:t>32).</w:t>
      </w:r>
    </w:p>
    <w:p w14:paraId="371C3737" w14:textId="77777777" w:rsidR="006A356F" w:rsidRPr="006A356F" w:rsidRDefault="006A356F" w:rsidP="006A356F">
      <w:pPr>
        <w:pStyle w:val="SingleTxtG"/>
      </w:pPr>
      <w:r w:rsidRPr="006A356F">
        <w:rPr>
          <w:lang w:val="fr-FR"/>
        </w:rPr>
        <w:t>16.</w:t>
      </w:r>
      <w:r w:rsidRPr="006A356F">
        <w:rPr>
          <w:lang w:val="fr-FR"/>
        </w:rPr>
        <w:tab/>
        <w:t>Après qu</w:t>
      </w:r>
      <w:r>
        <w:rPr>
          <w:lang w:val="fr-FR"/>
        </w:rPr>
        <w:t>’</w:t>
      </w:r>
      <w:r w:rsidRPr="006A356F">
        <w:rPr>
          <w:lang w:val="fr-FR"/>
        </w:rPr>
        <w:t xml:space="preserve">il eut été à nouveau confirmé, à sa </w:t>
      </w:r>
      <w:r w:rsidR="00B27BE6">
        <w:rPr>
          <w:lang w:val="fr-FR"/>
        </w:rPr>
        <w:t xml:space="preserve">dix-septième </w:t>
      </w:r>
      <w:r w:rsidRPr="006A356F">
        <w:rPr>
          <w:lang w:val="fr-FR"/>
        </w:rPr>
        <w:t>session, que les dispositifs de fermeture des conteneurs-citernes de très grandes dimensions déjà existants satisfaisaient à cette prescription et que les conteneurs-citernes classiques actuels n</w:t>
      </w:r>
      <w:r>
        <w:rPr>
          <w:lang w:val="fr-FR"/>
        </w:rPr>
        <w:t>’</w:t>
      </w:r>
      <w:r w:rsidRPr="006A356F">
        <w:rPr>
          <w:lang w:val="fr-FR"/>
        </w:rPr>
        <w:t>étaient également conçus que pour une pression de calcul d</w:t>
      </w:r>
      <w:r>
        <w:rPr>
          <w:lang w:val="fr-FR"/>
        </w:rPr>
        <w:t>’</w:t>
      </w:r>
      <w:r w:rsidRPr="006A356F">
        <w:rPr>
          <w:lang w:val="fr-FR"/>
        </w:rPr>
        <w:t>au moins 4</w:t>
      </w:r>
      <w:r w:rsidR="00B27BE6">
        <w:rPr>
          <w:lang w:val="fr-FR"/>
        </w:rPr>
        <w:t> </w:t>
      </w:r>
      <w:r w:rsidRPr="006A356F">
        <w:rPr>
          <w:lang w:val="fr-FR"/>
        </w:rPr>
        <w:t>bar, le Groupe de travail des aspects techniques des citernes et des véhicules a recommandé de proposer au Groupe de travail des citernes de la Réunion commune RID/ADR/ADN d</w:t>
      </w:r>
      <w:r>
        <w:rPr>
          <w:lang w:val="fr-FR"/>
        </w:rPr>
        <w:t>’</w:t>
      </w:r>
      <w:r w:rsidRPr="006A356F">
        <w:rPr>
          <w:lang w:val="fr-FR"/>
        </w:rPr>
        <w:t>appliquer également cette prescription aux conteneurs-citernes.</w:t>
      </w:r>
    </w:p>
    <w:p w14:paraId="507F0688" w14:textId="77777777" w:rsidR="006A356F" w:rsidRPr="006A356F" w:rsidRDefault="006A356F" w:rsidP="00016295">
      <w:pPr>
        <w:pStyle w:val="H1G"/>
      </w:pPr>
      <w:r w:rsidRPr="006A356F">
        <w:rPr>
          <w:lang w:val="fr-FR"/>
        </w:rPr>
        <w:tab/>
      </w:r>
      <w:r w:rsidRPr="006A356F">
        <w:rPr>
          <w:lang w:val="fr-FR"/>
        </w:rPr>
        <w:tab/>
        <w:t>Proposition</w:t>
      </w:r>
      <w:r w:rsidR="00B27BE6">
        <w:rPr>
          <w:lang w:val="fr-FR"/>
        </w:rPr>
        <w:t> </w:t>
      </w:r>
      <w:r w:rsidRPr="006A356F">
        <w:rPr>
          <w:lang w:val="fr-FR"/>
        </w:rPr>
        <w:t>2</w:t>
      </w:r>
    </w:p>
    <w:p w14:paraId="342A692C" w14:textId="77777777" w:rsidR="006A356F" w:rsidRPr="006A356F" w:rsidRDefault="006A356F" w:rsidP="006A356F">
      <w:pPr>
        <w:pStyle w:val="SingleTxtG"/>
      </w:pPr>
      <w:r w:rsidRPr="006A356F">
        <w:rPr>
          <w:lang w:val="fr-FR"/>
        </w:rPr>
        <w:t>17.</w:t>
      </w:r>
      <w:r w:rsidRPr="006A356F">
        <w:rPr>
          <w:lang w:val="fr-FR"/>
        </w:rPr>
        <w:tab/>
        <w:t>Il est proposé de modifier le 6.8.2.2.4 comme suit</w:t>
      </w:r>
      <w:r w:rsidR="00B27BE6">
        <w:rPr>
          <w:lang w:val="fr-FR"/>
        </w:rPr>
        <w:t> :</w:t>
      </w:r>
    </w:p>
    <w:p w14:paraId="5A1187B0" w14:textId="77777777" w:rsidR="006A356F" w:rsidRPr="006A356F" w:rsidRDefault="006A356F" w:rsidP="006A356F">
      <w:pPr>
        <w:pStyle w:val="SingleTxtG"/>
      </w:pPr>
      <w:r w:rsidRPr="006A356F">
        <w:rPr>
          <w:lang w:val="fr-FR"/>
        </w:rPr>
        <w:t>(RID :)</w:t>
      </w:r>
    </w:p>
    <w:p w14:paraId="6D8F4872" w14:textId="77777777" w:rsidR="006A356F" w:rsidRPr="006A356F" w:rsidRDefault="006A356F" w:rsidP="00D56449">
      <w:pPr>
        <w:pStyle w:val="SingleTxtG"/>
        <w:ind w:left="2268" w:hanging="1134"/>
      </w:pPr>
      <w:r w:rsidRPr="006A356F">
        <w:rPr>
          <w:b/>
          <w:lang w:val="fr-FR"/>
        </w:rPr>
        <w:t>6.8.2.2.4</w:t>
      </w:r>
      <w:r w:rsidRPr="006A356F">
        <w:rPr>
          <w:lang w:val="fr-FR"/>
        </w:rPr>
        <w:tab/>
        <w:t>Reproduire dans la colonne de droite le texte du deuxième sous-paragraphe figurant actuellement dans la colonne de gauche, de sorte qu</w:t>
      </w:r>
      <w:r>
        <w:rPr>
          <w:lang w:val="fr-FR"/>
        </w:rPr>
        <w:t>’</w:t>
      </w:r>
      <w:r w:rsidRPr="006A356F">
        <w:rPr>
          <w:lang w:val="fr-FR"/>
        </w:rPr>
        <w:t>il s</w:t>
      </w:r>
      <w:r>
        <w:rPr>
          <w:lang w:val="fr-FR"/>
        </w:rPr>
        <w:t>’</w:t>
      </w:r>
      <w:r w:rsidRPr="006A356F">
        <w:rPr>
          <w:lang w:val="fr-FR"/>
        </w:rPr>
        <w:t>applique également aux conteneurs-citernes.</w:t>
      </w:r>
    </w:p>
    <w:p w14:paraId="2CDB31A1" w14:textId="77777777" w:rsidR="006A356F" w:rsidRPr="006A356F" w:rsidRDefault="006A356F" w:rsidP="006A356F">
      <w:pPr>
        <w:pStyle w:val="SingleTxtG"/>
      </w:pPr>
      <w:r w:rsidRPr="006A356F">
        <w:rPr>
          <w:lang w:val="fr-FR"/>
        </w:rPr>
        <w:t>(ADR :)</w:t>
      </w:r>
    </w:p>
    <w:p w14:paraId="700BBCD6" w14:textId="77777777" w:rsidR="006A356F" w:rsidRPr="006A356F" w:rsidRDefault="006A356F" w:rsidP="006A356F">
      <w:pPr>
        <w:pStyle w:val="SingleTxtG"/>
      </w:pPr>
      <w:r w:rsidRPr="006A356F">
        <w:rPr>
          <w:b/>
          <w:lang w:val="fr-FR"/>
        </w:rPr>
        <w:t>6.8.2.2.1</w:t>
      </w:r>
      <w:r w:rsidRPr="006A356F">
        <w:rPr>
          <w:lang w:val="fr-FR"/>
        </w:rPr>
        <w:tab/>
        <w:t>Ajouter le deuxième sous-paragraphe suivant dans la colonne de droite</w:t>
      </w:r>
      <w:r w:rsidR="00D56449">
        <w:rPr>
          <w:lang w:val="fr-FR"/>
        </w:rPr>
        <w:t> :</w:t>
      </w:r>
    </w:p>
    <w:p w14:paraId="0D58454C" w14:textId="77777777" w:rsidR="006A356F" w:rsidRPr="006A356F" w:rsidRDefault="00D56449" w:rsidP="00D56449">
      <w:pPr>
        <w:pStyle w:val="SingleTxtG"/>
        <w:ind w:left="2268" w:hanging="1134"/>
      </w:pPr>
      <w:r>
        <w:rPr>
          <w:lang w:val="fr-FR"/>
        </w:rPr>
        <w:tab/>
        <w:t>« </w:t>
      </w:r>
      <w:r w:rsidR="006A356F" w:rsidRPr="006A356F">
        <w:rPr>
          <w:lang w:val="fr-FR"/>
        </w:rPr>
        <w:t>Ces ouvertures doivent être munies de dispositifs de fermeture qui sont conçus pour une pression d</w:t>
      </w:r>
      <w:r w:rsidR="006A356F">
        <w:rPr>
          <w:lang w:val="fr-FR"/>
        </w:rPr>
        <w:t>’</w:t>
      </w:r>
      <w:r w:rsidR="006A356F" w:rsidRPr="006A356F">
        <w:rPr>
          <w:lang w:val="fr-FR"/>
        </w:rPr>
        <w:t>épreuve d</w:t>
      </w:r>
      <w:r w:rsidR="006A356F">
        <w:rPr>
          <w:lang w:val="fr-FR"/>
        </w:rPr>
        <w:t>’</w:t>
      </w:r>
      <w:r w:rsidR="006A356F" w:rsidRPr="006A356F">
        <w:rPr>
          <w:lang w:val="fr-FR"/>
        </w:rPr>
        <w:t>au moins 0,4</w:t>
      </w:r>
      <w:r w:rsidR="00770E11">
        <w:rPr>
          <w:lang w:val="fr-FR"/>
        </w:rPr>
        <w:t> </w:t>
      </w:r>
      <w:r w:rsidR="006A356F" w:rsidRPr="006A356F">
        <w:rPr>
          <w:lang w:val="fr-FR"/>
        </w:rPr>
        <w:t>MPa (4</w:t>
      </w:r>
      <w:r w:rsidR="00770E11">
        <w:rPr>
          <w:lang w:val="fr-FR"/>
        </w:rPr>
        <w:t> </w:t>
      </w:r>
      <w:proofErr w:type="gramStart"/>
      <w:r w:rsidR="006A356F" w:rsidRPr="006A356F">
        <w:rPr>
          <w:lang w:val="fr-FR"/>
        </w:rPr>
        <w:t>bar</w:t>
      </w:r>
      <w:proofErr w:type="gramEnd"/>
      <w:r w:rsidR="006A356F" w:rsidRPr="006A356F">
        <w:rPr>
          <w:lang w:val="fr-FR"/>
        </w:rPr>
        <w:t>). Les couvercles de dôme rabattables pour les citernes ayant une pression d</w:t>
      </w:r>
      <w:r w:rsidR="006A356F">
        <w:rPr>
          <w:lang w:val="fr-FR"/>
        </w:rPr>
        <w:t>’</w:t>
      </w:r>
      <w:r w:rsidR="006A356F" w:rsidRPr="006A356F">
        <w:rPr>
          <w:lang w:val="fr-FR"/>
        </w:rPr>
        <w:t>épreuve supérieure à 0,6</w:t>
      </w:r>
      <w:r w:rsidR="00770E11">
        <w:rPr>
          <w:lang w:val="fr-FR"/>
        </w:rPr>
        <w:t> </w:t>
      </w:r>
      <w:r w:rsidR="006A356F" w:rsidRPr="006A356F">
        <w:rPr>
          <w:lang w:val="fr-FR"/>
        </w:rPr>
        <w:t xml:space="preserve">MPa (6 </w:t>
      </w:r>
      <w:proofErr w:type="gramStart"/>
      <w:r w:rsidR="006A356F" w:rsidRPr="006A356F">
        <w:rPr>
          <w:lang w:val="fr-FR"/>
        </w:rPr>
        <w:t>bar</w:t>
      </w:r>
      <w:proofErr w:type="gramEnd"/>
      <w:r w:rsidR="006A356F" w:rsidRPr="006A356F">
        <w:rPr>
          <w:lang w:val="fr-FR"/>
        </w:rPr>
        <w:t>) ne sont pas autorisés.</w:t>
      </w:r>
      <w:r>
        <w:rPr>
          <w:lang w:val="fr-FR"/>
        </w:rPr>
        <w:t> »</w:t>
      </w:r>
    </w:p>
    <w:p w14:paraId="0E67294A" w14:textId="77777777" w:rsidR="006A356F" w:rsidRPr="006A356F" w:rsidRDefault="006A356F" w:rsidP="006A356F">
      <w:pPr>
        <w:pStyle w:val="SingleTxtG"/>
      </w:pPr>
      <w:r w:rsidRPr="006A356F">
        <w:rPr>
          <w:lang w:val="fr-FR"/>
        </w:rPr>
        <w:t>18.</w:t>
      </w:r>
      <w:r w:rsidRPr="006A356F">
        <w:rPr>
          <w:lang w:val="fr-FR"/>
        </w:rPr>
        <w:tab/>
        <w:t>Étant donné que la norme EN</w:t>
      </w:r>
      <w:r w:rsidR="00770E11">
        <w:rPr>
          <w:lang w:val="fr-FR"/>
        </w:rPr>
        <w:t> </w:t>
      </w:r>
      <w:r w:rsidRPr="006A356F">
        <w:rPr>
          <w:lang w:val="fr-FR"/>
        </w:rPr>
        <w:t>14025 prévoit ces valeurs de pression pour toutes les citernes, les véhicules-citernes pourraient également être inclus, pour l</w:t>
      </w:r>
      <w:r>
        <w:rPr>
          <w:lang w:val="fr-FR"/>
        </w:rPr>
        <w:t>’</w:t>
      </w:r>
      <w:r w:rsidRPr="006A356F">
        <w:rPr>
          <w:lang w:val="fr-FR"/>
        </w:rPr>
        <w:t>ADR, avec la disposition du 6.8.2.2.1, identique à celle du RID.</w:t>
      </w:r>
    </w:p>
    <w:p w14:paraId="26A7A399" w14:textId="77777777" w:rsidR="006A356F" w:rsidRPr="00D56449" w:rsidRDefault="00D56449" w:rsidP="00D56449">
      <w:pPr>
        <w:pStyle w:val="SingleTxtG"/>
        <w:spacing w:before="240" w:after="0"/>
        <w:jc w:val="center"/>
        <w:rPr>
          <w:u w:val="single"/>
          <w:lang w:val="fr-FR"/>
        </w:rPr>
      </w:pPr>
      <w:r>
        <w:rPr>
          <w:u w:val="single"/>
        </w:rPr>
        <w:tab/>
      </w:r>
      <w:r>
        <w:rPr>
          <w:u w:val="single"/>
        </w:rPr>
        <w:tab/>
      </w:r>
      <w:r>
        <w:rPr>
          <w:u w:val="single"/>
        </w:rPr>
        <w:tab/>
      </w:r>
    </w:p>
    <w:sectPr w:rsidR="006A356F" w:rsidRPr="00D56449" w:rsidSect="006A35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0603" w14:textId="77777777" w:rsidR="008D72C9" w:rsidRDefault="008D72C9" w:rsidP="00F95C08">
      <w:pPr>
        <w:spacing w:line="240" w:lineRule="auto"/>
      </w:pPr>
    </w:p>
  </w:endnote>
  <w:endnote w:type="continuationSeparator" w:id="0">
    <w:p w14:paraId="3F5F5507" w14:textId="77777777" w:rsidR="008D72C9" w:rsidRPr="00AC3823" w:rsidRDefault="008D72C9" w:rsidP="00AC3823">
      <w:pPr>
        <w:pStyle w:val="Footer"/>
      </w:pPr>
    </w:p>
  </w:endnote>
  <w:endnote w:type="continuationNotice" w:id="1">
    <w:p w14:paraId="0DC44DD4" w14:textId="77777777" w:rsidR="008D72C9" w:rsidRDefault="008D72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AB5F" w14:textId="77777777" w:rsidR="006A356F" w:rsidRPr="006A356F" w:rsidRDefault="006A356F" w:rsidP="006A356F">
    <w:pPr>
      <w:pStyle w:val="Footer"/>
      <w:tabs>
        <w:tab w:val="right" w:pos="9638"/>
      </w:tabs>
    </w:pPr>
    <w:r w:rsidRPr="006A356F">
      <w:rPr>
        <w:b/>
        <w:sz w:val="18"/>
      </w:rPr>
      <w:fldChar w:fldCharType="begin"/>
    </w:r>
    <w:r w:rsidRPr="006A356F">
      <w:rPr>
        <w:b/>
        <w:sz w:val="18"/>
      </w:rPr>
      <w:instrText xml:space="preserve"> PAGE  \* MERGEFORMAT </w:instrText>
    </w:r>
    <w:r w:rsidRPr="006A356F">
      <w:rPr>
        <w:b/>
        <w:sz w:val="18"/>
      </w:rPr>
      <w:fldChar w:fldCharType="separate"/>
    </w:r>
    <w:r w:rsidRPr="006A356F">
      <w:rPr>
        <w:b/>
        <w:noProof/>
        <w:sz w:val="18"/>
      </w:rPr>
      <w:t>2</w:t>
    </w:r>
    <w:r w:rsidRPr="006A356F">
      <w:rPr>
        <w:b/>
        <w:sz w:val="18"/>
      </w:rPr>
      <w:fldChar w:fldCharType="end"/>
    </w:r>
    <w:r>
      <w:rPr>
        <w:b/>
        <w:sz w:val="18"/>
      </w:rPr>
      <w:tab/>
    </w:r>
    <w:r>
      <w:t>GE.19-21804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1608" w14:textId="77777777" w:rsidR="006A356F" w:rsidRPr="006A356F" w:rsidRDefault="006A356F" w:rsidP="006A356F">
    <w:pPr>
      <w:pStyle w:val="Footer"/>
      <w:tabs>
        <w:tab w:val="right" w:pos="9638"/>
      </w:tabs>
      <w:rPr>
        <w:b/>
        <w:sz w:val="18"/>
      </w:rPr>
    </w:pPr>
    <w:r>
      <w:t>GE.19-21804</w:t>
    </w:r>
    <w:r>
      <w:tab/>
    </w:r>
    <w:r w:rsidRPr="006A356F">
      <w:rPr>
        <w:b/>
        <w:sz w:val="18"/>
      </w:rPr>
      <w:fldChar w:fldCharType="begin"/>
    </w:r>
    <w:r w:rsidRPr="006A356F">
      <w:rPr>
        <w:b/>
        <w:sz w:val="18"/>
      </w:rPr>
      <w:instrText xml:space="preserve"> PAGE  \* MERGEFORMAT </w:instrText>
    </w:r>
    <w:r w:rsidRPr="006A356F">
      <w:rPr>
        <w:b/>
        <w:sz w:val="18"/>
      </w:rPr>
      <w:fldChar w:fldCharType="separate"/>
    </w:r>
    <w:r w:rsidRPr="006A356F">
      <w:rPr>
        <w:b/>
        <w:noProof/>
        <w:sz w:val="18"/>
      </w:rPr>
      <w:t>3</w:t>
    </w:r>
    <w:r w:rsidRPr="006A35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C9AE" w14:textId="77777777" w:rsidR="007F20FA" w:rsidRPr="006A356F" w:rsidRDefault="006A356F" w:rsidP="006A356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43FEDE2" wp14:editId="2395AF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21804  (</w:t>
    </w:r>
    <w:proofErr w:type="gramEnd"/>
    <w:r>
      <w:rPr>
        <w:sz w:val="20"/>
      </w:rPr>
      <w:t>F)    070120    140120</w:t>
    </w:r>
    <w:r>
      <w:rPr>
        <w:sz w:val="20"/>
      </w:rPr>
      <w:br/>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sidRPr="006A356F">
      <w:rPr>
        <w:rFonts w:ascii="C39T30Lfz" w:hAnsi="C39T30Lfz"/>
        <w:sz w:val="56"/>
      </w:rPr>
      <w:t></w:t>
    </w:r>
    <w:r>
      <w:rPr>
        <w:noProof/>
        <w:sz w:val="20"/>
      </w:rPr>
      <w:drawing>
        <wp:anchor distT="0" distB="0" distL="114300" distR="114300" simplePos="0" relativeHeight="251658240" behindDoc="0" locked="0" layoutInCell="1" allowOverlap="1" wp14:anchorId="4C5CB6E8" wp14:editId="1BE1AF7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2381" w14:textId="77777777" w:rsidR="008D72C9" w:rsidRPr="00AC3823" w:rsidRDefault="008D72C9" w:rsidP="00AC3823">
      <w:pPr>
        <w:pStyle w:val="Footer"/>
        <w:tabs>
          <w:tab w:val="right" w:pos="2155"/>
        </w:tabs>
        <w:spacing w:after="80" w:line="240" w:lineRule="atLeast"/>
        <w:ind w:left="680"/>
        <w:rPr>
          <w:u w:val="single"/>
        </w:rPr>
      </w:pPr>
      <w:r>
        <w:rPr>
          <w:u w:val="single"/>
        </w:rPr>
        <w:tab/>
      </w:r>
    </w:p>
  </w:footnote>
  <w:footnote w:type="continuationSeparator" w:id="0">
    <w:p w14:paraId="21E40FE9" w14:textId="77777777" w:rsidR="008D72C9" w:rsidRPr="00AC3823" w:rsidRDefault="008D72C9" w:rsidP="00AC3823">
      <w:pPr>
        <w:pStyle w:val="Footer"/>
        <w:tabs>
          <w:tab w:val="right" w:pos="2155"/>
        </w:tabs>
        <w:spacing w:after="80" w:line="240" w:lineRule="atLeast"/>
        <w:ind w:left="680"/>
        <w:rPr>
          <w:u w:val="single"/>
        </w:rPr>
      </w:pPr>
      <w:r>
        <w:rPr>
          <w:u w:val="single"/>
        </w:rPr>
        <w:tab/>
      </w:r>
    </w:p>
  </w:footnote>
  <w:footnote w:type="continuationNotice" w:id="1">
    <w:p w14:paraId="3B6FE75A" w14:textId="77777777" w:rsidR="008D72C9" w:rsidRPr="00AC3823" w:rsidRDefault="008D72C9">
      <w:pPr>
        <w:spacing w:line="240" w:lineRule="auto"/>
        <w:rPr>
          <w:sz w:val="2"/>
          <w:szCs w:val="2"/>
        </w:rPr>
      </w:pPr>
    </w:p>
  </w:footnote>
  <w:footnote w:id="2">
    <w:p w14:paraId="3C14F8CA" w14:textId="77777777" w:rsidR="006A356F" w:rsidRPr="002F3CCD" w:rsidRDefault="006A356F" w:rsidP="006A356F">
      <w:pPr>
        <w:pStyle w:val="FootnoteText"/>
        <w:spacing w:line="240" w:lineRule="auto"/>
      </w:pPr>
      <w:r w:rsidRPr="002F3CCD">
        <w:rPr>
          <w:sz w:val="16"/>
          <w:lang w:val="fr-FR"/>
        </w:rPr>
        <w:tab/>
      </w:r>
      <w:r w:rsidRPr="002F3CCD">
        <w:rPr>
          <w:sz w:val="16"/>
          <w:vertAlign w:val="superscript"/>
          <w:lang w:val="fr-FR"/>
        </w:rPr>
        <w:t>*</w:t>
      </w:r>
      <w:r w:rsidRPr="002F3CCD">
        <w:rPr>
          <w:sz w:val="16"/>
          <w:lang w:val="fr-FR"/>
        </w:rPr>
        <w:tab/>
        <w:t>Conformément au programme de travail du Comité des transports intérieurs pour la période 2018-2019, (ECE/TRANS/WP.15/237, annexe</w:t>
      </w:r>
      <w:r>
        <w:rPr>
          <w:sz w:val="16"/>
          <w:lang w:val="fr-FR"/>
        </w:rPr>
        <w:t> </w:t>
      </w:r>
      <w:r w:rsidRPr="002F3CCD">
        <w:rPr>
          <w:sz w:val="16"/>
          <w:lang w:val="fr-FR"/>
        </w:rPr>
        <w:t>V (9.2)).</w:t>
      </w:r>
    </w:p>
  </w:footnote>
  <w:footnote w:id="3">
    <w:p w14:paraId="0B993CB2" w14:textId="77777777" w:rsidR="006A356F" w:rsidRPr="002F3CCD" w:rsidRDefault="006A356F" w:rsidP="006A356F">
      <w:pPr>
        <w:pStyle w:val="FootnoteText"/>
        <w:spacing w:line="240" w:lineRule="auto"/>
      </w:pPr>
      <w:r w:rsidRPr="002F3CCD">
        <w:rPr>
          <w:sz w:val="16"/>
          <w:lang w:val="fr-FR"/>
        </w:rPr>
        <w:tab/>
      </w:r>
      <w:r w:rsidRPr="002F3CCD">
        <w:rPr>
          <w:sz w:val="16"/>
          <w:vertAlign w:val="superscript"/>
          <w:lang w:val="fr-FR"/>
        </w:rPr>
        <w:t>**</w:t>
      </w:r>
      <w:r w:rsidRPr="002F3CCD">
        <w:rPr>
          <w:sz w:val="16"/>
          <w:lang w:val="fr-FR"/>
        </w:rPr>
        <w:tab/>
        <w:t>Diffusée par l’Organisation intergouvernementale pour les transports internationaux ferroviaires (OTIF) sous la cote OTIF/RID/RC/2020/6.</w:t>
      </w:r>
    </w:p>
  </w:footnote>
  <w:footnote w:id="4">
    <w:p w14:paraId="10BA2DF1" w14:textId="77777777" w:rsidR="006A356F" w:rsidRPr="002F3CCD" w:rsidRDefault="006A356F" w:rsidP="006A356F">
      <w:pPr>
        <w:pStyle w:val="FootnoteText"/>
        <w:spacing w:line="240" w:lineRule="auto"/>
        <w:rPr>
          <w:sz w:val="16"/>
        </w:rPr>
      </w:pPr>
      <w:r w:rsidRPr="002F3CCD">
        <w:rPr>
          <w:sz w:val="16"/>
          <w:lang w:val="fr-FR"/>
        </w:rPr>
        <w:tab/>
      </w:r>
      <w:r w:rsidRPr="006A356F">
        <w:rPr>
          <w:rStyle w:val="FootnoteReference"/>
        </w:rPr>
        <w:footnoteRef/>
      </w:r>
      <w:r w:rsidRPr="002F3CCD">
        <w:rPr>
          <w:sz w:val="16"/>
          <w:lang w:val="fr-FR"/>
        </w:rPr>
        <w:tab/>
        <w:t xml:space="preserve">Ce rapport étant actuellement coordonné avec les participants de la </w:t>
      </w:r>
      <w:r w:rsidR="00DA4070">
        <w:rPr>
          <w:sz w:val="16"/>
          <w:lang w:val="fr-FR"/>
        </w:rPr>
        <w:t>onzième</w:t>
      </w:r>
      <w:r w:rsidRPr="002F3CCD">
        <w:rPr>
          <w:sz w:val="16"/>
          <w:lang w:val="fr-FR"/>
        </w:rPr>
        <w:t xml:space="preserve"> session du Groupe de travail permanent, il n</w:t>
      </w:r>
      <w:r w:rsidR="0027181F">
        <w:rPr>
          <w:sz w:val="16"/>
          <w:lang w:val="fr-FR"/>
        </w:rPr>
        <w:t>’</w:t>
      </w:r>
      <w:r w:rsidRPr="002F3CCD">
        <w:rPr>
          <w:sz w:val="16"/>
          <w:lang w:val="fr-FR"/>
        </w:rPr>
        <w:t>a pas encore été publié sur le site Internet de l</w:t>
      </w:r>
      <w:r w:rsidR="00DA4070">
        <w:rPr>
          <w:sz w:val="16"/>
          <w:lang w:val="fr-FR"/>
        </w:rPr>
        <w:t>’</w:t>
      </w:r>
      <w:r w:rsidRPr="002F3CCD">
        <w:rPr>
          <w:sz w:val="16"/>
          <w:lang w:val="fr-FR"/>
        </w:rPr>
        <w:t xml:space="preserve">OTIF. Il pourra être téléchargé vers la mi-janvier 2020 depuis le </w:t>
      </w:r>
      <w:r w:rsidR="00DA4070">
        <w:rPr>
          <w:sz w:val="16"/>
          <w:lang w:val="fr-FR"/>
        </w:rPr>
        <w:t>s</w:t>
      </w:r>
      <w:r w:rsidRPr="002F3CCD">
        <w:rPr>
          <w:sz w:val="16"/>
          <w:lang w:val="fr-FR"/>
        </w:rPr>
        <w:t>ite Web de l</w:t>
      </w:r>
      <w:r w:rsidR="00DA4070">
        <w:rPr>
          <w:sz w:val="16"/>
          <w:lang w:val="fr-FR"/>
        </w:rPr>
        <w:t>’</w:t>
      </w:r>
      <w:r w:rsidRPr="002F3CCD">
        <w:rPr>
          <w:sz w:val="16"/>
          <w:lang w:val="fr-FR"/>
        </w:rPr>
        <w:t>OTIF (</w:t>
      </w:r>
      <w:hyperlink r:id="rId1" w:history="1">
        <w:r w:rsidRPr="006A356F">
          <w:rPr>
            <w:rStyle w:val="Hyperlink"/>
            <w:sz w:val="16"/>
            <w:lang w:val="fr-FR"/>
          </w:rPr>
          <w:t>www.otif.org</w:t>
        </w:r>
      </w:hyperlink>
      <w:r w:rsidRPr="002F3CCD">
        <w:rPr>
          <w:sz w:val="16"/>
          <w:lang w:val="fr-FR"/>
        </w:rPr>
        <w:t xml:space="preserve">), sous : </w:t>
      </w:r>
      <w:proofErr w:type="spellStart"/>
      <w:r w:rsidRPr="002F3CCD">
        <w:rPr>
          <w:sz w:val="16"/>
          <w:lang w:val="fr-FR"/>
        </w:rPr>
        <w:t>Activities</w:t>
      </w:r>
      <w:proofErr w:type="spellEnd"/>
      <w:r w:rsidRPr="002F3CCD">
        <w:rPr>
          <w:sz w:val="16"/>
          <w:lang w:val="fr-FR"/>
        </w:rPr>
        <w:t xml:space="preserve"> &gt; Dangerous Goods &gt; Standing Working Group &gt;</w:t>
      </w:r>
      <w:r>
        <w:rPr>
          <w:sz w:val="16"/>
          <w:lang w:val="fr-FR"/>
        </w:rPr>
        <w:t> </w:t>
      </w:r>
      <w:r w:rsidRPr="002F3CCD">
        <w:rPr>
          <w:sz w:val="16"/>
          <w:lang w:val="fr-FR"/>
        </w:rPr>
        <w:t>Reports.</w:t>
      </w:r>
    </w:p>
  </w:footnote>
  <w:footnote w:id="5">
    <w:p w14:paraId="51812FA5" w14:textId="77777777" w:rsidR="006A356F" w:rsidRPr="0020710E" w:rsidRDefault="006A356F" w:rsidP="006A356F">
      <w:pPr>
        <w:pStyle w:val="FootnoteText"/>
        <w:spacing w:line="240" w:lineRule="auto"/>
      </w:pPr>
      <w:r>
        <w:rPr>
          <w:sz w:val="22"/>
          <w:lang w:val="fr-FR"/>
        </w:rPr>
        <w:tab/>
      </w:r>
      <w:r w:rsidRPr="006A356F">
        <w:rPr>
          <w:rStyle w:val="FootnoteReference"/>
        </w:rPr>
        <w:footnoteRef/>
      </w:r>
      <w:r w:rsidRPr="002F3CCD">
        <w:rPr>
          <w:sz w:val="22"/>
          <w:lang w:val="fr-FR"/>
        </w:rPr>
        <w:tab/>
      </w:r>
      <w:r w:rsidRPr="002F3CCD">
        <w:rPr>
          <w:sz w:val="16"/>
          <w:lang w:val="fr-FR"/>
        </w:rPr>
        <w:t xml:space="preserve">On trouvera des informations détaillées </w:t>
      </w:r>
      <w:r>
        <w:rPr>
          <w:sz w:val="16"/>
          <w:lang w:val="fr-FR"/>
        </w:rPr>
        <w:t xml:space="preserve">à ce sujet </w:t>
      </w:r>
      <w:r w:rsidRPr="002F3CCD">
        <w:rPr>
          <w:sz w:val="16"/>
          <w:lang w:val="fr-FR"/>
        </w:rPr>
        <w:t>à l'adresse suivante</w:t>
      </w:r>
      <w:r w:rsidR="0020710E">
        <w:rPr>
          <w:sz w:val="16"/>
          <w:lang w:val="fr-FR"/>
        </w:rPr>
        <w:t> </w:t>
      </w:r>
      <w:r w:rsidRPr="002F3CCD">
        <w:rPr>
          <w:sz w:val="16"/>
          <w:lang w:val="fr-FR"/>
        </w:rPr>
        <w:t xml:space="preserve">: </w:t>
      </w:r>
      <w:hyperlink r:id="rId2" w:history="1">
        <w:r w:rsidRPr="0020710E">
          <w:rPr>
            <w:rStyle w:val="Hyperlink"/>
            <w:sz w:val="16"/>
            <w:lang w:val="fr-FR"/>
          </w:rPr>
          <w:t>https://www.basf.com/de/de/company/</w:t>
        </w:r>
        <w:r w:rsidR="0020710E">
          <w:rPr>
            <w:rStyle w:val="Hyperlink"/>
            <w:sz w:val="16"/>
            <w:lang w:val="fr-FR"/>
          </w:rPr>
          <w:br/>
        </w:r>
        <w:r w:rsidRPr="0020710E">
          <w:rPr>
            <w:rStyle w:val="Hyperlink"/>
            <w:sz w:val="16"/>
            <w:lang w:val="fr-FR"/>
          </w:rPr>
          <w:t>about-us/sites/ludwigshafen/the-site/news-and-media/news-releases/2017/05/p-17-183.html</w:t>
        </w:r>
      </w:hyperlink>
      <w:r w:rsidR="002071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EE15" w14:textId="2AB5CA1C" w:rsidR="006A356F" w:rsidRPr="006A356F" w:rsidRDefault="00F23BC3">
    <w:pPr>
      <w:pStyle w:val="Header"/>
    </w:pPr>
    <w:r>
      <w:fldChar w:fldCharType="begin"/>
    </w:r>
    <w:r>
      <w:instrText xml:space="preserve"> TITLE  \* MERGEFORMAT </w:instrText>
    </w:r>
    <w:r>
      <w:fldChar w:fldCharType="separate"/>
    </w:r>
    <w:r w:rsidR="00D10CD6">
      <w:t>ECE/TRANS/WP.15/AC.1/2020/6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5FDC" w14:textId="6B51CCDD" w:rsidR="006A356F" w:rsidRPr="006A356F" w:rsidRDefault="00F23BC3" w:rsidP="006A356F">
    <w:pPr>
      <w:pStyle w:val="Header"/>
      <w:jc w:val="right"/>
    </w:pPr>
    <w:r>
      <w:fldChar w:fldCharType="begin"/>
    </w:r>
    <w:r>
      <w:instrText xml:space="preserve"> TITLE  \* MERGEFORMAT </w:instrText>
    </w:r>
    <w:r>
      <w:fldChar w:fldCharType="separate"/>
    </w:r>
    <w:r w:rsidR="00D10CD6">
      <w:t>ECE/TRANS/WP.15/AC.1/2020/6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C9"/>
    <w:rsid w:val="00016295"/>
    <w:rsid w:val="00017F94"/>
    <w:rsid w:val="00023842"/>
    <w:rsid w:val="000334F9"/>
    <w:rsid w:val="00045FEB"/>
    <w:rsid w:val="0007796D"/>
    <w:rsid w:val="000B7790"/>
    <w:rsid w:val="00111F2F"/>
    <w:rsid w:val="0014365E"/>
    <w:rsid w:val="00143C66"/>
    <w:rsid w:val="00176178"/>
    <w:rsid w:val="001F525A"/>
    <w:rsid w:val="0020710E"/>
    <w:rsid w:val="00223272"/>
    <w:rsid w:val="0024779E"/>
    <w:rsid w:val="00257168"/>
    <w:rsid w:val="0027181F"/>
    <w:rsid w:val="002744B8"/>
    <w:rsid w:val="002832AC"/>
    <w:rsid w:val="002D7C93"/>
    <w:rsid w:val="002E7017"/>
    <w:rsid w:val="00305801"/>
    <w:rsid w:val="003916DE"/>
    <w:rsid w:val="00421996"/>
    <w:rsid w:val="00441C3B"/>
    <w:rsid w:val="00446FE5"/>
    <w:rsid w:val="00452396"/>
    <w:rsid w:val="004837D8"/>
    <w:rsid w:val="004933BF"/>
    <w:rsid w:val="004E2EED"/>
    <w:rsid w:val="004E468C"/>
    <w:rsid w:val="005505B7"/>
    <w:rsid w:val="00573BE5"/>
    <w:rsid w:val="00586ED3"/>
    <w:rsid w:val="00596AA9"/>
    <w:rsid w:val="005A7771"/>
    <w:rsid w:val="006A356F"/>
    <w:rsid w:val="0071601D"/>
    <w:rsid w:val="00770E11"/>
    <w:rsid w:val="007A62E6"/>
    <w:rsid w:val="007F20FA"/>
    <w:rsid w:val="0080684C"/>
    <w:rsid w:val="0083569B"/>
    <w:rsid w:val="00862EEF"/>
    <w:rsid w:val="00871C75"/>
    <w:rsid w:val="008776DC"/>
    <w:rsid w:val="008D72C9"/>
    <w:rsid w:val="009446C0"/>
    <w:rsid w:val="009705C8"/>
    <w:rsid w:val="00990AAF"/>
    <w:rsid w:val="009C1CF4"/>
    <w:rsid w:val="009F6B74"/>
    <w:rsid w:val="00A3029F"/>
    <w:rsid w:val="00A30353"/>
    <w:rsid w:val="00AC3823"/>
    <w:rsid w:val="00AE323C"/>
    <w:rsid w:val="00AF0CB5"/>
    <w:rsid w:val="00B00181"/>
    <w:rsid w:val="00B00B0D"/>
    <w:rsid w:val="00B27BE6"/>
    <w:rsid w:val="00B45F2E"/>
    <w:rsid w:val="00B765F7"/>
    <w:rsid w:val="00BA0CA9"/>
    <w:rsid w:val="00C02897"/>
    <w:rsid w:val="00C97039"/>
    <w:rsid w:val="00D10CD6"/>
    <w:rsid w:val="00D3439C"/>
    <w:rsid w:val="00D56449"/>
    <w:rsid w:val="00DA4070"/>
    <w:rsid w:val="00DB1831"/>
    <w:rsid w:val="00DD3BFD"/>
    <w:rsid w:val="00DF6678"/>
    <w:rsid w:val="00E0299A"/>
    <w:rsid w:val="00E85C74"/>
    <w:rsid w:val="00EA6547"/>
    <w:rsid w:val="00EF2E22"/>
    <w:rsid w:val="00F23BC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3FDF2"/>
  <w15:docId w15:val="{28A3DF15-B8E0-42DC-A5A9-BDCFC997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A356F"/>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6A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asf.com/de/de/company/about-us/sites/ludwigshafen/the-site/news-and-media/news-releases/2017/05/p-17-183.html" TargetMode="External"/><Relationship Id="rId1" Type="http://schemas.openxmlformats.org/officeDocument/2006/relationships/hyperlink" Target="http://www.ot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E231-1EB5-483C-B765-2C845174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vt:lpstr>
      <vt:lpstr>ECE/TRANS/WP.15/AC.1/2020/6</vt:lpstr>
    </vt:vector>
  </TitlesOfParts>
  <Company>DCM</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dc:title>
  <dc:subject/>
  <dc:creator>Edith BOURION</dc:creator>
  <cp:keywords/>
  <cp:lastModifiedBy>Christine Barrio-Champeau</cp:lastModifiedBy>
  <cp:revision>2</cp:revision>
  <cp:lastPrinted>2020-01-14T16:20:00Z</cp:lastPrinted>
  <dcterms:created xsi:type="dcterms:W3CDTF">2020-01-15T08:23:00Z</dcterms:created>
  <dcterms:modified xsi:type="dcterms:W3CDTF">2020-01-15T08:23:00Z</dcterms:modified>
</cp:coreProperties>
</file>