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60CC2BC" w14:textId="77777777" w:rsidTr="00B20551">
        <w:trPr>
          <w:cantSplit/>
          <w:trHeight w:hRule="exact" w:val="851"/>
        </w:trPr>
        <w:tc>
          <w:tcPr>
            <w:tcW w:w="1276" w:type="dxa"/>
            <w:tcBorders>
              <w:bottom w:val="single" w:sz="4" w:space="0" w:color="auto"/>
            </w:tcBorders>
            <w:vAlign w:val="bottom"/>
          </w:tcPr>
          <w:p w14:paraId="4E983C87" w14:textId="77777777" w:rsidR="009E6CB7" w:rsidRDefault="009E6CB7" w:rsidP="00B20551">
            <w:pPr>
              <w:spacing w:after="80"/>
            </w:pPr>
          </w:p>
        </w:tc>
        <w:tc>
          <w:tcPr>
            <w:tcW w:w="2268" w:type="dxa"/>
            <w:tcBorders>
              <w:bottom w:val="single" w:sz="4" w:space="0" w:color="auto"/>
            </w:tcBorders>
            <w:vAlign w:val="bottom"/>
          </w:tcPr>
          <w:p w14:paraId="4156F2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F9EB183" w14:textId="77777777" w:rsidR="009E6CB7" w:rsidRPr="00D47EEA" w:rsidRDefault="00CA7619" w:rsidP="00CA7619">
            <w:pPr>
              <w:jc w:val="right"/>
            </w:pPr>
            <w:r w:rsidRPr="00CA7619">
              <w:rPr>
                <w:sz w:val="40"/>
              </w:rPr>
              <w:t>ECE</w:t>
            </w:r>
            <w:r>
              <w:t>/TRANS/WP.15/AC.1/2020/65</w:t>
            </w:r>
          </w:p>
        </w:tc>
      </w:tr>
      <w:tr w:rsidR="009E6CB7" w14:paraId="1DD011A5" w14:textId="77777777" w:rsidTr="00B20551">
        <w:trPr>
          <w:cantSplit/>
          <w:trHeight w:hRule="exact" w:val="2835"/>
        </w:trPr>
        <w:tc>
          <w:tcPr>
            <w:tcW w:w="1276" w:type="dxa"/>
            <w:tcBorders>
              <w:top w:val="single" w:sz="4" w:space="0" w:color="auto"/>
              <w:bottom w:val="single" w:sz="12" w:space="0" w:color="auto"/>
            </w:tcBorders>
          </w:tcPr>
          <w:p w14:paraId="72977F75" w14:textId="77777777" w:rsidR="009E6CB7" w:rsidRDefault="00686A48" w:rsidP="00B20551">
            <w:pPr>
              <w:spacing w:before="120"/>
            </w:pPr>
            <w:r>
              <w:rPr>
                <w:noProof/>
                <w:lang w:val="de-DE" w:eastAsia="de-DE"/>
              </w:rPr>
              <w:drawing>
                <wp:inline distT="0" distB="0" distL="0" distR="0" wp14:anchorId="3C6B8E69" wp14:editId="05432A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01B18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105466B" w14:textId="77777777" w:rsidR="009E6CB7" w:rsidRDefault="00CA7619" w:rsidP="00CA7619">
            <w:pPr>
              <w:spacing w:before="240" w:line="240" w:lineRule="exact"/>
            </w:pPr>
            <w:r>
              <w:t>Distr.: General</w:t>
            </w:r>
          </w:p>
          <w:p w14:paraId="126B2255" w14:textId="65C00182" w:rsidR="00CA7619" w:rsidRDefault="00BA5C8F" w:rsidP="00CA7619">
            <w:pPr>
              <w:spacing w:line="240" w:lineRule="exact"/>
            </w:pPr>
            <w:r>
              <w:t>25</w:t>
            </w:r>
            <w:bookmarkStart w:id="0" w:name="_GoBack"/>
            <w:bookmarkEnd w:id="0"/>
            <w:r w:rsidR="00CA7619">
              <w:t xml:space="preserve"> June 2020</w:t>
            </w:r>
          </w:p>
          <w:p w14:paraId="3310D7D8" w14:textId="77777777" w:rsidR="00CA7619" w:rsidRDefault="00CA7619" w:rsidP="00CA7619">
            <w:pPr>
              <w:spacing w:line="240" w:lineRule="exact"/>
            </w:pPr>
          </w:p>
          <w:p w14:paraId="28353F74" w14:textId="77777777" w:rsidR="00CA7619" w:rsidRDefault="00CA7619" w:rsidP="00CA7619">
            <w:pPr>
              <w:spacing w:line="240" w:lineRule="exact"/>
            </w:pPr>
            <w:r>
              <w:t>Original: English</w:t>
            </w:r>
          </w:p>
        </w:tc>
      </w:tr>
    </w:tbl>
    <w:p w14:paraId="27E86931" w14:textId="77777777" w:rsidR="001D47F4" w:rsidRDefault="001D47F4" w:rsidP="001D47F4">
      <w:pPr>
        <w:rPr>
          <w:b/>
          <w:sz w:val="28"/>
          <w:szCs w:val="28"/>
        </w:rPr>
      </w:pPr>
      <w:r w:rsidRPr="00832334">
        <w:rPr>
          <w:b/>
          <w:sz w:val="28"/>
          <w:szCs w:val="28"/>
        </w:rPr>
        <w:t>Economic Commission for Europe</w:t>
      </w:r>
    </w:p>
    <w:p w14:paraId="1A183466" w14:textId="77777777" w:rsidR="001D47F4" w:rsidRPr="008F31D2" w:rsidRDefault="001D47F4" w:rsidP="001D47F4">
      <w:pPr>
        <w:spacing w:before="120"/>
        <w:rPr>
          <w:sz w:val="28"/>
          <w:szCs w:val="28"/>
        </w:rPr>
      </w:pPr>
      <w:r>
        <w:rPr>
          <w:sz w:val="28"/>
          <w:szCs w:val="28"/>
        </w:rPr>
        <w:t>Inland Transport Committee</w:t>
      </w:r>
    </w:p>
    <w:p w14:paraId="2D9EFE5A" w14:textId="77777777" w:rsidR="001D47F4" w:rsidRDefault="001D47F4" w:rsidP="001D47F4">
      <w:pPr>
        <w:spacing w:before="120"/>
        <w:rPr>
          <w:b/>
          <w:sz w:val="24"/>
          <w:szCs w:val="24"/>
        </w:rPr>
      </w:pPr>
      <w:r>
        <w:rPr>
          <w:b/>
          <w:sz w:val="24"/>
          <w:szCs w:val="24"/>
        </w:rPr>
        <w:t>Working Party on the Transport of Dangerous Goods</w:t>
      </w:r>
    </w:p>
    <w:p w14:paraId="47909F9B" w14:textId="77777777" w:rsidR="001D47F4" w:rsidRPr="008F31D2" w:rsidRDefault="001D47F4" w:rsidP="001D47F4">
      <w:pPr>
        <w:spacing w:before="120"/>
        <w:rPr>
          <w:b/>
        </w:rPr>
      </w:pPr>
      <w:r w:rsidRPr="008F31D2">
        <w:rPr>
          <w:b/>
        </w:rPr>
        <w:t>Joint Meeting of the RID Committee of Experts and the</w:t>
      </w:r>
      <w:r w:rsidRPr="008F31D2">
        <w:rPr>
          <w:b/>
        </w:rPr>
        <w:br/>
        <w:t>Working Party on the Transport of Dangerous Goods</w:t>
      </w:r>
    </w:p>
    <w:p w14:paraId="1247E024" w14:textId="036B705E" w:rsidR="001D47F4" w:rsidRDefault="001D47F4" w:rsidP="001D47F4">
      <w:r w:rsidRPr="004328B1">
        <w:rPr>
          <w:lang w:val="en-US"/>
        </w:rPr>
        <w:t xml:space="preserve">Bern, </w:t>
      </w:r>
      <w:r>
        <w:rPr>
          <w:lang w:val="en-US"/>
        </w:rPr>
        <w:t>10-11 September and Geneva, 14-18 September 2020</w:t>
      </w:r>
    </w:p>
    <w:p w14:paraId="6A6E8EF5" w14:textId="77777777" w:rsidR="001D47F4" w:rsidRDefault="001D47F4" w:rsidP="001D47F4">
      <w:pPr>
        <w:rPr>
          <w:lang w:val="en-US"/>
        </w:rPr>
      </w:pPr>
      <w:r>
        <w:rPr>
          <w:lang w:val="en-US"/>
        </w:rPr>
        <w:t>Item 6 of the provisional agenda</w:t>
      </w:r>
    </w:p>
    <w:p w14:paraId="2E6F2A97" w14:textId="77777777" w:rsidR="001D47F4" w:rsidRPr="006500BA" w:rsidRDefault="001D47F4" w:rsidP="001D47F4">
      <w:r w:rsidRPr="006946D0">
        <w:rPr>
          <w:b/>
        </w:rPr>
        <w:t>Reports of informal working groups</w:t>
      </w:r>
    </w:p>
    <w:p w14:paraId="79C1B7AC" w14:textId="77777777" w:rsidR="001D47F4" w:rsidRPr="00A62F57" w:rsidRDefault="001D47F4" w:rsidP="001D47F4">
      <w:pPr>
        <w:pStyle w:val="HChG"/>
        <w:keepNext w:val="0"/>
        <w:keepLines w:val="0"/>
        <w:widowControl w:val="0"/>
        <w:adjustRightInd w:val="0"/>
        <w:snapToGrid w:val="0"/>
      </w:pPr>
      <w:r w:rsidRPr="00DC682F">
        <w:rPr>
          <w:lang w:val="en-US"/>
        </w:rPr>
        <w:tab/>
      </w:r>
      <w:r w:rsidRPr="00DC682F">
        <w:rPr>
          <w:lang w:val="en-US"/>
        </w:rPr>
        <w:tab/>
      </w:r>
      <w:r>
        <w:t>R</w:t>
      </w:r>
      <w:r w:rsidRPr="00A62F57">
        <w:t xml:space="preserve">eport of the informal working group on “Provisions on equipment for tanks and pressure receptacles” </w:t>
      </w:r>
    </w:p>
    <w:p w14:paraId="73388E63" w14:textId="49C578F6" w:rsidR="001D47F4" w:rsidRDefault="001D47F4" w:rsidP="001D47F4">
      <w:pPr>
        <w:suppressAutoHyphens w:val="0"/>
        <w:spacing w:line="240" w:lineRule="auto"/>
        <w:rPr>
          <w:sz w:val="24"/>
          <w:szCs w:val="24"/>
          <w:lang w:eastAsia="zh-CN"/>
        </w:rPr>
      </w:pPr>
      <w:r w:rsidRPr="00CD3425">
        <w:rPr>
          <w:szCs w:val="24"/>
        </w:rPr>
        <w:tab/>
      </w:r>
      <w:r w:rsidRPr="00CD3425">
        <w:rPr>
          <w:szCs w:val="24"/>
        </w:rPr>
        <w:tab/>
      </w:r>
      <w:r w:rsidRPr="001D47F4">
        <w:rPr>
          <w:rStyle w:val="H1GChar"/>
        </w:rPr>
        <w:t>Transmitted by the European Industrial Gases Association (EIGA)</w:t>
      </w:r>
      <w:r w:rsidRPr="001D47F4">
        <w:rPr>
          <w:rStyle w:val="FootnoteReference"/>
          <w:b/>
          <w:sz w:val="20"/>
        </w:rPr>
        <w:footnoteReference w:customMarkFollows="1" w:id="2"/>
        <w:t>*</w:t>
      </w:r>
      <w:r w:rsidRPr="001D47F4">
        <w:rPr>
          <w:b/>
          <w:vertAlign w:val="superscript"/>
        </w:rPr>
        <w:t xml:space="preserve">, </w:t>
      </w:r>
      <w:r w:rsidRPr="001D47F4">
        <w:rPr>
          <w:rStyle w:val="FootnoteReference"/>
          <w:b/>
          <w:sz w:val="20"/>
        </w:rPr>
        <w:footnoteReference w:customMarkFollows="1" w:id="3"/>
        <w:t>**</w:t>
      </w:r>
      <w:r w:rsidRPr="001D47F4">
        <w:rPr>
          <w:b/>
          <w:lang w:eastAsia="zh-CN"/>
        </w:rPr>
        <w:t xml:space="preserve"> </w:t>
      </w:r>
    </w:p>
    <w:p w14:paraId="5DA16808" w14:textId="77777777" w:rsidR="001D47F4" w:rsidRDefault="001D47F4" w:rsidP="001D47F4">
      <w:pPr>
        <w:pStyle w:val="HChG"/>
        <w:spacing w:before="240"/>
        <w:jc w:val="both"/>
      </w:pPr>
      <w:r>
        <w:tab/>
      </w:r>
      <w:r>
        <w:tab/>
        <w:t>Introduction</w:t>
      </w:r>
    </w:p>
    <w:p w14:paraId="1420DD5D" w14:textId="47D48901" w:rsidR="001D47F4" w:rsidRDefault="001D47F4" w:rsidP="001D47F4">
      <w:pPr>
        <w:pStyle w:val="SingleTxtG"/>
      </w:pPr>
      <w:r w:rsidRPr="00F512E7">
        <w:t>1.</w:t>
      </w:r>
      <w:r w:rsidRPr="00F512E7">
        <w:tab/>
      </w:r>
      <w:r>
        <w:t xml:space="preserve">This </w:t>
      </w:r>
      <w:r w:rsidR="00EC5DE2">
        <w:t xml:space="preserve">document </w:t>
      </w:r>
      <w:r w:rsidR="00974EAE">
        <w:t xml:space="preserve">replaces </w:t>
      </w:r>
      <w:r>
        <w:t xml:space="preserve">informal document INF.22 </w:t>
      </w:r>
      <w:r w:rsidR="00974EAE">
        <w:t xml:space="preserve">initially </w:t>
      </w:r>
      <w:r>
        <w:t>submitted to the Joint Meeting of March 2020.</w:t>
      </w:r>
    </w:p>
    <w:p w14:paraId="4BD90630" w14:textId="06F6EBF4" w:rsidR="001D47F4" w:rsidRDefault="001D47F4" w:rsidP="001D47F4">
      <w:pPr>
        <w:pStyle w:val="SingleTxtG"/>
      </w:pPr>
      <w:r>
        <w:t>2</w:t>
      </w:r>
      <w:r>
        <w:tab/>
        <w:t xml:space="preserve">At its session held in March 2014, the Joint Meeting agreed to establish an informal working group under the </w:t>
      </w:r>
      <w:r w:rsidR="00974EAE">
        <w:t>c</w:t>
      </w:r>
      <w:r>
        <w:t xml:space="preserve">hairmanship of EIGA on “Provisions for equipment for tanks and pressure receptacles”. The terms of reference were set out in </w:t>
      </w:r>
      <w:r w:rsidR="00EC5DE2">
        <w:t xml:space="preserve">informal document </w:t>
      </w:r>
      <w:r>
        <w:t xml:space="preserve">INF.22 </w:t>
      </w:r>
      <w:r w:rsidR="00EC5DE2">
        <w:t xml:space="preserve">of the March 2014 session of the Joint Meeting </w:t>
      </w:r>
      <w:r>
        <w:t>which may be summarized as follows.</w:t>
      </w:r>
    </w:p>
    <w:p w14:paraId="5FCF2B43" w14:textId="65BCD870" w:rsidR="001D47F4" w:rsidRDefault="001D47F4" w:rsidP="001D47F4">
      <w:pPr>
        <w:pStyle w:val="SingleTxtG"/>
        <w:ind w:left="2268" w:hanging="567"/>
      </w:pPr>
      <w:r>
        <w:t>-</w:t>
      </w:r>
      <w:r w:rsidRPr="00B97F62">
        <w:tab/>
        <w:t>Clarification of meaning of the term “pressure receptacle” to include or exclude their closures</w:t>
      </w:r>
      <w:r>
        <w:t>;</w:t>
      </w:r>
    </w:p>
    <w:p w14:paraId="29BBA2A7" w14:textId="77777777" w:rsidR="001D47F4" w:rsidRDefault="001D47F4" w:rsidP="001D47F4">
      <w:pPr>
        <w:pStyle w:val="SingleTxtG"/>
        <w:ind w:left="2268" w:hanging="567"/>
      </w:pPr>
      <w:r>
        <w:t>-</w:t>
      </w:r>
      <w:r w:rsidRPr="00B97F62">
        <w:tab/>
        <w:t>Investigation of the completeness of requirements on the design, conformity assessment and marking of closures of pressure receptacles</w:t>
      </w:r>
      <w:r>
        <w:t>;</w:t>
      </w:r>
    </w:p>
    <w:p w14:paraId="1E5B9711" w14:textId="77777777" w:rsidR="001D47F4" w:rsidRPr="00F512E7" w:rsidRDefault="001D47F4" w:rsidP="001D47F4">
      <w:pPr>
        <w:pStyle w:val="SingleTxtG"/>
        <w:ind w:left="2268" w:hanging="567"/>
      </w:pPr>
      <w:r>
        <w:t>-</w:t>
      </w:r>
      <w:r w:rsidRPr="00B97F62">
        <w:tab/>
        <w:t>Investigation of the completeness of requirements on the design, conformity assessment and marking of service equipment of tanks.</w:t>
      </w:r>
    </w:p>
    <w:p w14:paraId="3ABF3C12" w14:textId="18C82AA4" w:rsidR="001D47F4" w:rsidRDefault="001D47F4" w:rsidP="001D47F4">
      <w:pPr>
        <w:pStyle w:val="SingleTxtG"/>
      </w:pPr>
      <w:r>
        <w:t>3</w:t>
      </w:r>
      <w:r w:rsidRPr="00F512E7">
        <w:t>.</w:t>
      </w:r>
      <w:r w:rsidRPr="00F512E7">
        <w:tab/>
      </w:r>
      <w:r>
        <w:t xml:space="preserve">The working group reported on its proposals for pressure receptacles and their closures in September 2015 and the Joint Meeting decided that the text changes for those parts of the RID/ADR </w:t>
      </w:r>
      <w:r w:rsidR="00974EAE">
        <w:t xml:space="preserve">on the </w:t>
      </w:r>
      <w:r>
        <w:t>text originating from the UN Sub-Committee of Experts for the Transport of Dangerous Goods should be referred to the Sub-Committee.</w:t>
      </w:r>
    </w:p>
    <w:p w14:paraId="557050A9" w14:textId="77777777" w:rsidR="001D47F4" w:rsidRDefault="001D47F4" w:rsidP="001D47F4">
      <w:pPr>
        <w:spacing w:after="120"/>
        <w:ind w:left="1134" w:right="1134"/>
        <w:jc w:val="both"/>
      </w:pPr>
      <w:r>
        <w:t>4.</w:t>
      </w:r>
      <w:r>
        <w:tab/>
        <w:t>These proposals as amended were adopted by the Sub-Committee in December 2019 and the usual process of harmonization will bring these texts into the 2023 edition of RID/ADR/ADN.</w:t>
      </w:r>
    </w:p>
    <w:p w14:paraId="50D3403B" w14:textId="521882E9" w:rsidR="001D47F4" w:rsidRDefault="001D47F4" w:rsidP="001D47F4">
      <w:pPr>
        <w:spacing w:after="120"/>
        <w:ind w:left="1134" w:right="1134"/>
        <w:jc w:val="both"/>
      </w:pPr>
      <w:r>
        <w:t>5.</w:t>
      </w:r>
      <w:r>
        <w:tab/>
      </w:r>
      <w:r w:rsidR="00EC5DE2">
        <w:t xml:space="preserve">In informal document INF.22 of the March 2020 session of the Joint Meeting EIGA </w:t>
      </w:r>
      <w:r>
        <w:t xml:space="preserve">requested permission from the Joint Meeting for the informal working group to reconvene to </w:t>
      </w:r>
      <w:r>
        <w:lastRenderedPageBreak/>
        <w:t xml:space="preserve">study the consequential amendments which will be necessary in the 2023 editions of RID/ADR/ADN to make them compatible with the new UN terminology.  </w:t>
      </w:r>
    </w:p>
    <w:p w14:paraId="5353F34B" w14:textId="1D2B93D6" w:rsidR="001D47F4" w:rsidRDefault="001D47F4" w:rsidP="001D47F4">
      <w:pPr>
        <w:spacing w:after="120"/>
        <w:ind w:left="1134" w:right="1134"/>
        <w:jc w:val="both"/>
      </w:pPr>
      <w:r>
        <w:t>6.</w:t>
      </w:r>
      <w:r>
        <w:tab/>
      </w:r>
      <w:r w:rsidR="00EC5DE2">
        <w:t>This informal document</w:t>
      </w:r>
      <w:r>
        <w:t xml:space="preserve"> also requested that the work on tanks should be dropped from the terms of reference. The working group considered that this work was not needed since the informal working group on </w:t>
      </w:r>
      <w:r w:rsidRPr="008C3E69">
        <w:t>the inspection and certification of tanks</w:t>
      </w:r>
      <w:r>
        <w:t xml:space="preserve"> had undertaken a thorough review and revision of all aspects of the conformity assessment of tanks and their service equipment.</w:t>
      </w:r>
    </w:p>
    <w:p w14:paraId="56A9789C" w14:textId="77777777" w:rsidR="001D47F4" w:rsidRDefault="001D47F4" w:rsidP="001D47F4">
      <w:pPr>
        <w:spacing w:after="120"/>
        <w:ind w:left="1134" w:right="1134"/>
        <w:jc w:val="both"/>
      </w:pPr>
      <w:r>
        <w:t>7.</w:t>
      </w:r>
      <w:r>
        <w:tab/>
        <w:t>Although no decisions were possible, the working group decided to go ahead and complete its work on pressure receptacles and their proposed amendments are set out below.</w:t>
      </w:r>
    </w:p>
    <w:p w14:paraId="3E84D5E2" w14:textId="77777777" w:rsidR="001D47F4" w:rsidRDefault="001D47F4" w:rsidP="001D47F4">
      <w:pPr>
        <w:pStyle w:val="HChG"/>
        <w:spacing w:before="240"/>
        <w:jc w:val="both"/>
      </w:pPr>
      <w:r>
        <w:tab/>
      </w:r>
      <w:r>
        <w:tab/>
        <w:t>Proposals</w:t>
      </w:r>
    </w:p>
    <w:p w14:paraId="090E1772" w14:textId="59293344" w:rsidR="001D47F4" w:rsidRDefault="001D47F4" w:rsidP="001D47F4">
      <w:pPr>
        <w:spacing w:after="120"/>
        <w:ind w:left="2268" w:right="1134" w:hanging="1134"/>
        <w:jc w:val="both"/>
      </w:pPr>
      <w:r>
        <w:t>1.2.1</w:t>
      </w:r>
      <w:r>
        <w:tab/>
      </w:r>
      <w:r>
        <w:tab/>
        <w:t xml:space="preserve">In the definition of </w:t>
      </w:r>
      <w:r w:rsidRPr="009A13ED">
        <w:rPr>
          <w:i/>
        </w:rPr>
        <w:t>“</w:t>
      </w:r>
      <w:r>
        <w:rPr>
          <w:i/>
        </w:rPr>
        <w:t>O</w:t>
      </w:r>
      <w:r w:rsidRPr="009A13ED">
        <w:rPr>
          <w:i/>
        </w:rPr>
        <w:t>ver-moulded cylinder”</w:t>
      </w:r>
      <w:r>
        <w:t xml:space="preserve"> insert “shell” after “coated welded steel cylinder” and after “surface of the steel cylinder”. </w:t>
      </w:r>
    </w:p>
    <w:p w14:paraId="7CA629CE" w14:textId="1CA0A3D4" w:rsidR="001D47F4" w:rsidRDefault="00EC5DE2" w:rsidP="001D47F4">
      <w:pPr>
        <w:spacing w:after="120"/>
        <w:ind w:left="2268" w:right="1134" w:hanging="1134"/>
        <w:jc w:val="both"/>
      </w:pPr>
      <w:r>
        <w:t>3.3.1</w:t>
      </w:r>
      <w:r w:rsidR="001D47F4">
        <w:t xml:space="preserve"> SP655</w:t>
      </w:r>
      <w:r w:rsidR="001D47F4">
        <w:tab/>
        <w:t>At the beginning of the first sentence, after “Cylinder” delete “and their closures”.</w:t>
      </w:r>
    </w:p>
    <w:p w14:paraId="0D9EC949" w14:textId="59B9B39C" w:rsidR="001D47F4" w:rsidRDefault="00EC5DE2" w:rsidP="001D47F4">
      <w:pPr>
        <w:ind w:left="1134" w:right="1134"/>
        <w:jc w:val="both"/>
      </w:pPr>
      <w:r>
        <w:t>3.3.1</w:t>
      </w:r>
      <w:r w:rsidR="001D47F4">
        <w:t xml:space="preserve"> SP674</w:t>
      </w:r>
      <w:r w:rsidR="001D47F4">
        <w:tab/>
        <w:t>Paragraph (a)</w:t>
      </w:r>
      <w:r w:rsidR="001D47F4">
        <w:tab/>
        <w:t>General:</w:t>
      </w:r>
    </w:p>
    <w:p w14:paraId="1F9CBC54" w14:textId="77777777" w:rsidR="001D47F4" w:rsidRDefault="001D47F4" w:rsidP="001D47F4">
      <w:pPr>
        <w:spacing w:after="120"/>
        <w:ind w:left="2268" w:right="1134" w:hanging="1134"/>
        <w:jc w:val="both"/>
      </w:pPr>
      <w:r>
        <w:tab/>
      </w:r>
      <w:r>
        <w:tab/>
        <w:t xml:space="preserve">In the first sentence replace “welded steel cylinders” by “welded steel cylinder shells”. At the end of the second sentence insert “shell” after “steel cylinder”. </w:t>
      </w:r>
      <w:r>
        <w:tab/>
        <w:t>In the third sentence insert “shell” after “steel cylinder”.</w:t>
      </w:r>
    </w:p>
    <w:p w14:paraId="5AF1AEF1" w14:textId="0F343DF3" w:rsidR="001D47F4" w:rsidRDefault="001D47F4" w:rsidP="001D47F4">
      <w:pPr>
        <w:ind w:left="1134" w:right="1134"/>
        <w:jc w:val="both"/>
      </w:pPr>
      <w:r>
        <w:tab/>
      </w:r>
      <w:r>
        <w:tab/>
      </w:r>
      <w:r>
        <w:tab/>
        <w:t>Paragraph (b)</w:t>
      </w:r>
      <w:r w:rsidR="00974EAE">
        <w:t xml:space="preserve"> </w:t>
      </w:r>
      <w:r>
        <w:t>Basic population:</w:t>
      </w:r>
    </w:p>
    <w:p w14:paraId="04D137E2" w14:textId="77777777" w:rsidR="001D47F4" w:rsidRDefault="001D47F4" w:rsidP="001D47F4">
      <w:pPr>
        <w:spacing w:after="120"/>
        <w:ind w:left="1134" w:right="1134"/>
        <w:jc w:val="both"/>
      </w:pPr>
      <w:r>
        <w:tab/>
      </w:r>
      <w:r>
        <w:tab/>
      </w:r>
      <w:r>
        <w:tab/>
        <w:t>Replace “inner cylinders” by “inner steel cylinder shells”.</w:t>
      </w:r>
    </w:p>
    <w:p w14:paraId="695994E4" w14:textId="77777777" w:rsidR="001D47F4" w:rsidRDefault="001D47F4" w:rsidP="001D47F4">
      <w:pPr>
        <w:ind w:left="1134" w:right="1134"/>
        <w:jc w:val="both"/>
      </w:pPr>
      <w:r>
        <w:tab/>
      </w:r>
      <w:r>
        <w:tab/>
      </w:r>
      <w:r>
        <w:tab/>
        <w:t>Paragraph (d) Traceability:</w:t>
      </w:r>
    </w:p>
    <w:p w14:paraId="2CB1ED15" w14:textId="4D392ACE" w:rsidR="001D47F4" w:rsidRDefault="001D47F4" w:rsidP="001D47F4">
      <w:pPr>
        <w:spacing w:after="120"/>
        <w:ind w:left="2268" w:right="1134" w:hanging="1134"/>
        <w:jc w:val="both"/>
      </w:pPr>
      <w:r>
        <w:tab/>
      </w:r>
      <w:r>
        <w:tab/>
        <w:t>In the first sentence insert “shell” after “steel cylinder”. In the second indent insert “shell” after “steel cylinder”</w:t>
      </w:r>
      <w:r w:rsidR="00EC5DE2">
        <w:t>.</w:t>
      </w:r>
    </w:p>
    <w:p w14:paraId="40E11AF1" w14:textId="442C5F55" w:rsidR="001D47F4" w:rsidRDefault="001D47F4" w:rsidP="001D47F4">
      <w:pPr>
        <w:spacing w:after="120"/>
        <w:ind w:left="1134" w:right="1134"/>
        <w:jc w:val="both"/>
      </w:pPr>
      <w:r>
        <w:t>6.2.2.11</w:t>
      </w:r>
      <w:r>
        <w:tab/>
        <w:t xml:space="preserve">Renumber as 6.2.2.12 </w:t>
      </w:r>
    </w:p>
    <w:p w14:paraId="16D36100" w14:textId="77777777" w:rsidR="001D47F4" w:rsidRDefault="001D47F4" w:rsidP="001D47F4">
      <w:pPr>
        <w:spacing w:after="120"/>
        <w:ind w:left="2268" w:right="1134" w:hanging="1134"/>
        <w:jc w:val="both"/>
      </w:pPr>
      <w:r>
        <w:tab/>
      </w:r>
      <w:r>
        <w:tab/>
      </w:r>
      <w:r w:rsidRPr="00A6454D">
        <w:t xml:space="preserve">After the table </w:t>
      </w:r>
      <w:r>
        <w:t xml:space="preserve">delete the entire sentence beginning </w:t>
      </w:r>
      <w:r w:rsidRPr="00A10A26">
        <w:t>“For refillable pressure receptacles, the conformity assessment of valves</w:t>
      </w:r>
      <w:r>
        <w:t xml:space="preserve"> …” and replace it with “</w:t>
      </w:r>
      <w:r w:rsidRPr="00A6454D">
        <w:t>For separate conformity assessments (e.g. cylinder shell and closure) see 6.2.1.4.</w:t>
      </w:r>
      <w:r>
        <w:t>4</w:t>
      </w:r>
      <w:r w:rsidRPr="00A6454D">
        <w:t>.</w:t>
      </w:r>
      <w:r>
        <w:t>”</w:t>
      </w:r>
    </w:p>
    <w:p w14:paraId="463D017C" w14:textId="75521CC9" w:rsidR="001D47F4" w:rsidRDefault="001D47F4" w:rsidP="001D47F4">
      <w:pPr>
        <w:spacing w:after="120"/>
        <w:ind w:left="2268" w:right="1134" w:hanging="1134"/>
        <w:jc w:val="both"/>
      </w:pPr>
      <w:r>
        <w:t>6.2.3.1.2</w:t>
      </w:r>
      <w:r>
        <w:tab/>
        <w:t xml:space="preserve">In the second paragraph replace “pressure envelope and supporting </w:t>
      </w:r>
      <w:r w:rsidRPr="00A6454D">
        <w:t>components” by “pressure receptacle and/or pressure receptacle shells including all permanently attached integral parts (e.g. neck ring, foot ring, etc.)”</w:t>
      </w:r>
      <w:r w:rsidR="00EC5DE2">
        <w:t>.</w:t>
      </w:r>
    </w:p>
    <w:p w14:paraId="2D6ECCA3" w14:textId="6A275436" w:rsidR="001D47F4" w:rsidRDefault="001D47F4" w:rsidP="001D47F4">
      <w:pPr>
        <w:spacing w:after="120"/>
        <w:ind w:left="1134" w:right="1134"/>
        <w:jc w:val="both"/>
      </w:pPr>
      <w:r>
        <w:t>6.2.3.3.2</w:t>
      </w:r>
      <w:r>
        <w:tab/>
        <w:t>Delete the heading “</w:t>
      </w:r>
      <w:r w:rsidRPr="00A6454D">
        <w:rPr>
          <w:i/>
        </w:rPr>
        <w:t>Openings</w:t>
      </w:r>
      <w:r>
        <w:t>”.</w:t>
      </w:r>
    </w:p>
    <w:p w14:paraId="0EAD53D9" w14:textId="01D68BF0" w:rsidR="001D47F4" w:rsidRDefault="001D47F4" w:rsidP="001D47F4">
      <w:pPr>
        <w:spacing w:after="120"/>
        <w:ind w:left="1134" w:right="1134"/>
        <w:jc w:val="both"/>
      </w:pPr>
      <w:r>
        <w:t>6.2.2.3.3</w:t>
      </w:r>
      <w:r>
        <w:tab/>
        <w:t>Delete the heading “</w:t>
      </w:r>
      <w:r w:rsidRPr="002C5DDC">
        <w:rPr>
          <w:i/>
        </w:rPr>
        <w:t>Fittings</w:t>
      </w:r>
      <w:r>
        <w:t>”.</w:t>
      </w:r>
    </w:p>
    <w:p w14:paraId="2A765C03" w14:textId="1EC33461" w:rsidR="001D47F4" w:rsidRPr="00A6454D" w:rsidRDefault="001D47F4" w:rsidP="001D47F4">
      <w:pPr>
        <w:spacing w:after="120"/>
        <w:ind w:left="2268" w:right="1134" w:hanging="1134"/>
        <w:jc w:val="both"/>
      </w:pPr>
      <w:r>
        <w:t>6.2.2.3.4.2</w:t>
      </w:r>
      <w:r>
        <w:tab/>
        <w:t>In the title replace “</w:t>
      </w:r>
      <w:r w:rsidRPr="002C5DDC">
        <w:rPr>
          <w:i/>
        </w:rPr>
        <w:t>receptacles</w:t>
      </w:r>
      <w:r>
        <w:t>” by “</w:t>
      </w:r>
      <w:r w:rsidRPr="002C5DDC">
        <w:rPr>
          <w:i/>
        </w:rPr>
        <w:t>receptacle shells</w:t>
      </w:r>
      <w:r>
        <w:t>” and in paragraph (a) replace “receptacles” by “receptacle shells”</w:t>
      </w:r>
      <w:r w:rsidR="00EC5DE2">
        <w:t>.</w:t>
      </w:r>
    </w:p>
    <w:p w14:paraId="19B4B110" w14:textId="41BD3DF0" w:rsidR="001D47F4" w:rsidRDefault="001D47F4" w:rsidP="001D47F4">
      <w:pPr>
        <w:pStyle w:val="SingleTxtG"/>
      </w:pPr>
      <w:r>
        <w:t>6.2.3.5.1</w:t>
      </w:r>
      <w:r>
        <w:tab/>
        <w:t xml:space="preserve">In </w:t>
      </w:r>
      <w:r w:rsidRPr="002C5DDC">
        <w:rPr>
          <w:b/>
          <w:i/>
        </w:rPr>
        <w:t>NOTE</w:t>
      </w:r>
      <w:r>
        <w:t xml:space="preserve"> </w:t>
      </w:r>
      <w:r w:rsidRPr="00EC13F4">
        <w:rPr>
          <w:b/>
          <w:i/>
        </w:rPr>
        <w:t>1</w:t>
      </w:r>
      <w:r>
        <w:t xml:space="preserve"> after “</w:t>
      </w:r>
      <w:r>
        <w:rPr>
          <w:i/>
        </w:rPr>
        <w:t>cylinder</w:t>
      </w:r>
      <w:r>
        <w:t>” insert “</w:t>
      </w:r>
      <w:r>
        <w:rPr>
          <w:i/>
        </w:rPr>
        <w:t>shell</w:t>
      </w:r>
      <w:r>
        <w:t xml:space="preserve">”. </w:t>
      </w:r>
    </w:p>
    <w:p w14:paraId="43F981B6" w14:textId="77777777" w:rsidR="001D47F4" w:rsidRPr="00B93A98" w:rsidRDefault="001D47F4" w:rsidP="001D47F4">
      <w:pPr>
        <w:spacing w:after="120"/>
        <w:ind w:left="2268" w:right="1134"/>
        <w:jc w:val="both"/>
        <w:rPr>
          <w:i/>
        </w:rPr>
      </w:pPr>
      <w:r w:rsidRPr="00EC13F4">
        <w:t>In</w:t>
      </w:r>
      <w:r>
        <w:rPr>
          <w:i/>
        </w:rPr>
        <w:t xml:space="preserve"> </w:t>
      </w:r>
      <w:r w:rsidRPr="00DA2A19">
        <w:rPr>
          <w:b/>
          <w:i/>
        </w:rPr>
        <w:t>NOTE 2</w:t>
      </w:r>
      <w:r w:rsidRPr="004615E4">
        <w:rPr>
          <w:i/>
        </w:rPr>
        <w:t>:</w:t>
      </w:r>
      <w:r w:rsidRPr="00B93A98">
        <w:rPr>
          <w:i/>
        </w:rPr>
        <w:t xml:space="preserve"> </w:t>
      </w:r>
      <w:r>
        <w:t>replace “</w:t>
      </w:r>
      <w:r w:rsidRPr="00EC13F4">
        <w:rPr>
          <w:i/>
        </w:rPr>
        <w:t>cylinders and tubes</w:t>
      </w:r>
      <w:r>
        <w:t>” by “</w:t>
      </w:r>
      <w:r w:rsidRPr="00EC13F4">
        <w:rPr>
          <w:i/>
        </w:rPr>
        <w:t>cylinder shells and tube shells</w:t>
      </w:r>
      <w:r w:rsidRPr="00EC13F4">
        <w:t>”</w:t>
      </w:r>
      <w:r>
        <w:t xml:space="preserve"> at the first occurrence only.</w:t>
      </w:r>
      <w:r w:rsidRPr="00B93A98">
        <w:rPr>
          <w:i/>
        </w:rPr>
        <w:t xml:space="preserve"> </w:t>
      </w:r>
    </w:p>
    <w:p w14:paraId="55F20738" w14:textId="640AD76E" w:rsidR="001D47F4" w:rsidRDefault="001D47F4" w:rsidP="001D47F4">
      <w:pPr>
        <w:spacing w:after="120"/>
        <w:ind w:left="2268" w:right="1134"/>
        <w:jc w:val="both"/>
        <w:rPr>
          <w:i/>
        </w:rPr>
      </w:pPr>
      <w:r w:rsidRPr="00EC13F4">
        <w:t>In</w:t>
      </w:r>
      <w:r>
        <w:rPr>
          <w:i/>
        </w:rPr>
        <w:t xml:space="preserve"> </w:t>
      </w:r>
      <w:r w:rsidRPr="00DA2A19">
        <w:rPr>
          <w:b/>
          <w:i/>
        </w:rPr>
        <w:t>NOTE 3</w:t>
      </w:r>
      <w:r w:rsidRPr="004615E4">
        <w:rPr>
          <w:i/>
        </w:rPr>
        <w:t>:</w:t>
      </w:r>
      <w:r w:rsidRPr="00DF46AB">
        <w:t xml:space="preserve"> </w:t>
      </w:r>
      <w:r>
        <w:t>replace “</w:t>
      </w:r>
      <w:r w:rsidRPr="00EC13F4">
        <w:rPr>
          <w:i/>
        </w:rPr>
        <w:t>cylinders and tubes</w:t>
      </w:r>
      <w:r>
        <w:t>” by “</w:t>
      </w:r>
      <w:r w:rsidRPr="00EC13F4">
        <w:rPr>
          <w:i/>
        </w:rPr>
        <w:t>cylinder shells and tube shells</w:t>
      </w:r>
      <w:r w:rsidRPr="00EC13F4">
        <w:t>”</w:t>
      </w:r>
      <w:r>
        <w:t xml:space="preserve"> </w:t>
      </w:r>
      <w:r w:rsidR="00EC5DE2">
        <w:t>(</w:t>
      </w:r>
      <w:r>
        <w:t>twice</w:t>
      </w:r>
      <w:r w:rsidR="00EC5DE2">
        <w:t>)</w:t>
      </w:r>
      <w:r>
        <w:t>.</w:t>
      </w:r>
    </w:p>
    <w:p w14:paraId="410BE2F5" w14:textId="13FE02B9" w:rsidR="001D47F4" w:rsidRDefault="001D47F4" w:rsidP="001D47F4">
      <w:pPr>
        <w:spacing w:after="120"/>
        <w:ind w:left="2268" w:right="1134" w:hanging="1134"/>
        <w:jc w:val="both"/>
      </w:pPr>
      <w:r>
        <w:t>6.2.3.5.2</w:t>
      </w:r>
      <w:r>
        <w:tab/>
        <w:t xml:space="preserve">In paragraph (a) insert “pressure” before “receptacle” and insert “service” before “equipment”.  </w:t>
      </w:r>
    </w:p>
    <w:p w14:paraId="000EB543" w14:textId="12BB2137" w:rsidR="001D47F4" w:rsidRDefault="001D47F4" w:rsidP="001D47F4">
      <w:pPr>
        <w:spacing w:after="120"/>
        <w:ind w:left="2268" w:right="1134" w:hanging="1134"/>
        <w:jc w:val="both"/>
      </w:pPr>
      <w:r>
        <w:t>6.2.3.6.1</w:t>
      </w:r>
      <w:r>
        <w:tab/>
        <w:t>After the table replace the sentence starting “For refillable pressure receptacles, the conformity assessment …” by “</w:t>
      </w:r>
      <w:r w:rsidRPr="002A3359">
        <w:t>For separate conformity assessments (e.g. cylinder shell and closure) see 6.2.1.4.3.</w:t>
      </w:r>
      <w:r>
        <w:t>”</w:t>
      </w:r>
    </w:p>
    <w:p w14:paraId="4F4C802A" w14:textId="2FF602B0" w:rsidR="001D47F4" w:rsidRPr="002B26A8" w:rsidRDefault="001D47F4" w:rsidP="001D47F4">
      <w:pPr>
        <w:pStyle w:val="SingleTxtG"/>
        <w:rPr>
          <w:bCs/>
        </w:rPr>
      </w:pPr>
      <w:r w:rsidRPr="002B26A8">
        <w:rPr>
          <w:bCs/>
        </w:rPr>
        <w:t>6.2.3.10</w:t>
      </w:r>
      <w:r w:rsidRPr="002B26A8">
        <w:rPr>
          <w:bCs/>
        </w:rPr>
        <w:tab/>
        <w:t xml:space="preserve">Replace </w:t>
      </w:r>
      <w:r w:rsidRPr="00746B14">
        <w:rPr>
          <w:bCs/>
        </w:rPr>
        <w:t>“</w:t>
      </w:r>
      <w:r w:rsidRPr="002B26A8">
        <w:rPr>
          <w:bCs/>
        </w:rPr>
        <w:t>pressure receptacles” by “cylinders</w:t>
      </w:r>
      <w:r w:rsidRPr="00746B14">
        <w:rPr>
          <w:bCs/>
        </w:rPr>
        <w:t>”</w:t>
      </w:r>
      <w:r w:rsidR="00746B14">
        <w:rPr>
          <w:bCs/>
        </w:rPr>
        <w:t>.</w:t>
      </w:r>
    </w:p>
    <w:p w14:paraId="44DDA745" w14:textId="0BD1ED43" w:rsidR="001D47F4" w:rsidRDefault="001D47F4" w:rsidP="001D47F4">
      <w:pPr>
        <w:pStyle w:val="SingleTxtG"/>
      </w:pPr>
      <w:r w:rsidRPr="002B26A8">
        <w:rPr>
          <w:bCs/>
        </w:rPr>
        <w:lastRenderedPageBreak/>
        <w:t>6.2.4.1</w:t>
      </w:r>
      <w:r>
        <w:tab/>
        <w:t xml:space="preserve">After the end of the text and before the table insert a new </w:t>
      </w:r>
      <w:r w:rsidRPr="00233D67">
        <w:rPr>
          <w:b/>
          <w:i/>
        </w:rPr>
        <w:t>NOTE</w:t>
      </w:r>
      <w:r>
        <w:t xml:space="preserve"> as follows</w:t>
      </w:r>
      <w:r w:rsidR="00EC5DE2">
        <w:t>:</w:t>
      </w:r>
    </w:p>
    <w:p w14:paraId="0666EBA5" w14:textId="77777777" w:rsidR="001D47F4" w:rsidRDefault="001D47F4" w:rsidP="001D47F4">
      <w:pPr>
        <w:spacing w:after="120"/>
        <w:ind w:left="1134" w:right="1134"/>
        <w:jc w:val="both"/>
      </w:pPr>
      <w:r>
        <w:t>“</w:t>
      </w:r>
      <w:r w:rsidRPr="00233D67">
        <w:rPr>
          <w:b/>
          <w:i/>
        </w:rPr>
        <w:t>NOTE:</w:t>
      </w:r>
      <w:r w:rsidRPr="00233D67">
        <w:rPr>
          <w:i/>
        </w:rPr>
        <w:t xml:space="preserve"> The words ‘cylinder’, ‘tube’ and ‘pressure drum’ when used in these standards shall be understood to exclude closures except in the case of non-refillable cylinders.</w:t>
      </w:r>
      <w:r>
        <w:t>”</w:t>
      </w:r>
    </w:p>
    <w:p w14:paraId="356AC9CC" w14:textId="74D8287A" w:rsidR="001D47F4" w:rsidRDefault="001D47F4" w:rsidP="001D47F4">
      <w:pPr>
        <w:pStyle w:val="SingleTxtG"/>
        <w:spacing w:before="120"/>
        <w:rPr>
          <w:b/>
          <w:i/>
          <w:u w:val="single"/>
        </w:rPr>
      </w:pPr>
      <w:r>
        <w:t xml:space="preserve">In the third row of the table (after the two header rows) </w:t>
      </w:r>
      <w:r w:rsidRPr="00746B14">
        <w:t>after “</w:t>
      </w:r>
      <w:r w:rsidRPr="002B26A8">
        <w:rPr>
          <w:i/>
        </w:rPr>
        <w:t>for design and construction</w:t>
      </w:r>
      <w:r w:rsidRPr="00746B14">
        <w:t>”</w:t>
      </w:r>
      <w:r w:rsidRPr="002B26A8">
        <w:rPr>
          <w:i/>
        </w:rPr>
        <w:t xml:space="preserve"> </w:t>
      </w:r>
      <w:r w:rsidRPr="00746B14">
        <w:t>add “</w:t>
      </w:r>
      <w:r w:rsidRPr="002B26A8">
        <w:rPr>
          <w:i/>
          <w:iCs/>
        </w:rPr>
        <w:t>of</w:t>
      </w:r>
      <w:r w:rsidRPr="002B26A8">
        <w:t xml:space="preserve"> </w:t>
      </w:r>
      <w:r w:rsidRPr="002B26A8">
        <w:rPr>
          <w:i/>
        </w:rPr>
        <w:t>pressure receptacles or pressure receptacle shells”</w:t>
      </w:r>
      <w:r w:rsidR="00EC5DE2" w:rsidRPr="002B26A8">
        <w:rPr>
          <w:i/>
        </w:rPr>
        <w:t>.</w:t>
      </w:r>
    </w:p>
    <w:p w14:paraId="5CCC5B11" w14:textId="3AD25E5B" w:rsidR="001D47F4" w:rsidRPr="009E7231" w:rsidRDefault="001D47F4" w:rsidP="001D47F4">
      <w:pPr>
        <w:spacing w:after="120"/>
        <w:ind w:left="1134" w:right="1134"/>
        <w:jc w:val="both"/>
      </w:pPr>
      <w:r>
        <w:t xml:space="preserve">In the row of the table immediately preceding the entry for EN 849:1996 (except Annex A) replace </w:t>
      </w:r>
      <w:r w:rsidRPr="00746B14">
        <w:t>“</w:t>
      </w:r>
      <w:r w:rsidRPr="002B26A8">
        <w:rPr>
          <w:i/>
        </w:rPr>
        <w:t>for closures</w:t>
      </w:r>
      <w:r w:rsidRPr="00746B14">
        <w:t>”</w:t>
      </w:r>
      <w:r w:rsidRPr="002B26A8">
        <w:rPr>
          <w:i/>
        </w:rPr>
        <w:t xml:space="preserve"> </w:t>
      </w:r>
      <w:r w:rsidRPr="00746B14">
        <w:t>by “</w:t>
      </w:r>
      <w:r w:rsidRPr="002B26A8">
        <w:rPr>
          <w:i/>
        </w:rPr>
        <w:t>for design and construction of closures</w:t>
      </w:r>
      <w:r w:rsidRPr="00746B14">
        <w:t>”</w:t>
      </w:r>
      <w:r w:rsidR="00EC5DE2" w:rsidRPr="00746B14">
        <w:t>.</w:t>
      </w:r>
    </w:p>
    <w:p w14:paraId="26CE91B7" w14:textId="0F87D638" w:rsidR="001D47F4" w:rsidRPr="00B53402" w:rsidRDefault="001D47F4" w:rsidP="001D47F4">
      <w:pPr>
        <w:pStyle w:val="SingleTxtG"/>
        <w:spacing w:before="120"/>
        <w:ind w:left="2268" w:hanging="1134"/>
      </w:pPr>
      <w:r w:rsidRPr="002B26A8">
        <w:rPr>
          <w:bCs/>
        </w:rPr>
        <w:t>6.2.4.2</w:t>
      </w:r>
      <w:r>
        <w:rPr>
          <w:b/>
        </w:rPr>
        <w:tab/>
      </w:r>
      <w:r>
        <w:rPr>
          <w:b/>
        </w:rPr>
        <w:tab/>
      </w:r>
      <w:r>
        <w:t xml:space="preserve">Delete the third row of the table (after the two header rows) including the text </w:t>
      </w:r>
      <w:r w:rsidRPr="00A917B5">
        <w:t>“</w:t>
      </w:r>
      <w:r w:rsidRPr="002B26A8">
        <w:rPr>
          <w:i/>
        </w:rPr>
        <w:t>for periodic inspection and test</w:t>
      </w:r>
      <w:r w:rsidRPr="00A917B5">
        <w:t>”.</w:t>
      </w:r>
    </w:p>
    <w:p w14:paraId="5DB8DA97" w14:textId="6931E2A1" w:rsidR="001D47F4" w:rsidRDefault="001D47F4" w:rsidP="001D47F4">
      <w:pPr>
        <w:spacing w:after="120"/>
        <w:ind w:left="2268" w:right="1134" w:hanging="1134"/>
        <w:jc w:val="both"/>
      </w:pPr>
      <w:r>
        <w:t>6.2.5.3</w:t>
      </w:r>
      <w:r>
        <w:tab/>
      </w:r>
      <w:r>
        <w:tab/>
        <w:t>In the first sentence after the heading insert “shell” after “pressure receptacle”.</w:t>
      </w:r>
    </w:p>
    <w:p w14:paraId="17A6CD24" w14:textId="77777777" w:rsidR="001D47F4" w:rsidRPr="00742F4C" w:rsidRDefault="001D47F4" w:rsidP="001D47F4">
      <w:pPr>
        <w:pStyle w:val="SingleTxtG"/>
      </w:pPr>
      <w:r>
        <w:t xml:space="preserve">In the sentence immediately after the end of the </w:t>
      </w:r>
      <w:r w:rsidRPr="00742F4C">
        <w:rPr>
          <w:b/>
          <w:i/>
        </w:rPr>
        <w:t>NOTE</w:t>
      </w:r>
      <w:r>
        <w:t xml:space="preserve"> delete “and their closures”.</w:t>
      </w:r>
    </w:p>
    <w:p w14:paraId="7518A256" w14:textId="39D034D9" w:rsidR="001D47F4" w:rsidRDefault="001D47F4" w:rsidP="001D47F4">
      <w:pPr>
        <w:pStyle w:val="SingleTxtG"/>
      </w:pPr>
      <w:r>
        <w:t>6.2.5.4.1</w:t>
      </w:r>
      <w:r>
        <w:tab/>
      </w:r>
      <w:r w:rsidRPr="006045B0">
        <w:t>In the first sentence</w:t>
      </w:r>
      <w:r>
        <w:t xml:space="preserve"> replace “receptacles” by “receptacle shells”</w:t>
      </w:r>
      <w:r w:rsidRPr="002B26A8">
        <w:t>.</w:t>
      </w:r>
    </w:p>
    <w:p w14:paraId="4D18A94A" w14:textId="7F080E6B" w:rsidR="001D47F4" w:rsidRDefault="001D47F4" w:rsidP="001D47F4">
      <w:pPr>
        <w:spacing w:after="120"/>
        <w:ind w:left="1134" w:right="1134"/>
        <w:jc w:val="both"/>
      </w:pPr>
      <w:r>
        <w:t xml:space="preserve">In the sentence preceding the algebraic formulae insert “shell” after “receptacle” </w:t>
      </w:r>
      <w:r w:rsidR="00EC5DE2">
        <w:t>(</w:t>
      </w:r>
      <w:r>
        <w:t>twice</w:t>
      </w:r>
      <w:r w:rsidR="00EC5DE2">
        <w:t>)</w:t>
      </w:r>
      <w:r>
        <w:t>.</w:t>
      </w:r>
    </w:p>
    <w:p w14:paraId="349A0AB9" w14:textId="7F106EC1" w:rsidR="001D47F4" w:rsidRPr="001D47F4" w:rsidRDefault="001D47F4" w:rsidP="001D47F4">
      <w:pPr>
        <w:spacing w:before="240"/>
        <w:jc w:val="center"/>
        <w:rPr>
          <w:u w:val="single"/>
        </w:rPr>
      </w:pPr>
      <w:r>
        <w:rPr>
          <w:u w:val="single"/>
        </w:rPr>
        <w:tab/>
      </w:r>
      <w:r>
        <w:rPr>
          <w:u w:val="single"/>
        </w:rPr>
        <w:tab/>
      </w:r>
      <w:r>
        <w:rPr>
          <w:u w:val="single"/>
        </w:rPr>
        <w:tab/>
      </w:r>
    </w:p>
    <w:sectPr w:rsidR="001D47F4" w:rsidRPr="001D47F4" w:rsidSect="00CA7619">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1101" w14:textId="77777777" w:rsidR="00CA7619" w:rsidRDefault="00CA7619"/>
  </w:endnote>
  <w:endnote w:type="continuationSeparator" w:id="0">
    <w:p w14:paraId="2AADEC24" w14:textId="77777777" w:rsidR="00CA7619" w:rsidRDefault="00CA7619"/>
  </w:endnote>
  <w:endnote w:type="continuationNotice" w:id="1">
    <w:p w14:paraId="1FE6880D" w14:textId="77777777" w:rsidR="00CA7619" w:rsidRDefault="00CA7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BC54" w14:textId="5A348D11" w:rsidR="00CA7619" w:rsidRPr="00CA7619" w:rsidRDefault="00CA7619" w:rsidP="00CA7619">
    <w:pPr>
      <w:pStyle w:val="Footer"/>
      <w:tabs>
        <w:tab w:val="right" w:pos="9638"/>
      </w:tabs>
      <w:rPr>
        <w:sz w:val="18"/>
      </w:rPr>
    </w:pPr>
    <w:r w:rsidRPr="00CA7619">
      <w:rPr>
        <w:b/>
        <w:sz w:val="18"/>
      </w:rPr>
      <w:fldChar w:fldCharType="begin"/>
    </w:r>
    <w:r w:rsidRPr="00CA7619">
      <w:rPr>
        <w:b/>
        <w:sz w:val="18"/>
      </w:rPr>
      <w:instrText xml:space="preserve"> PAGE  \* MERGEFORMAT </w:instrText>
    </w:r>
    <w:r w:rsidRPr="00CA7619">
      <w:rPr>
        <w:b/>
        <w:sz w:val="18"/>
      </w:rPr>
      <w:fldChar w:fldCharType="separate"/>
    </w:r>
    <w:r w:rsidR="00E058B9">
      <w:rPr>
        <w:b/>
        <w:noProof/>
        <w:sz w:val="18"/>
      </w:rPr>
      <w:t>2</w:t>
    </w:r>
    <w:r w:rsidRPr="00CA76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3B41" w14:textId="590A56AA" w:rsidR="00CA7619" w:rsidRPr="00CA7619" w:rsidRDefault="00CA7619" w:rsidP="00CA7619">
    <w:pPr>
      <w:pStyle w:val="Footer"/>
      <w:tabs>
        <w:tab w:val="right" w:pos="9638"/>
      </w:tabs>
      <w:rPr>
        <w:b/>
        <w:sz w:val="18"/>
      </w:rPr>
    </w:pPr>
    <w:r>
      <w:tab/>
    </w:r>
    <w:r w:rsidRPr="00CA7619">
      <w:rPr>
        <w:b/>
        <w:sz w:val="18"/>
      </w:rPr>
      <w:fldChar w:fldCharType="begin"/>
    </w:r>
    <w:r w:rsidRPr="00CA7619">
      <w:rPr>
        <w:b/>
        <w:sz w:val="18"/>
      </w:rPr>
      <w:instrText xml:space="preserve"> PAGE  \* MERGEFORMAT </w:instrText>
    </w:r>
    <w:r w:rsidRPr="00CA7619">
      <w:rPr>
        <w:b/>
        <w:sz w:val="18"/>
      </w:rPr>
      <w:fldChar w:fldCharType="separate"/>
    </w:r>
    <w:r w:rsidR="00E058B9">
      <w:rPr>
        <w:b/>
        <w:noProof/>
        <w:sz w:val="18"/>
      </w:rPr>
      <w:t>3</w:t>
    </w:r>
    <w:r w:rsidRPr="00CA761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610FC" w14:textId="77777777" w:rsidR="00CA7619" w:rsidRPr="000B175B" w:rsidRDefault="00CA7619" w:rsidP="000B175B">
      <w:pPr>
        <w:tabs>
          <w:tab w:val="right" w:pos="2155"/>
        </w:tabs>
        <w:spacing w:after="80"/>
        <w:ind w:left="680"/>
        <w:rPr>
          <w:u w:val="single"/>
        </w:rPr>
      </w:pPr>
      <w:r>
        <w:rPr>
          <w:u w:val="single"/>
        </w:rPr>
        <w:tab/>
      </w:r>
    </w:p>
  </w:footnote>
  <w:footnote w:type="continuationSeparator" w:id="0">
    <w:p w14:paraId="1DC7D5D9" w14:textId="77777777" w:rsidR="00CA7619" w:rsidRPr="00FC68B7" w:rsidRDefault="00CA7619" w:rsidP="00FC68B7">
      <w:pPr>
        <w:tabs>
          <w:tab w:val="left" w:pos="2155"/>
        </w:tabs>
        <w:spacing w:after="80"/>
        <w:ind w:left="680"/>
        <w:rPr>
          <w:u w:val="single"/>
        </w:rPr>
      </w:pPr>
      <w:r>
        <w:rPr>
          <w:u w:val="single"/>
        </w:rPr>
        <w:tab/>
      </w:r>
    </w:p>
  </w:footnote>
  <w:footnote w:type="continuationNotice" w:id="1">
    <w:p w14:paraId="09785549" w14:textId="77777777" w:rsidR="00CA7619" w:rsidRDefault="00CA7619"/>
  </w:footnote>
  <w:footnote w:id="2">
    <w:p w14:paraId="5BBB686B" w14:textId="77777777" w:rsidR="001D47F4" w:rsidRDefault="001D47F4" w:rsidP="001D47F4">
      <w:pPr>
        <w:pStyle w:val="FootnoteText"/>
        <w:rPr>
          <w:sz w:val="20"/>
        </w:rPr>
      </w:pPr>
      <w:r>
        <w:rPr>
          <w:sz w:val="20"/>
        </w:rPr>
        <w:tab/>
      </w:r>
      <w:r>
        <w:rPr>
          <w:rStyle w:val="FootnoteReference"/>
          <w:sz w:val="20"/>
        </w:rPr>
        <w:t>*</w:t>
      </w:r>
      <w:r>
        <w:rPr>
          <w:sz w:val="20"/>
        </w:rPr>
        <w:tab/>
      </w:r>
      <w:r>
        <w:tab/>
        <w:t>2020 (A/74/6 (Sect.20) and Supplementary, Subprogramme 2).</w:t>
      </w:r>
    </w:p>
  </w:footnote>
  <w:footnote w:id="3">
    <w:p w14:paraId="3FA1C5D6" w14:textId="3BA7E7EE" w:rsidR="001D47F4" w:rsidRDefault="001D47F4" w:rsidP="001D47F4">
      <w:pPr>
        <w:pStyle w:val="FootnoteText"/>
        <w:rPr>
          <w:sz w:val="20"/>
        </w:rPr>
      </w:pPr>
      <w:r>
        <w:rPr>
          <w:rStyle w:val="FootnoteReference"/>
          <w:sz w:val="20"/>
        </w:rPr>
        <w:tab/>
        <w:t>**</w:t>
      </w:r>
      <w:r>
        <w:rPr>
          <w:sz w:val="20"/>
        </w:rPr>
        <w:tab/>
      </w:r>
      <w:r>
        <w:t>Circulated by the Intergovernmental Organisation for International Carriage by Rail (OTIF) under the symbol OTIF/RID/RC/2020/65.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735E" w14:textId="77777777" w:rsidR="00CA7619" w:rsidRPr="00CA7619" w:rsidRDefault="00E058B9">
    <w:pPr>
      <w:pStyle w:val="Header"/>
    </w:pPr>
    <w:fldSimple w:instr=" TITLE  \* MERGEFORMAT ">
      <w:r w:rsidR="00CA7619">
        <w:t>ECE/TRANS/WP.15/AC.1/2020/65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8186" w14:textId="77777777" w:rsidR="00CA7619" w:rsidRPr="00CA7619" w:rsidRDefault="00E058B9" w:rsidP="00CA7619">
    <w:pPr>
      <w:pStyle w:val="Header"/>
      <w:jc w:val="right"/>
    </w:pPr>
    <w:fldSimple w:instr=" TITLE  \* MERGEFORMAT ">
      <w:r w:rsidR="00CA7619">
        <w:t>ECE/TRANS/WP.15/AC.1/2020/65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19"/>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D47F4"/>
    <w:rsid w:val="001F1599"/>
    <w:rsid w:val="001F19C4"/>
    <w:rsid w:val="002043F0"/>
    <w:rsid w:val="00211E0B"/>
    <w:rsid w:val="00232575"/>
    <w:rsid w:val="00247258"/>
    <w:rsid w:val="00257CAC"/>
    <w:rsid w:val="00264441"/>
    <w:rsid w:val="0027237A"/>
    <w:rsid w:val="002974E9"/>
    <w:rsid w:val="002A7F94"/>
    <w:rsid w:val="002B109A"/>
    <w:rsid w:val="002B26A8"/>
    <w:rsid w:val="002C6D45"/>
    <w:rsid w:val="002D6E53"/>
    <w:rsid w:val="002F046D"/>
    <w:rsid w:val="002F1F0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52BAA"/>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46B14"/>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37AE"/>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EA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17B5"/>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A5C8F"/>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A7619"/>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058B9"/>
    <w:rsid w:val="00E423C0"/>
    <w:rsid w:val="00E6414C"/>
    <w:rsid w:val="00E7260F"/>
    <w:rsid w:val="00E8702D"/>
    <w:rsid w:val="00E905F4"/>
    <w:rsid w:val="00E916A9"/>
    <w:rsid w:val="00E916DE"/>
    <w:rsid w:val="00E925AD"/>
    <w:rsid w:val="00E96630"/>
    <w:rsid w:val="00EC5DE2"/>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A64F4A"/>
  <w15:docId w15:val="{BC7A9BF6-DAF9-4375-A793-705B4526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1D47F4"/>
    <w:rPr>
      <w:b/>
      <w:sz w:val="28"/>
      <w:lang w:val="en-GB"/>
    </w:rPr>
  </w:style>
  <w:style w:type="character" w:customStyle="1" w:styleId="H1GChar">
    <w:name w:val="_ H_1_G Char"/>
    <w:link w:val="H1G"/>
    <w:rsid w:val="001D47F4"/>
    <w:rPr>
      <w:b/>
      <w:sz w:val="24"/>
      <w:lang w:val="en-GB"/>
    </w:rPr>
  </w:style>
  <w:style w:type="character" w:customStyle="1" w:styleId="SingleTxtGCar">
    <w:name w:val="_ Single Txt_G Car"/>
    <w:rsid w:val="001D47F4"/>
    <w:rPr>
      <w:lang w:val="en-GB" w:eastAsia="en-US"/>
    </w:rPr>
  </w:style>
  <w:style w:type="character" w:customStyle="1" w:styleId="FootnoteTextChar">
    <w:name w:val="Footnote Text Char"/>
    <w:aliases w:val="5_G Char,5_GR Char"/>
    <w:basedOn w:val="DefaultParagraphFont"/>
    <w:link w:val="FootnoteText"/>
    <w:locked/>
    <w:rsid w:val="001D47F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98986-EA6B-4E78-BB8B-7AB808B9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3</Pages>
  <Words>899</Words>
  <Characters>5126</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ECE/TRANS/WP.15/AC.1/2020/65</vt:lpstr>
      <vt:lpstr>ECE/TRANS/WP.15/AC.1/2020/65</vt:lpstr>
    </vt:vector>
  </TitlesOfParts>
  <Company>CSD</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ECE/TRANS/WP.15/AC.1/2020/65</dc:title>
  <dc:creator>Christine Barrio-Champeau</dc:creator>
  <cp:lastModifiedBy>Christine Barrio-Champeau</cp:lastModifiedBy>
  <cp:revision>4</cp:revision>
  <cp:lastPrinted>2009-02-18T09:36:00Z</cp:lastPrinted>
  <dcterms:created xsi:type="dcterms:W3CDTF">2020-06-25T13:22:00Z</dcterms:created>
  <dcterms:modified xsi:type="dcterms:W3CDTF">2020-06-25T13:24:00Z</dcterms:modified>
</cp:coreProperties>
</file>