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734A4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32E95B" w14:textId="77777777" w:rsidR="002D5AAC" w:rsidRDefault="002D5AAC" w:rsidP="004E50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2F443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58CB12" w14:textId="77777777" w:rsidR="002D5AAC" w:rsidRDefault="004E5075" w:rsidP="004E5075">
            <w:pPr>
              <w:jc w:val="right"/>
            </w:pPr>
            <w:r w:rsidRPr="004E5075">
              <w:rPr>
                <w:sz w:val="40"/>
              </w:rPr>
              <w:t>ECE</w:t>
            </w:r>
            <w:r>
              <w:t>/TRANS/WP.15/AC.1/2020/64</w:t>
            </w:r>
          </w:p>
        </w:tc>
      </w:tr>
      <w:tr w:rsidR="002D5AAC" w14:paraId="023D29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F47BD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BFA02E" wp14:editId="7D70CB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4024A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CBC973" w14:textId="77777777" w:rsidR="002D5AAC" w:rsidRDefault="004E50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FC415B" w14:textId="77777777" w:rsidR="004E5075" w:rsidRDefault="004E5075" w:rsidP="004E5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2020</w:t>
            </w:r>
          </w:p>
          <w:p w14:paraId="11640E36" w14:textId="77777777" w:rsidR="004E5075" w:rsidRDefault="004E5075" w:rsidP="004E5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81F267" w14:textId="77777777" w:rsidR="004E5075" w:rsidRPr="008D53B6" w:rsidRDefault="004E5075" w:rsidP="004E5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F6E8D75" w14:textId="77777777" w:rsidR="004E507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35BFE9" w14:textId="77777777" w:rsidR="004E5075" w:rsidRPr="000333B1" w:rsidRDefault="004E5075" w:rsidP="004E5075">
      <w:pPr>
        <w:spacing w:before="120"/>
        <w:ind w:right="1134"/>
        <w:rPr>
          <w:sz w:val="28"/>
          <w:szCs w:val="28"/>
        </w:rPr>
      </w:pPr>
      <w:r w:rsidRPr="000333B1">
        <w:rPr>
          <w:sz w:val="28"/>
          <w:szCs w:val="28"/>
        </w:rPr>
        <w:t>Комитет по внутреннему транспорту</w:t>
      </w:r>
    </w:p>
    <w:p w14:paraId="5C102888" w14:textId="77777777" w:rsidR="004E5075" w:rsidRPr="000333B1" w:rsidRDefault="004E5075" w:rsidP="004E5075">
      <w:pPr>
        <w:spacing w:before="120"/>
        <w:ind w:right="1134"/>
        <w:rPr>
          <w:b/>
          <w:sz w:val="24"/>
          <w:szCs w:val="24"/>
        </w:rPr>
      </w:pPr>
      <w:r w:rsidRPr="000333B1">
        <w:rPr>
          <w:b/>
          <w:bCs/>
          <w:sz w:val="24"/>
          <w:szCs w:val="24"/>
        </w:rPr>
        <w:t>Рабочая группа по перевозкам опасных грузов</w:t>
      </w:r>
    </w:p>
    <w:p w14:paraId="72EFCFE8" w14:textId="77777777" w:rsidR="004E5075" w:rsidRPr="00DD7C2A" w:rsidRDefault="004E5075" w:rsidP="004E5075">
      <w:pPr>
        <w:spacing w:before="120"/>
        <w:ind w:right="1134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7507E3B3" w14:textId="77777777" w:rsidR="004E5075" w:rsidRPr="00DD7C2A" w:rsidRDefault="004E5075" w:rsidP="004E5075">
      <w:r>
        <w:t>Берн, 10–11 сентября, и Женева, 14–18 сентября 2020 года</w:t>
      </w:r>
    </w:p>
    <w:p w14:paraId="4AB743EF" w14:textId="77777777" w:rsidR="004E5075" w:rsidRPr="00DD7C2A" w:rsidRDefault="004E5075" w:rsidP="004E507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5 b) предварительной повестки дня</w:t>
      </w:r>
    </w:p>
    <w:p w14:paraId="73B6160A" w14:textId="77777777" w:rsidR="004E5075" w:rsidRDefault="004E5075" w:rsidP="004E5075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</w:t>
      </w:r>
    </w:p>
    <w:p w14:paraId="2B788541" w14:textId="77777777" w:rsidR="00E12C5F" w:rsidRDefault="004E5075" w:rsidP="004E5075">
      <w:r>
        <w:rPr>
          <w:b/>
          <w:bCs/>
        </w:rPr>
        <w:t>новые предложения</w:t>
      </w:r>
    </w:p>
    <w:p w14:paraId="499CDFC3" w14:textId="77777777" w:rsidR="004E5075" w:rsidRPr="00DD7C2A" w:rsidRDefault="004E5075" w:rsidP="00E048AE">
      <w:pPr>
        <w:pStyle w:val="HChG"/>
        <w:spacing w:before="300" w:after="200"/>
      </w:pPr>
      <w:r>
        <w:tab/>
      </w:r>
      <w:r>
        <w:tab/>
        <w:t>М</w:t>
      </w:r>
      <w:r w:rsidRPr="002B6B77">
        <w:t>аркировка в виде табличек</w:t>
      </w:r>
      <w:r>
        <w:t xml:space="preserve"> </w:t>
      </w:r>
      <w:r>
        <w:rPr>
          <w:bCs/>
        </w:rPr>
        <w:t>оранжевого цвета на</w:t>
      </w:r>
      <w:r>
        <w:rPr>
          <w:bCs/>
          <w:lang w:val="en-US"/>
        </w:rPr>
        <w:t> </w:t>
      </w:r>
      <w:r>
        <w:rPr>
          <w:bCs/>
        </w:rPr>
        <w:t>вагонах и транспортных средствах, перевозящих цистерны или контейнеры для массовых грузов малой вместимости</w:t>
      </w:r>
      <w:r>
        <w:t xml:space="preserve"> </w:t>
      </w:r>
    </w:p>
    <w:p w14:paraId="22410AD1" w14:textId="77777777" w:rsidR="004E5075" w:rsidRDefault="004E5075" w:rsidP="00E048AE">
      <w:pPr>
        <w:pStyle w:val="H1G"/>
        <w:spacing w:before="300" w:after="200"/>
      </w:pPr>
      <w:r>
        <w:tab/>
      </w:r>
      <w:r>
        <w:tab/>
        <w:t>Передано правительством Швейцарии</w:t>
      </w:r>
      <w:r w:rsidRPr="004E507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E5075">
        <w:rPr>
          <w:b w:val="0"/>
          <w:bCs/>
          <w:sz w:val="20"/>
        </w:rPr>
        <w:t xml:space="preserve"> </w:t>
      </w:r>
      <w:r w:rsidRPr="004E507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E5075" w:rsidRPr="004E5075" w14:paraId="64E00E58" w14:textId="77777777" w:rsidTr="004E5075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448B8A3" w14:textId="77777777" w:rsidR="004E5075" w:rsidRPr="004E5075" w:rsidRDefault="004E507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E5075">
              <w:rPr>
                <w:rFonts w:cs="Times New Roman"/>
              </w:rPr>
              <w:tab/>
            </w:r>
            <w:r w:rsidRPr="004E507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E5075" w:rsidRPr="004E5075" w14:paraId="73892D20" w14:textId="77777777" w:rsidTr="004E507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2932A9A" w14:textId="77777777" w:rsidR="004E5075" w:rsidRPr="00DD7C2A" w:rsidRDefault="004E5075" w:rsidP="00E048AE">
            <w:pPr>
              <w:pStyle w:val="SingleTxtG"/>
              <w:tabs>
                <w:tab w:val="left" w:pos="3260"/>
                <w:tab w:val="left" w:pos="3525"/>
                <w:tab w:val="left" w:pos="3675"/>
              </w:tabs>
              <w:spacing w:line="220" w:lineRule="atLeast"/>
              <w:ind w:left="3525" w:hanging="2391"/>
            </w:pPr>
            <w:r w:rsidRPr="002B6B77">
              <w:rPr>
                <w:b/>
                <w:bCs/>
              </w:rPr>
              <w:t>Существо предложения:</w:t>
            </w:r>
            <w:r>
              <w:tab/>
              <w:t>Освобождение, предусмотренное в примечании к пункту</w:t>
            </w:r>
            <w:r>
              <w:rPr>
                <w:lang w:val="en-US"/>
              </w:rPr>
              <w:t> </w:t>
            </w:r>
            <w:r>
              <w:t>5.3.2.1.5 МПОГ/ДОПОГ/ВОПОГ, применяется только к закрытым или крытым брезентом вагонам и транспортным средствам. Это приводит к несоответствию между маркировкой закрытых или крытых брезентом вагонов и транспортных средств и маркировкой открытых вагонов и транспортных средств.</w:t>
            </w:r>
          </w:p>
          <w:p w14:paraId="62D6073F" w14:textId="77777777" w:rsidR="004E5075" w:rsidRDefault="004E5075" w:rsidP="00E048AE">
            <w:pPr>
              <w:pStyle w:val="SingleTxtG"/>
              <w:tabs>
                <w:tab w:val="left" w:pos="3260"/>
                <w:tab w:val="left" w:pos="3525"/>
                <w:tab w:val="left" w:pos="3675"/>
              </w:tabs>
              <w:spacing w:line="220" w:lineRule="atLeast"/>
              <w:ind w:left="3525" w:hanging="2391"/>
            </w:pPr>
            <w:r>
              <w:tab/>
            </w:r>
            <w:r>
              <w:tab/>
              <w:t>С другой стороны, поскольку пункт 5.3.2.1.5 применяется не только к цистернам, но и к контейнерам для массовых грузов, освобождение, предусмотренное в примечании к пункту 5.3.2.1.5 МПОГ/ДОПОГ/ВОПОГ, должно распространяться на вагоны и транспортные средства, перевозящие контейнеры для массовых грузов малой вместимости.</w:t>
            </w:r>
          </w:p>
          <w:p w14:paraId="47E0E9A9" w14:textId="77777777" w:rsidR="004E5075" w:rsidRDefault="004E5075" w:rsidP="00E048AE">
            <w:pPr>
              <w:pStyle w:val="SingleTxtG"/>
              <w:tabs>
                <w:tab w:val="left" w:pos="3260"/>
                <w:tab w:val="left" w:pos="3525"/>
                <w:tab w:val="left" w:pos="3675"/>
              </w:tabs>
              <w:spacing w:line="220" w:lineRule="atLeast"/>
              <w:ind w:left="3525" w:hanging="2391"/>
            </w:pPr>
            <w:r w:rsidRPr="004E5075">
              <w:rPr>
                <w:b/>
                <w:bCs/>
              </w:rPr>
              <w:t>Предлагаемое решение:</w:t>
            </w:r>
            <w:r w:rsidRPr="004E5075">
              <w:tab/>
              <w:t>Изменить примечание к пункту 5.3.2.1.5.</w:t>
            </w:r>
          </w:p>
          <w:p w14:paraId="1A70C6D9" w14:textId="77777777" w:rsidR="004E5075" w:rsidRPr="00E048AE" w:rsidRDefault="004E5075" w:rsidP="00E048AE">
            <w:pPr>
              <w:pStyle w:val="SingleTxtG"/>
              <w:tabs>
                <w:tab w:val="left" w:pos="3260"/>
                <w:tab w:val="left" w:pos="3525"/>
                <w:tab w:val="left" w:pos="3675"/>
              </w:tabs>
              <w:spacing w:after="0" w:line="220" w:lineRule="atLeast"/>
              <w:ind w:left="3527" w:hanging="2393"/>
            </w:pPr>
            <w:r w:rsidRPr="004E5075">
              <w:rPr>
                <w:b/>
                <w:bCs/>
              </w:rPr>
              <w:t>Справочный документ:</w:t>
            </w:r>
            <w:r w:rsidRPr="004E5075">
              <w:tab/>
              <w:t>ECE/TRANS/WP.15/AC.1/2007/47</w:t>
            </w:r>
            <w:r w:rsidR="00E048AE" w:rsidRPr="00E048AE">
              <w:t>.</w:t>
            </w:r>
          </w:p>
        </w:tc>
      </w:tr>
      <w:tr w:rsidR="004E5075" w:rsidRPr="004E5075" w14:paraId="20C49807" w14:textId="77777777" w:rsidTr="004E5075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0950A9A" w14:textId="77777777" w:rsidR="004E5075" w:rsidRPr="004E5075" w:rsidRDefault="004E5075" w:rsidP="00850215">
            <w:pPr>
              <w:rPr>
                <w:rFonts w:cs="Times New Roman"/>
              </w:rPr>
            </w:pPr>
          </w:p>
        </w:tc>
      </w:tr>
    </w:tbl>
    <w:p w14:paraId="3109158B" w14:textId="77777777" w:rsidR="004E5075" w:rsidRPr="00DD7C2A" w:rsidRDefault="004E5075" w:rsidP="004E5075">
      <w:pPr>
        <w:pStyle w:val="HChG"/>
      </w:pPr>
      <w:r>
        <w:lastRenderedPageBreak/>
        <w:tab/>
      </w:r>
      <w:r>
        <w:tab/>
      </w:r>
      <w:r>
        <w:tab/>
      </w:r>
      <w:r>
        <w:rPr>
          <w:bCs/>
        </w:rPr>
        <w:t>Введение</w:t>
      </w:r>
    </w:p>
    <w:p w14:paraId="448C3689" w14:textId="77777777" w:rsidR="004E5075" w:rsidRPr="00DD7C2A" w:rsidRDefault="004E5075" w:rsidP="004E5075">
      <w:pPr>
        <w:pStyle w:val="SingleTxtG"/>
      </w:pPr>
      <w:r>
        <w:t>1.</w:t>
      </w:r>
      <w:r>
        <w:tab/>
        <w:t>В примечании к пункту 5.3.2.1.5 МПОГ/ДОПОГ/ВОПОГ допускается перевозка цистерн максимальной вместимостью 3 000 л в закрытых или крытых брезентом вагонах/транспортных средствах без необходимости прикрепления табличек оранжевого цвета к обеим боковым сторонам вагона/транспортного средства, перевозящего такие цистерны. Таким образом, предписывается маркировка в виде табличек оранжевого цвета только на вагоне/транспортном средстве, а перевозка сопоставима с перевозкой опасных грузов в таре большого размера (КСМ или крупногабаритной таре).</w:t>
      </w:r>
    </w:p>
    <w:p w14:paraId="5214F2B8" w14:textId="77777777" w:rsidR="004E5075" w:rsidRPr="00DD7C2A" w:rsidRDefault="004E5075" w:rsidP="004E5075">
      <w:pPr>
        <w:pStyle w:val="SingleTxtG"/>
      </w:pPr>
      <w:r>
        <w:t>2.</w:t>
      </w:r>
      <w:r>
        <w:tab/>
        <w:t>В отношении открытых вагонов/транспортных средств, перевозящих цистерны максимальной вместимостью 3 000 л, по-прежнему применяется пункт 5.3.2.1.5. Эти вагоны/транспортные средства должны иметь маркировку в виде табличек оранжевого цвета, если прикрепленные к цистерне таблички оранжевого цвета нечетко видны снаружи вагона/транспортного средства.</w:t>
      </w:r>
    </w:p>
    <w:p w14:paraId="08B06B97" w14:textId="77777777" w:rsidR="004E5075" w:rsidRPr="00DD7C2A" w:rsidRDefault="004E5075" w:rsidP="004E5075">
      <w:pPr>
        <w:pStyle w:val="SingleTxtG"/>
      </w:pPr>
      <w:r>
        <w:t>3.</w:t>
      </w:r>
      <w:r>
        <w:tab/>
        <w:t>Это приводит к различию в требованиях к размещению маркировки на закрытых или крытых брезентом вагонах/транспортных средствах и на открытых вагонах/транспортных средствах, – различию, которое, по нашему мнению, является неоправданным с точки зрения безопасности. С другой стороны, пункт 5.3.2.1.5 применяется не только к перевозке цистерн, но и к перевозке контейнеров для массовых грузов (включен в издание 2019 года). Поэтому данное примечание следует адаптировать таким образом, чтобы освобождение от размещения маркировки применялось ко всем типам вагонов/транспортных средств, перевозящих цистерны или контейнеры для массовых грузов малой вместимости.</w:t>
      </w:r>
    </w:p>
    <w:p w14:paraId="731C4529" w14:textId="77777777" w:rsidR="004E5075" w:rsidRPr="00DD7C2A" w:rsidRDefault="004E5075" w:rsidP="004E5075">
      <w:pPr>
        <w:pStyle w:val="HChG"/>
        <w:spacing w:before="240"/>
      </w:pPr>
      <w:r>
        <w:tab/>
      </w:r>
      <w:r>
        <w:tab/>
      </w:r>
      <w:r>
        <w:tab/>
        <w:t>Предложение</w:t>
      </w:r>
    </w:p>
    <w:p w14:paraId="1E9636C6" w14:textId="77777777" w:rsidR="004E5075" w:rsidRPr="00DD7C2A" w:rsidRDefault="004E5075" w:rsidP="004E5075">
      <w:pPr>
        <w:pStyle w:val="SingleTxtG"/>
      </w:pPr>
      <w:r>
        <w:t>4.</w:t>
      </w:r>
      <w:r>
        <w:tab/>
        <w:t>Изменить примечание к пункту 5.3.2.1.5 МПОГ/ДОПОГ/ВОПОГ следующим образом (новый текст выделен жирным шрифтом и подчеркнут, а исключенный текст выделен жирным шрифтом и зачеркнут):</w:t>
      </w:r>
    </w:p>
    <w:p w14:paraId="03C00D98" w14:textId="77777777" w:rsidR="004E5075" w:rsidRPr="00DD7C2A" w:rsidRDefault="004E5075" w:rsidP="004E5075">
      <w:pPr>
        <w:pStyle w:val="SingleTxtG"/>
      </w:pPr>
      <w:r>
        <w:t>«</w:t>
      </w:r>
      <w:r>
        <w:rPr>
          <w:b/>
          <w:bCs/>
        </w:rPr>
        <w:t>ПРИМЕЧАНИЕ:</w:t>
      </w:r>
      <w:r>
        <w:t xml:space="preserve"> Настоящий пункт необязательно применять к маркировке в виде табличек оранжевого цвета, прикрепляемых к вагонам/транспортным средствам</w:t>
      </w:r>
      <w:r>
        <w:rPr>
          <w:strike/>
        </w:rPr>
        <w:t xml:space="preserve"> </w:t>
      </w:r>
      <w:r>
        <w:rPr>
          <w:b/>
          <w:bCs/>
          <w:strike/>
        </w:rPr>
        <w:t>закрытым и крытым брезентом вагонам или транспортным средствам</w:t>
      </w:r>
      <w:r>
        <w:t xml:space="preserve">, перевозящим цистерны </w:t>
      </w:r>
      <w:r>
        <w:rPr>
          <w:b/>
          <w:bCs/>
          <w:u w:val="single"/>
        </w:rPr>
        <w:t>или контейнеры для массовых грузов</w:t>
      </w:r>
      <w:r>
        <w:t xml:space="preserve"> максимальной вместимостью 3 000 л.».</w:t>
      </w:r>
    </w:p>
    <w:p w14:paraId="79D63484" w14:textId="77777777" w:rsidR="004E5075" w:rsidRPr="00DD7C2A" w:rsidRDefault="004E5075" w:rsidP="004E5075">
      <w:pPr>
        <w:pStyle w:val="HChG"/>
        <w:spacing w:before="240"/>
      </w:pPr>
      <w:r>
        <w:tab/>
      </w:r>
      <w:r>
        <w:tab/>
      </w:r>
      <w:r>
        <w:tab/>
        <w:t>Обоснование</w:t>
      </w:r>
    </w:p>
    <w:p w14:paraId="29A9A3EA" w14:textId="77777777" w:rsidR="004E5075" w:rsidRDefault="004E5075" w:rsidP="004E5075">
      <w:pPr>
        <w:pStyle w:val="SingleTxtG"/>
      </w:pPr>
      <w:r>
        <w:t>5.</w:t>
      </w:r>
      <w:r>
        <w:tab/>
        <w:t>Как и в случае закрытых или крытых брезентом вагонов/транспортных средств, освобождение открытых вагонов/транспортных средств от размещения маркировки в виде табличек оранжевого цвета не создает проблем для безопасности. В обоих случаях перевозка аналогична перевозке опасных грузов в упаковках, и опасность может быть идентифицирована с помощью больших знаков опасности. Следует также отметить, что малые контейнеры-цистерны и малые контейнеры для массовых грузов имеют более прочную конструкцию, чем КСМ и крупногабаритная тара.</w:t>
      </w:r>
    </w:p>
    <w:p w14:paraId="6C021A80" w14:textId="77777777" w:rsidR="004E5075" w:rsidRPr="004E5075" w:rsidRDefault="004E5075" w:rsidP="004E50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5075" w:rsidRPr="004E5075" w:rsidSect="004E50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CF8A" w14:textId="77777777" w:rsidR="007D6E6A" w:rsidRPr="00A312BC" w:rsidRDefault="007D6E6A" w:rsidP="00A312BC"/>
  </w:endnote>
  <w:endnote w:type="continuationSeparator" w:id="0">
    <w:p w14:paraId="704F5094" w14:textId="77777777" w:rsidR="007D6E6A" w:rsidRPr="00A312BC" w:rsidRDefault="007D6E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971F" w14:textId="77777777" w:rsidR="004E5075" w:rsidRPr="004E5075" w:rsidRDefault="004E5075">
    <w:pPr>
      <w:pStyle w:val="Footer"/>
    </w:pPr>
    <w:r w:rsidRPr="004E5075">
      <w:rPr>
        <w:b/>
        <w:sz w:val="18"/>
      </w:rPr>
      <w:fldChar w:fldCharType="begin"/>
    </w:r>
    <w:r w:rsidRPr="004E5075">
      <w:rPr>
        <w:b/>
        <w:sz w:val="18"/>
      </w:rPr>
      <w:instrText xml:space="preserve"> PAGE  \* MERGEFORMAT </w:instrText>
    </w:r>
    <w:r w:rsidRPr="004E5075">
      <w:rPr>
        <w:b/>
        <w:sz w:val="18"/>
      </w:rPr>
      <w:fldChar w:fldCharType="separate"/>
    </w:r>
    <w:r w:rsidRPr="004E5075">
      <w:rPr>
        <w:b/>
        <w:noProof/>
        <w:sz w:val="18"/>
      </w:rPr>
      <w:t>2</w:t>
    </w:r>
    <w:r w:rsidRPr="004E5075">
      <w:rPr>
        <w:b/>
        <w:sz w:val="18"/>
      </w:rPr>
      <w:fldChar w:fldCharType="end"/>
    </w:r>
    <w:r>
      <w:rPr>
        <w:b/>
        <w:sz w:val="18"/>
      </w:rPr>
      <w:tab/>
    </w:r>
    <w:r>
      <w:t>GE.20-08384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8E36" w14:textId="77777777" w:rsidR="004E5075" w:rsidRPr="004E5075" w:rsidRDefault="004E5075" w:rsidP="004E5075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GE.20-08384</w:t>
    </w:r>
    <w:r>
      <w:tab/>
    </w:r>
    <w:r w:rsidRPr="004E5075">
      <w:rPr>
        <w:b/>
        <w:sz w:val="18"/>
      </w:rPr>
      <w:fldChar w:fldCharType="begin"/>
    </w:r>
    <w:r w:rsidRPr="004E5075">
      <w:rPr>
        <w:b/>
        <w:sz w:val="18"/>
      </w:rPr>
      <w:instrText xml:space="preserve"> PAGE  \* MERGEFORMAT </w:instrText>
    </w:r>
    <w:r w:rsidRPr="004E5075">
      <w:rPr>
        <w:b/>
        <w:sz w:val="18"/>
      </w:rPr>
      <w:fldChar w:fldCharType="separate"/>
    </w:r>
    <w:r w:rsidRPr="004E5075">
      <w:rPr>
        <w:b/>
        <w:noProof/>
        <w:sz w:val="18"/>
      </w:rPr>
      <w:t>3</w:t>
    </w:r>
    <w:r w:rsidRPr="004E50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3358" w14:textId="77777777" w:rsidR="00042B72" w:rsidRPr="004E5075" w:rsidRDefault="004E5075" w:rsidP="004E507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9AB1D0" wp14:editId="31A41B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20-08384  (R)</w:t>
    </w:r>
    <w:r w:rsidR="00E048AE">
      <w:rPr>
        <w:lang w:val="en-US"/>
      </w:rPr>
      <w:t xml:space="preserve">  290620  290620</w:t>
    </w:r>
    <w:r>
      <w:br/>
    </w:r>
    <w:r w:rsidRPr="004E5075">
      <w:rPr>
        <w:rFonts w:ascii="C39T30Lfz" w:hAnsi="C39T30Lfz"/>
        <w:kern w:val="14"/>
        <w:sz w:val="56"/>
      </w:rPr>
      <w:t></w:t>
    </w:r>
    <w:r w:rsidRPr="004E5075">
      <w:rPr>
        <w:rFonts w:ascii="C39T30Lfz" w:hAnsi="C39T30Lfz"/>
        <w:kern w:val="14"/>
        <w:sz w:val="56"/>
      </w:rPr>
      <w:t></w:t>
    </w:r>
    <w:r w:rsidRPr="004E5075">
      <w:rPr>
        <w:rFonts w:ascii="C39T30Lfz" w:hAnsi="C39T30Lfz"/>
        <w:kern w:val="14"/>
        <w:sz w:val="56"/>
      </w:rPr>
      <w:t></w:t>
    </w:r>
    <w:r w:rsidRPr="004E5075">
      <w:rPr>
        <w:rFonts w:ascii="C39T30Lfz" w:hAnsi="C39T30Lfz"/>
        <w:kern w:val="14"/>
        <w:sz w:val="56"/>
      </w:rPr>
      <w:t></w:t>
    </w:r>
    <w:r w:rsidRPr="004E5075">
      <w:rPr>
        <w:rFonts w:ascii="C39T30Lfz" w:hAnsi="C39T30Lfz"/>
        <w:kern w:val="14"/>
        <w:sz w:val="56"/>
      </w:rPr>
      <w:t></w:t>
    </w:r>
    <w:r w:rsidRPr="004E5075">
      <w:rPr>
        <w:rFonts w:ascii="C39T30Lfz" w:hAnsi="C39T30Lfz"/>
        <w:kern w:val="14"/>
        <w:sz w:val="56"/>
      </w:rPr>
      <w:t></w:t>
    </w:r>
    <w:r w:rsidRPr="004E5075">
      <w:rPr>
        <w:rFonts w:ascii="C39T30Lfz" w:hAnsi="C39T30Lfz"/>
        <w:kern w:val="14"/>
        <w:sz w:val="56"/>
      </w:rPr>
      <w:t></w:t>
    </w:r>
    <w:r w:rsidRPr="004E5075">
      <w:rPr>
        <w:rFonts w:ascii="C39T30Lfz" w:hAnsi="C39T30Lfz"/>
        <w:kern w:val="14"/>
        <w:sz w:val="56"/>
      </w:rPr>
      <w:t></w:t>
    </w:r>
    <w:r w:rsidRPr="004E507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275B88" wp14:editId="29EF3F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8382" w14:textId="77777777" w:rsidR="007D6E6A" w:rsidRPr="001075E9" w:rsidRDefault="007D6E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61C1DE" w14:textId="77777777" w:rsidR="007D6E6A" w:rsidRDefault="007D6E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62372E" w14:textId="77777777" w:rsidR="004E5075" w:rsidRPr="009B1773" w:rsidRDefault="004E5075" w:rsidP="004E5075">
      <w:pPr>
        <w:pStyle w:val="FootnoteText"/>
      </w:pPr>
      <w:r>
        <w:tab/>
      </w:r>
      <w:r w:rsidRPr="00E048AE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04EBCB16" w14:textId="77777777" w:rsidR="004E5075" w:rsidRPr="009B1773" w:rsidRDefault="004E5075" w:rsidP="004E5075">
      <w:pPr>
        <w:pStyle w:val="FootnoteText"/>
      </w:pPr>
      <w:r>
        <w:tab/>
      </w:r>
      <w:r w:rsidRPr="00E048A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7DEF" w14:textId="0F59E60B" w:rsidR="004E5075" w:rsidRPr="004E5075" w:rsidRDefault="007208E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36693">
      <w:t>ECE/TRANS/WP.15/AC.1/2020/64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D3FF" w14:textId="18A3CAF9" w:rsidR="004E5075" w:rsidRPr="004E5075" w:rsidRDefault="007208E2" w:rsidP="004E50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36693">
      <w:t>ECE/TRANS/WP.15/AC.1/2020/64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5075"/>
    <w:rsid w:val="0050108D"/>
    <w:rsid w:val="00513081"/>
    <w:rsid w:val="00517901"/>
    <w:rsid w:val="00526683"/>
    <w:rsid w:val="005411D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8E2"/>
    <w:rsid w:val="00734ACB"/>
    <w:rsid w:val="00757357"/>
    <w:rsid w:val="00792497"/>
    <w:rsid w:val="007D6E6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6693"/>
    <w:rsid w:val="00951972"/>
    <w:rsid w:val="009608F3"/>
    <w:rsid w:val="009A24AC"/>
    <w:rsid w:val="009C59D7"/>
    <w:rsid w:val="009C6B0A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8AE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42999"/>
  <w15:docId w15:val="{D32D66B8-B686-4A9E-9293-460B81C9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E507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4E5075"/>
    <w:rPr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075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="Times New Roman" w:cs="Times New Roman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075"/>
    <w:rPr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ECE/TRANS/WP.15/AC.1/2020/64</vt:lpstr>
      <vt:lpstr>ECE/TRANS/WP.15/AC.1/2020/64</vt:lpstr>
      <vt:lpstr>A/</vt:lpstr>
    </vt:vector>
  </TitlesOfParts>
  <Company>DCM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ECE/TRANS/WP.15/AC.1/2020/64</dc:title>
  <dc:subject/>
  <dc:creator>Marina KOROTKOVA</dc:creator>
  <cp:keywords/>
  <cp:lastModifiedBy>Christine Barrio-Champeau</cp:lastModifiedBy>
  <cp:revision>2</cp:revision>
  <cp:lastPrinted>2020-06-29T07:35:00Z</cp:lastPrinted>
  <dcterms:created xsi:type="dcterms:W3CDTF">2020-06-30T12:48:00Z</dcterms:created>
  <dcterms:modified xsi:type="dcterms:W3CDTF">2020-06-30T12:48:00Z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