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2562D6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C8B13A4" w14:textId="77777777" w:rsidR="002D5AAC" w:rsidRDefault="002D5AAC" w:rsidP="007D65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E7D72E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DAE49E9" w14:textId="77777777" w:rsidR="002D5AAC" w:rsidRDefault="007D6562" w:rsidP="007D6562">
            <w:pPr>
              <w:jc w:val="right"/>
            </w:pPr>
            <w:r w:rsidRPr="007D6562">
              <w:rPr>
                <w:sz w:val="40"/>
              </w:rPr>
              <w:t>ECE</w:t>
            </w:r>
            <w:r>
              <w:t>/TRANS/WP.15/AC.1/2020/61</w:t>
            </w:r>
          </w:p>
        </w:tc>
      </w:tr>
      <w:tr w:rsidR="002D5AAC" w:rsidRPr="007D6562" w14:paraId="50C5248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17FC3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9A962F7" wp14:editId="6246664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33AE5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7B2EEEF" w14:textId="77777777" w:rsidR="002D5AAC" w:rsidRDefault="007D656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684FF51" w14:textId="77777777" w:rsidR="007D6562" w:rsidRDefault="007D6562" w:rsidP="007D65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June 2020</w:t>
            </w:r>
          </w:p>
          <w:p w14:paraId="6743C4FA" w14:textId="77777777" w:rsidR="007D6562" w:rsidRDefault="007D6562" w:rsidP="007D65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DE8A315" w14:textId="77777777" w:rsidR="007D6562" w:rsidRPr="008D53B6" w:rsidRDefault="007D6562" w:rsidP="007D65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6186A2D" w14:textId="77777777" w:rsidR="007D656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1AE0D39" w14:textId="77777777" w:rsidR="007D6562" w:rsidRPr="00717617" w:rsidRDefault="007D6562" w:rsidP="007D6562">
      <w:pPr>
        <w:spacing w:before="120"/>
        <w:rPr>
          <w:sz w:val="28"/>
          <w:szCs w:val="28"/>
        </w:rPr>
      </w:pPr>
      <w:r w:rsidRPr="00717617">
        <w:rPr>
          <w:sz w:val="28"/>
          <w:szCs w:val="28"/>
        </w:rPr>
        <w:t>Комитет по внутреннему транспорту</w:t>
      </w:r>
    </w:p>
    <w:p w14:paraId="6D3E2B7B" w14:textId="77777777" w:rsidR="007D6562" w:rsidRPr="00717617" w:rsidRDefault="007D6562" w:rsidP="007D6562">
      <w:pPr>
        <w:spacing w:before="120" w:after="120"/>
        <w:rPr>
          <w:b/>
          <w:sz w:val="24"/>
          <w:szCs w:val="24"/>
        </w:rPr>
      </w:pPr>
      <w:r w:rsidRPr="00717617">
        <w:rPr>
          <w:b/>
          <w:bCs/>
          <w:sz w:val="24"/>
          <w:szCs w:val="24"/>
        </w:rPr>
        <w:t>Рабочая группа по перевозкам опасных грузов</w:t>
      </w:r>
    </w:p>
    <w:p w14:paraId="0516FD7B" w14:textId="77777777" w:rsidR="007D6562" w:rsidRPr="00717617" w:rsidRDefault="007D6562" w:rsidP="007D6562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5E070B75" w14:textId="77777777" w:rsidR="007D6562" w:rsidRPr="00717617" w:rsidRDefault="007D6562" w:rsidP="007D6562">
      <w:r>
        <w:t>Берн, 10–11 сентября, и Женева, 14–18 сентября 2020 года</w:t>
      </w:r>
    </w:p>
    <w:p w14:paraId="4F4F750C" w14:textId="77777777" w:rsidR="007D6562" w:rsidRPr="00717617" w:rsidRDefault="007D6562" w:rsidP="007D6562">
      <w:pPr>
        <w:snapToGrid w:val="0"/>
      </w:pPr>
      <w:r>
        <w:t>Пункт 6 предварительной повестки дня</w:t>
      </w:r>
    </w:p>
    <w:p w14:paraId="364A3CA1" w14:textId="77777777" w:rsidR="00E12C5F" w:rsidRDefault="007D6562" w:rsidP="007D6562">
      <w:r>
        <w:rPr>
          <w:b/>
          <w:bCs/>
        </w:rPr>
        <w:t>Доклады неофициальных рабочих групп</w:t>
      </w:r>
    </w:p>
    <w:p w14:paraId="5904BC36" w14:textId="77777777" w:rsidR="007D6562" w:rsidRPr="00717617" w:rsidRDefault="007D6562" w:rsidP="007D6562">
      <w:pPr>
        <w:pStyle w:val="HChG"/>
      </w:pPr>
      <w:r>
        <w:tab/>
      </w:r>
      <w:r>
        <w:tab/>
        <w:t>Информация о п</w:t>
      </w:r>
      <w:r>
        <w:rPr>
          <w:bCs/>
        </w:rPr>
        <w:t>еревозимом количестве, указываемая в</w:t>
      </w:r>
      <w:r>
        <w:rPr>
          <w:bCs/>
          <w:lang w:val="en-US"/>
        </w:rPr>
        <w:t> </w:t>
      </w:r>
      <w:r>
        <w:rPr>
          <w:bCs/>
        </w:rPr>
        <w:t>транспортном документе</w:t>
      </w:r>
    </w:p>
    <w:p w14:paraId="25B547A6" w14:textId="77777777" w:rsidR="007D6562" w:rsidRDefault="007D6562" w:rsidP="007D6562">
      <w:pPr>
        <w:pStyle w:val="H1G"/>
      </w:pPr>
      <w:r>
        <w:tab/>
      </w:r>
      <w:r>
        <w:tab/>
        <w:t>Передано Европейской федерацией по управлению отходами и</w:t>
      </w:r>
      <w:r>
        <w:rPr>
          <w:lang w:val="en-US"/>
        </w:rPr>
        <w:t> </w:t>
      </w:r>
      <w:r>
        <w:t>природоохранным технологиям (ФЕАД) от имени неофициальной рабочей группы по перевозке опасных отходов</w:t>
      </w:r>
      <w:r w:rsidRPr="007D656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7D6562">
        <w:rPr>
          <w:b w:val="0"/>
          <w:sz w:val="20"/>
        </w:rPr>
        <w:t xml:space="preserve"> </w:t>
      </w:r>
      <w:r w:rsidRPr="007D6562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7D6562" w:rsidRPr="007D6562" w14:paraId="78346FDD" w14:textId="77777777" w:rsidTr="007D6562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368A7197" w14:textId="77777777" w:rsidR="007D6562" w:rsidRPr="007D6562" w:rsidRDefault="007D656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D6562">
              <w:rPr>
                <w:rFonts w:cs="Times New Roman"/>
              </w:rPr>
              <w:tab/>
            </w:r>
            <w:r w:rsidRPr="007D656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D6562" w:rsidRPr="007D6562" w14:paraId="50215199" w14:textId="77777777" w:rsidTr="007D656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EB47277" w14:textId="77777777" w:rsidR="007D6562" w:rsidRDefault="007D6562" w:rsidP="007D6562">
            <w:pPr>
              <w:pStyle w:val="SingleTxtG"/>
              <w:ind w:left="3402" w:hanging="2268"/>
            </w:pPr>
            <w:r w:rsidRPr="007D6562">
              <w:rPr>
                <w:b/>
                <w:bCs/>
              </w:rPr>
              <w:t>Существо предложения:</w:t>
            </w:r>
            <w:r w:rsidRPr="007D6562">
              <w:tab/>
              <w:t xml:space="preserve"> Приводится резюме по теме, касающейся требований в отношении «перевозимого количества, указываемого в транспортном документе», с учетом практической осуществимости соответствующих положений, принимая во внимание решения, существующие в настоящее время на национальном уровне (в Германии и Австрии).</w:t>
            </w:r>
          </w:p>
          <w:p w14:paraId="3B97F867" w14:textId="77777777" w:rsidR="007D6562" w:rsidRPr="007D6562" w:rsidRDefault="007D6562" w:rsidP="007D6562">
            <w:pPr>
              <w:pStyle w:val="SingleTxtG"/>
              <w:ind w:left="3402" w:hanging="2268"/>
            </w:pPr>
            <w:r w:rsidRPr="007D6562">
              <w:rPr>
                <w:b/>
                <w:bCs/>
              </w:rPr>
              <w:t>Предлагаемое решение:</w:t>
            </w:r>
            <w:r w:rsidRPr="007D6562">
              <w:tab/>
              <w:t>Предлагаются поправки к пункту 5.4.1.1.1 f) МПОГ/ДОПОГ.</w:t>
            </w:r>
          </w:p>
        </w:tc>
      </w:tr>
      <w:tr w:rsidR="007D6562" w:rsidRPr="007D6562" w14:paraId="3799308C" w14:textId="77777777" w:rsidTr="007D6562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29442DAE" w14:textId="77777777" w:rsidR="007D6562" w:rsidRPr="007D6562" w:rsidRDefault="007D6562" w:rsidP="00850215">
            <w:pPr>
              <w:rPr>
                <w:rFonts w:cs="Times New Roman"/>
              </w:rPr>
            </w:pPr>
          </w:p>
        </w:tc>
      </w:tr>
    </w:tbl>
    <w:p w14:paraId="0AE83784" w14:textId="77777777" w:rsidR="007D6562" w:rsidRPr="00717617" w:rsidRDefault="007D6562" w:rsidP="007D6562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09A66F77" w14:textId="77777777" w:rsidR="007D6562" w:rsidRPr="00717617" w:rsidRDefault="007D6562" w:rsidP="007D6562">
      <w:pPr>
        <w:pStyle w:val="SingleTxtG"/>
        <w:rPr>
          <w:rFonts w:eastAsiaTheme="minorEastAsia"/>
        </w:rPr>
      </w:pPr>
      <w:r>
        <w:t>1.</w:t>
      </w:r>
      <w:r>
        <w:tab/>
        <w:t>Настоящее предложение является результатом работы неофициальной рабочей группы по перевозке (опасных) отходов Совместного совещания. Следует отметить, что неофициальная рабочая группа провела два различных совещания: первое – в</w:t>
      </w:r>
      <w:r w:rsidR="00B72E33">
        <w:rPr>
          <w:lang w:val="en-US"/>
        </w:rPr>
        <w:t> </w:t>
      </w:r>
      <w:r>
        <w:t>апреле 2019 года в Брюсселе (см. ECE/TRANS/WP.15/AC.1/2019/34), а второе – в</w:t>
      </w:r>
      <w:r w:rsidR="00B72E33">
        <w:rPr>
          <w:lang w:val="en-US"/>
        </w:rPr>
        <w:t> </w:t>
      </w:r>
      <w:r>
        <w:t xml:space="preserve">марте 2020 года в Утрехте (см. ECE/TRANS/WP.15/AC.1/2020/59). Изменения, </w:t>
      </w:r>
      <w:r>
        <w:lastRenderedPageBreak/>
        <w:t>предлагаемые в настоящем документе, являются результатом второго совещания и были согласованы участниками этого совещания.</w:t>
      </w:r>
    </w:p>
    <w:p w14:paraId="510ED7A9" w14:textId="77777777" w:rsidR="007D6562" w:rsidRPr="00717617" w:rsidRDefault="007D6562" w:rsidP="007D6562">
      <w:pPr>
        <w:pStyle w:val="SingleTxtG"/>
        <w:rPr>
          <w:rFonts w:eastAsiaTheme="minorEastAsia"/>
        </w:rPr>
      </w:pPr>
      <w:r>
        <w:t>2.</w:t>
      </w:r>
      <w:r>
        <w:tab/>
        <w:t xml:space="preserve">В настоящем документе рассматриваются проблемы, вытекающие из положения о «перевозимом количестве, указываемом в транспортном документе», изложенного в пункте 5.4.1.1.1 f) МПОГ/ДОПОГ. В частности, речь идет о включении в транспортный документ информации о весе и вопросах, вытекающих из этого конкретного положения. </w:t>
      </w:r>
    </w:p>
    <w:p w14:paraId="41744769" w14:textId="77777777" w:rsidR="007D6562" w:rsidRPr="00717617" w:rsidRDefault="007D6562" w:rsidP="007D6562">
      <w:pPr>
        <w:pStyle w:val="HChG"/>
        <w:spacing w:before="240"/>
      </w:pPr>
      <w:r>
        <w:tab/>
      </w:r>
      <w:r>
        <w:tab/>
      </w:r>
      <w:r>
        <w:rPr>
          <w:bCs/>
        </w:rPr>
        <w:t>Справочная информация</w:t>
      </w:r>
    </w:p>
    <w:p w14:paraId="24E458E5" w14:textId="77777777" w:rsidR="007D6562" w:rsidRPr="00717617" w:rsidRDefault="007D6562" w:rsidP="007D6562">
      <w:pPr>
        <w:pStyle w:val="SingleTxtG"/>
      </w:pPr>
      <w:r>
        <w:t>3.</w:t>
      </w:r>
      <w:r>
        <w:tab/>
        <w:t>По практическим причинам в некоторых случаях невозможно указать точный вес отходов в транспортном документе. Должен быть предусмотрен определенный допуск путем указания оценочного количества отходов, как это допускается в накладной на конкретные отходы, предусмотренной природоохранным законодательством. Точный вес всегда измеряется и записывается в регистр отходов на предприятии по переработке. Только во время транспортировки не всегда можно узнать точный вес отходов, так как погрузчик не всегда предоставляет эту информацию. Желательно, чтобы в рамках МПОГ/ДОПОГ было найдено решение для упакованных отходов, а также для перевозки отходов навалом/насыпью.</w:t>
      </w:r>
    </w:p>
    <w:p w14:paraId="6733032F" w14:textId="77777777" w:rsidR="007D6562" w:rsidRPr="00717617" w:rsidRDefault="007D6562" w:rsidP="007D6562">
      <w:pPr>
        <w:pStyle w:val="SingleTxtG"/>
      </w:pPr>
      <w:r>
        <w:t>4.</w:t>
      </w:r>
      <w:r>
        <w:tab/>
        <w:t>Уместно также отметить, что действующие положения об оценке веса существуют в рамках национальных положений в некоторых странах, а именно в Германии (исключение 18, Германия) и Австрии (многостороннее соглашение RID</w:t>
      </w:r>
      <w:r w:rsidR="00B72E33">
        <w:rPr>
          <w:lang w:val="en-US"/>
        </w:rPr>
        <w:t> </w:t>
      </w:r>
      <w:r w:rsidRPr="00B3276C">
        <w:t>1/2015/</w:t>
      </w:r>
      <w:r>
        <w:t>M</w:t>
      </w:r>
      <w:r w:rsidRPr="00B3276C">
        <w:t>287</w:t>
      </w:r>
      <w:r>
        <w:t>, пункт 6.1).</w:t>
      </w:r>
    </w:p>
    <w:p w14:paraId="2B0E128B" w14:textId="77777777" w:rsidR="007D6562" w:rsidRPr="00717617" w:rsidRDefault="007D6562" w:rsidP="007D6562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55EA2A9F" w14:textId="77777777" w:rsidR="007D6562" w:rsidRPr="00717617" w:rsidRDefault="007D6562" w:rsidP="007D6562">
      <w:pPr>
        <w:pStyle w:val="SingleTxtG"/>
      </w:pPr>
      <w:r>
        <w:t>5.</w:t>
      </w:r>
      <w:r>
        <w:tab/>
        <w:t>Внести в пункт 5.4.1.1.1 МПОГ/ДОПОГ следующие поправки:</w:t>
      </w:r>
    </w:p>
    <w:p w14:paraId="13720495" w14:textId="77777777" w:rsidR="007D6562" w:rsidRPr="00717617" w:rsidRDefault="007D6562" w:rsidP="007D6562">
      <w:pPr>
        <w:pStyle w:val="SingleTxtG"/>
      </w:pPr>
      <w:r>
        <w:tab/>
      </w:r>
      <w:r>
        <w:tab/>
        <w:t>После подпункта f</w:t>
      </w:r>
      <w:r w:rsidRPr="00B3276C">
        <w:t>)</w:t>
      </w:r>
      <w:r>
        <w:t xml:space="preserve"> включить дополнительное примечание:</w:t>
      </w:r>
    </w:p>
    <w:p w14:paraId="18269469" w14:textId="77777777" w:rsidR="007D6562" w:rsidRPr="00717617" w:rsidRDefault="007D6562" w:rsidP="007D6562">
      <w:pPr>
        <w:pStyle w:val="SingleTxtG"/>
        <w:ind w:left="1701"/>
      </w:pPr>
      <w:r>
        <w:t>«</w:t>
      </w:r>
      <w:r>
        <w:rPr>
          <w:b/>
          <w:bCs/>
          <w:i/>
          <w:iCs/>
        </w:rPr>
        <w:t>ПРИМЕЧАНИЕ 3:</w:t>
      </w:r>
      <w:r>
        <w:rPr>
          <w:i/>
          <w:iCs/>
        </w:rPr>
        <w:t xml:space="preserve"> В тех случаях, когда опасные грузы имеют статус отходов и нет возможности взвесить отходы в месте погрузки, вес оценивается в зависимости от номинального объема каждого контейнера, цистерны или тары.</w:t>
      </w:r>
      <w:r>
        <w:t xml:space="preserve"> </w:t>
      </w:r>
      <w:r>
        <w:rPr>
          <w:i/>
          <w:iCs/>
        </w:rPr>
        <w:t>В последнем случае добавляется перечень тары с указанием типа и номинального объема</w:t>
      </w:r>
      <w:r>
        <w:t>.».</w:t>
      </w:r>
    </w:p>
    <w:p w14:paraId="1B18302D" w14:textId="77777777" w:rsidR="007D6562" w:rsidRPr="00717617" w:rsidRDefault="007D6562" w:rsidP="007D6562">
      <w:pPr>
        <w:pStyle w:val="SingleTxtG"/>
      </w:pPr>
      <w:r>
        <w:t>6.</w:t>
      </w:r>
      <w:r>
        <w:tab/>
        <w:t>Следует применять, в частности, следующие ограничения:</w:t>
      </w:r>
    </w:p>
    <w:p w14:paraId="09FCF263" w14:textId="77777777" w:rsidR="007D6562" w:rsidRPr="00717617" w:rsidRDefault="007D6562" w:rsidP="007D6562">
      <w:pPr>
        <w:pStyle w:val="SingleTxtG"/>
        <w:ind w:left="1701"/>
      </w:pPr>
      <w:r>
        <w:tab/>
        <w:t>a)</w:t>
      </w:r>
      <w:r>
        <w:tab/>
        <w:t>Оценка веса (на основе номинального объема) приемлема для отходов, подпадающих под классификацию МПОГ/ДОПОГ, и в тех случаях, когда МПОГ/ДОПОГ применяется полностью, кроме случаев, когда применяется изъятие (подраздел 1.1.3.6);</w:t>
      </w:r>
    </w:p>
    <w:p w14:paraId="47EB70BE" w14:textId="77777777" w:rsidR="007D6562" w:rsidRPr="00717617" w:rsidRDefault="007D6562" w:rsidP="007D6562">
      <w:pPr>
        <w:pStyle w:val="SingleTxtG"/>
        <w:ind w:left="1701"/>
        <w:rPr>
          <w:color w:val="201F1E"/>
        </w:rPr>
      </w:pPr>
      <w:r>
        <w:tab/>
        <w:t>b)</w:t>
      </w:r>
      <w:r>
        <w:tab/>
        <w:t>данное примечание не может использоваться в случае опасных грузов, имеющих статус отходов, которые содержат:</w:t>
      </w:r>
    </w:p>
    <w:p w14:paraId="2E510C61" w14:textId="77777777" w:rsidR="007D6562" w:rsidRPr="00F06A74" w:rsidRDefault="007D6562" w:rsidP="007D6562">
      <w:pPr>
        <w:pStyle w:val="Bullet1G"/>
        <w:numPr>
          <w:ilvl w:val="0"/>
          <w:numId w:val="22"/>
        </w:numPr>
      </w:pPr>
      <w:r>
        <w:t>вещества, упомянутые в пункте 2.1.3.5.3;</w:t>
      </w:r>
    </w:p>
    <w:p w14:paraId="7654B988" w14:textId="77777777" w:rsidR="007D6562" w:rsidRPr="00F06A74" w:rsidRDefault="007D6562" w:rsidP="007D6562">
      <w:pPr>
        <w:pStyle w:val="Bullet1G"/>
        <w:numPr>
          <w:ilvl w:val="0"/>
          <w:numId w:val="22"/>
        </w:numPr>
      </w:pPr>
      <w:r>
        <w:t>вещества класса 4.3;</w:t>
      </w:r>
    </w:p>
    <w:p w14:paraId="2B5E7D82" w14:textId="77777777" w:rsidR="007D6562" w:rsidRPr="00717617" w:rsidRDefault="007D6562" w:rsidP="007D6562">
      <w:pPr>
        <w:pStyle w:val="Bullet1G"/>
        <w:numPr>
          <w:ilvl w:val="0"/>
          <w:numId w:val="22"/>
        </w:numPr>
      </w:pPr>
      <w:r>
        <w:t>вещества, относящиеся к случаю, упомянутому в пункте 2.1.3.7; или</w:t>
      </w:r>
    </w:p>
    <w:p w14:paraId="6301BBAB" w14:textId="77777777" w:rsidR="007D6562" w:rsidRPr="00717617" w:rsidRDefault="007D6562" w:rsidP="007D6562">
      <w:pPr>
        <w:pStyle w:val="Bullet1G"/>
        <w:numPr>
          <w:ilvl w:val="0"/>
          <w:numId w:val="22"/>
        </w:numPr>
      </w:pPr>
      <w:r>
        <w:t>вещества, которые не допускаются к перевозке в соответствии с подразделом 2.2.х.2;</w:t>
      </w:r>
    </w:p>
    <w:p w14:paraId="548967FC" w14:textId="77777777" w:rsidR="007D6562" w:rsidRPr="00717617" w:rsidRDefault="007D6562" w:rsidP="007D6562">
      <w:pPr>
        <w:pStyle w:val="SingleTxtG"/>
        <w:ind w:left="1701"/>
      </w:pPr>
      <w:r>
        <w:tab/>
        <w:t>с)</w:t>
      </w:r>
      <w:r>
        <w:tab/>
        <w:t>для цистерн должна иметься достаточная информация о степени наполнения;</w:t>
      </w:r>
    </w:p>
    <w:p w14:paraId="366718B9" w14:textId="77777777" w:rsidR="007D6562" w:rsidRPr="00717617" w:rsidRDefault="007D6562" w:rsidP="007D6562">
      <w:pPr>
        <w:pStyle w:val="SingleTxtG"/>
        <w:ind w:left="1701"/>
      </w:pPr>
      <w:r>
        <w:tab/>
        <w:t>d)</w:t>
      </w:r>
      <w:r>
        <w:tab/>
        <w:t>для вакуумных цистерн оценка оправдана.</w:t>
      </w:r>
    </w:p>
    <w:p w14:paraId="2C2C3372" w14:textId="77777777" w:rsidR="007D6562" w:rsidRPr="00717617" w:rsidRDefault="007D6562" w:rsidP="007D6562">
      <w:pPr>
        <w:pStyle w:val="HChG"/>
      </w:pPr>
      <w:r>
        <w:lastRenderedPageBreak/>
        <w:tab/>
      </w:r>
      <w:r>
        <w:tab/>
      </w:r>
      <w:r>
        <w:rPr>
          <w:bCs/>
        </w:rPr>
        <w:t>Обоснование</w:t>
      </w:r>
    </w:p>
    <w:p w14:paraId="36BE65C5" w14:textId="77777777" w:rsidR="007D6562" w:rsidRDefault="007D6562" w:rsidP="007D6562">
      <w:pPr>
        <w:pStyle w:val="SingleTxtG"/>
      </w:pPr>
      <w:r>
        <w:t>7.</w:t>
      </w:r>
      <w:r>
        <w:tab/>
        <w:t>Данное предложение проясняет ситуацию, существующую в сфере управления отходами, и не оказывает существенного влияния на текущий уровень риска.</w:t>
      </w:r>
    </w:p>
    <w:p w14:paraId="415309BD" w14:textId="77777777" w:rsidR="007D6562" w:rsidRPr="007D6562" w:rsidRDefault="007D6562" w:rsidP="007D6562">
      <w:pPr>
        <w:pStyle w:val="SingleTxtG"/>
        <w:spacing w:before="240" w:after="0"/>
        <w:ind w:left="1701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D6562" w:rsidRPr="007D6562" w:rsidSect="007D656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D929F" w14:textId="77777777" w:rsidR="005C07A9" w:rsidRPr="00A312BC" w:rsidRDefault="005C07A9" w:rsidP="00A312BC"/>
  </w:endnote>
  <w:endnote w:type="continuationSeparator" w:id="0">
    <w:p w14:paraId="3B6C0B8E" w14:textId="77777777" w:rsidR="005C07A9" w:rsidRPr="00A312BC" w:rsidRDefault="005C07A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98091" w14:textId="77777777" w:rsidR="007D6562" w:rsidRPr="007D6562" w:rsidRDefault="007D6562">
    <w:pPr>
      <w:pStyle w:val="Footer"/>
    </w:pPr>
    <w:r w:rsidRPr="007D6562">
      <w:rPr>
        <w:b/>
        <w:sz w:val="18"/>
      </w:rPr>
      <w:fldChar w:fldCharType="begin"/>
    </w:r>
    <w:r w:rsidRPr="007D6562">
      <w:rPr>
        <w:b/>
        <w:sz w:val="18"/>
      </w:rPr>
      <w:instrText xml:space="preserve"> PAGE  \* MERGEFORMAT </w:instrText>
    </w:r>
    <w:r w:rsidRPr="007D6562">
      <w:rPr>
        <w:b/>
        <w:sz w:val="18"/>
      </w:rPr>
      <w:fldChar w:fldCharType="separate"/>
    </w:r>
    <w:r w:rsidRPr="007D6562">
      <w:rPr>
        <w:b/>
        <w:noProof/>
        <w:sz w:val="18"/>
      </w:rPr>
      <w:t>2</w:t>
    </w:r>
    <w:r w:rsidRPr="007D6562">
      <w:rPr>
        <w:b/>
        <w:sz w:val="18"/>
      </w:rPr>
      <w:fldChar w:fldCharType="end"/>
    </w:r>
    <w:r>
      <w:rPr>
        <w:b/>
        <w:sz w:val="18"/>
      </w:rPr>
      <w:tab/>
    </w:r>
    <w:r>
      <w:t>GE.20-08250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23D08" w14:textId="77777777" w:rsidR="007D6562" w:rsidRPr="007D6562" w:rsidRDefault="007D6562" w:rsidP="007D6562">
    <w:pPr>
      <w:pStyle w:val="Footer"/>
      <w:tabs>
        <w:tab w:val="clear" w:pos="9639"/>
        <w:tab w:val="right" w:pos="9638"/>
      </w:tabs>
      <w:rPr>
        <w:b/>
        <w:sz w:val="18"/>
      </w:rPr>
    </w:pPr>
    <w:r>
      <w:t>GE.20-08250</w:t>
    </w:r>
    <w:r>
      <w:tab/>
    </w:r>
    <w:r w:rsidRPr="007D6562">
      <w:rPr>
        <w:b/>
        <w:sz w:val="18"/>
      </w:rPr>
      <w:fldChar w:fldCharType="begin"/>
    </w:r>
    <w:r w:rsidRPr="007D6562">
      <w:rPr>
        <w:b/>
        <w:sz w:val="18"/>
      </w:rPr>
      <w:instrText xml:space="preserve"> PAGE  \* MERGEFORMAT </w:instrText>
    </w:r>
    <w:r w:rsidRPr="007D6562">
      <w:rPr>
        <w:b/>
        <w:sz w:val="18"/>
      </w:rPr>
      <w:fldChar w:fldCharType="separate"/>
    </w:r>
    <w:r w:rsidRPr="007D6562">
      <w:rPr>
        <w:b/>
        <w:noProof/>
        <w:sz w:val="18"/>
      </w:rPr>
      <w:t>3</w:t>
    </w:r>
    <w:r w:rsidRPr="007D65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DB559" w14:textId="77777777" w:rsidR="00042B72" w:rsidRPr="007D6562" w:rsidRDefault="007D6562" w:rsidP="007D656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44632E8" wp14:editId="241BD1B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20-08250  (R)</w:t>
    </w:r>
    <w:r w:rsidR="00B72E33">
      <w:t xml:space="preserve">  240620  240620</w:t>
    </w:r>
    <w:r>
      <w:br/>
    </w:r>
    <w:r w:rsidRPr="007D6562">
      <w:rPr>
        <w:rFonts w:ascii="C39T30Lfz" w:hAnsi="C39T30Lfz"/>
        <w:kern w:val="14"/>
        <w:sz w:val="56"/>
      </w:rPr>
      <w:t></w:t>
    </w:r>
    <w:r w:rsidRPr="007D6562">
      <w:rPr>
        <w:rFonts w:ascii="C39T30Lfz" w:hAnsi="C39T30Lfz"/>
        <w:kern w:val="14"/>
        <w:sz w:val="56"/>
      </w:rPr>
      <w:t></w:t>
    </w:r>
    <w:r w:rsidRPr="007D6562">
      <w:rPr>
        <w:rFonts w:ascii="C39T30Lfz" w:hAnsi="C39T30Lfz"/>
        <w:kern w:val="14"/>
        <w:sz w:val="56"/>
      </w:rPr>
      <w:t></w:t>
    </w:r>
    <w:r w:rsidRPr="007D6562">
      <w:rPr>
        <w:rFonts w:ascii="C39T30Lfz" w:hAnsi="C39T30Lfz"/>
        <w:kern w:val="14"/>
        <w:sz w:val="56"/>
      </w:rPr>
      <w:t></w:t>
    </w:r>
    <w:r w:rsidRPr="007D6562">
      <w:rPr>
        <w:rFonts w:ascii="C39T30Lfz" w:hAnsi="C39T30Lfz"/>
        <w:kern w:val="14"/>
        <w:sz w:val="56"/>
      </w:rPr>
      <w:t></w:t>
    </w:r>
    <w:r w:rsidRPr="007D6562">
      <w:rPr>
        <w:rFonts w:ascii="C39T30Lfz" w:hAnsi="C39T30Lfz"/>
        <w:kern w:val="14"/>
        <w:sz w:val="56"/>
      </w:rPr>
      <w:t></w:t>
    </w:r>
    <w:r w:rsidRPr="007D6562">
      <w:rPr>
        <w:rFonts w:ascii="C39T30Lfz" w:hAnsi="C39T30Lfz"/>
        <w:kern w:val="14"/>
        <w:sz w:val="56"/>
      </w:rPr>
      <w:t></w:t>
    </w:r>
    <w:r w:rsidRPr="007D6562">
      <w:rPr>
        <w:rFonts w:ascii="C39T30Lfz" w:hAnsi="C39T30Lfz"/>
        <w:kern w:val="14"/>
        <w:sz w:val="56"/>
      </w:rPr>
      <w:t></w:t>
    </w:r>
    <w:r w:rsidRPr="007D6562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6A98379" wp14:editId="6025A10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CB6B3" w14:textId="77777777" w:rsidR="005C07A9" w:rsidRPr="001075E9" w:rsidRDefault="005C07A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FD6F11" w14:textId="77777777" w:rsidR="005C07A9" w:rsidRDefault="005C07A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E9F9549" w14:textId="77777777" w:rsidR="007D6562" w:rsidRPr="00B87D7C" w:rsidRDefault="007D6562" w:rsidP="007D6562">
      <w:pPr>
        <w:pStyle w:val="FootnoteText"/>
        <w:rPr>
          <w:sz w:val="20"/>
        </w:rPr>
      </w:pPr>
      <w:r>
        <w:tab/>
      </w:r>
      <w:r w:rsidRPr="007D6562">
        <w:rPr>
          <w:sz w:val="20"/>
        </w:rPr>
        <w:t>*</w:t>
      </w:r>
      <w:r>
        <w:tab/>
      </w:r>
      <w:r>
        <w:tab/>
        <w:t>2020 год (A/74/6 (раздел 20) и дополнительная информация, подпрограмма 2).</w:t>
      </w:r>
    </w:p>
  </w:footnote>
  <w:footnote w:id="2">
    <w:p w14:paraId="6B2EE224" w14:textId="77777777" w:rsidR="007D6562" w:rsidRPr="00B87D7C" w:rsidRDefault="007D6562" w:rsidP="007D6562">
      <w:pPr>
        <w:pStyle w:val="FootnoteText"/>
        <w:rPr>
          <w:sz w:val="20"/>
        </w:rPr>
      </w:pPr>
      <w:r>
        <w:tab/>
      </w:r>
      <w:r w:rsidRPr="007D6562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OTIF/RID/RC/2020/61.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D1E4B" w14:textId="68E49D14" w:rsidR="007D6562" w:rsidRPr="007D6562" w:rsidRDefault="009602B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46622">
      <w:t>ECE/TRANS/WP.15/AC.1/2020/61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E41A3" w14:textId="136ACC37" w:rsidR="007D6562" w:rsidRPr="007D6562" w:rsidRDefault="009602B5" w:rsidP="007D656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46622">
      <w:t>ECE/TRANS/WP.15/AC.1/2020/61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2438"/>
        </w:tabs>
        <w:ind w:left="243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  <w:lvlOverride w:ilvl="0">
      <w:lvl w:ilvl="0" w:tplc="8C4849AC">
        <w:start w:val="1"/>
        <w:numFmt w:val="bullet"/>
        <w:lvlText w:val="•"/>
        <w:lvlJc w:val="left"/>
        <w:pPr>
          <w:tabs>
            <w:tab w:val="num" w:pos="2438"/>
          </w:tabs>
          <w:ind w:left="2438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A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07A9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656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2B5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2E33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6622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48AAFD"/>
  <w15:docId w15:val="{3A4D611C-D206-4927-A978-59F059BF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7D6562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7D656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ECE/TRANS/WP.15/AC.1/2020/61</vt:lpstr>
      <vt:lpstr>ECE/TRANS/WP.15/AC.1/2020/61</vt:lpstr>
      <vt:lpstr>A/</vt:lpstr>
    </vt:vector>
  </TitlesOfParts>
  <Company>DCM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ECE/TRANS/WP.15/AC.1/2020/61</dc:title>
  <dc:subject/>
  <dc:creator>Marina KOROTKOVA</dc:creator>
  <cp:keywords/>
  <cp:lastModifiedBy>Christine Barrio-Champeau</cp:lastModifiedBy>
  <cp:revision>2</cp:revision>
  <cp:lastPrinted>2020-06-24T12:30:00Z</cp:lastPrinted>
  <dcterms:created xsi:type="dcterms:W3CDTF">2020-07-08T07:19:00Z</dcterms:created>
  <dcterms:modified xsi:type="dcterms:W3CDTF">2020-07-08T07:19:00Z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