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11D1474D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5E922EDA" w14:textId="77777777" w:rsidR="002D5AAC" w:rsidRDefault="002D5AAC" w:rsidP="00CD03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291C375D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3A84C047" w14:textId="77777777" w:rsidR="002D5AAC" w:rsidRDefault="00CD03BC" w:rsidP="00CD03BC">
            <w:pPr>
              <w:jc w:val="right"/>
            </w:pPr>
            <w:r w:rsidRPr="00CD03BC">
              <w:rPr>
                <w:sz w:val="40"/>
              </w:rPr>
              <w:t>ECE</w:t>
            </w:r>
            <w:r>
              <w:t>/TRANS/WP.15/AC.1/2020/54</w:t>
            </w:r>
          </w:p>
        </w:tc>
      </w:tr>
      <w:tr w:rsidR="002D5AAC" w:rsidRPr="00CD03BC" w14:paraId="78055CC6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4A910D8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2ACF6B7A" wp14:editId="725AE582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4F7E6F8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356469EC" w14:textId="77777777" w:rsidR="002D5AAC" w:rsidRDefault="00CD03BC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6840548E" w14:textId="77777777" w:rsidR="00CD03BC" w:rsidRDefault="00CD03BC" w:rsidP="00CD03B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25 June 2020</w:t>
            </w:r>
          </w:p>
          <w:p w14:paraId="06F8B2EA" w14:textId="77777777" w:rsidR="00CD03BC" w:rsidRDefault="00CD03BC" w:rsidP="00CD03B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0DF480FF" w14:textId="77777777" w:rsidR="00CD03BC" w:rsidRPr="008D53B6" w:rsidRDefault="00CD03BC" w:rsidP="00CD03B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French</w:t>
            </w:r>
          </w:p>
        </w:tc>
      </w:tr>
    </w:tbl>
    <w:p w14:paraId="00C5033B" w14:textId="77777777" w:rsidR="00CD03BC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2119A61C" w14:textId="77777777" w:rsidR="00CD03BC" w:rsidRPr="00780B1A" w:rsidRDefault="00CD03BC" w:rsidP="00CD03BC">
      <w:pPr>
        <w:spacing w:before="120"/>
        <w:rPr>
          <w:sz w:val="28"/>
          <w:szCs w:val="28"/>
        </w:rPr>
      </w:pPr>
      <w:r w:rsidRPr="00780B1A">
        <w:rPr>
          <w:sz w:val="28"/>
          <w:szCs w:val="28"/>
        </w:rPr>
        <w:t>Комитет по внутреннему транспорту</w:t>
      </w:r>
    </w:p>
    <w:p w14:paraId="70063213" w14:textId="77777777" w:rsidR="00CD03BC" w:rsidRPr="00780B1A" w:rsidRDefault="00CD03BC" w:rsidP="00CD03BC">
      <w:pPr>
        <w:spacing w:before="120" w:line="240" w:lineRule="auto"/>
        <w:rPr>
          <w:b/>
          <w:sz w:val="24"/>
          <w:szCs w:val="24"/>
        </w:rPr>
      </w:pPr>
      <w:r w:rsidRPr="00780B1A">
        <w:rPr>
          <w:b/>
          <w:bCs/>
          <w:sz w:val="24"/>
          <w:szCs w:val="24"/>
        </w:rPr>
        <w:t>Рабочая группа по перевозкам опасных грузов</w:t>
      </w:r>
    </w:p>
    <w:p w14:paraId="38BBE732" w14:textId="77777777" w:rsidR="00CD03BC" w:rsidRPr="00780B1A" w:rsidRDefault="00CD03BC" w:rsidP="00CD03BC">
      <w:pPr>
        <w:spacing w:before="120" w:line="240" w:lineRule="auto"/>
        <w:rPr>
          <w:b/>
          <w:bCs/>
          <w:szCs w:val="24"/>
        </w:rPr>
      </w:pPr>
      <w:r>
        <w:rPr>
          <w:b/>
          <w:bCs/>
        </w:rPr>
        <w:t xml:space="preserve">Совместное совещание Комиссии экспертов МПОГ </w:t>
      </w:r>
      <w:r>
        <w:rPr>
          <w:b/>
          <w:bCs/>
        </w:rPr>
        <w:br/>
        <w:t>и Рабочей группы по перевозкам опасных грузов</w:t>
      </w:r>
    </w:p>
    <w:p w14:paraId="1BA134C5" w14:textId="77777777" w:rsidR="00CD03BC" w:rsidRPr="00780B1A" w:rsidRDefault="00CD03BC" w:rsidP="00CD03BC">
      <w:pPr>
        <w:spacing w:line="240" w:lineRule="auto"/>
        <w:rPr>
          <w:szCs w:val="24"/>
        </w:rPr>
      </w:pPr>
      <w:r>
        <w:t>Берн, 10–11 сентября, и Женева, 14–18 сентября 2020 года</w:t>
      </w:r>
    </w:p>
    <w:p w14:paraId="1272279C" w14:textId="77777777" w:rsidR="00CD03BC" w:rsidRPr="00780B1A" w:rsidRDefault="00CD03BC" w:rsidP="00CD03BC">
      <w:pPr>
        <w:spacing w:line="240" w:lineRule="auto"/>
        <w:rPr>
          <w:szCs w:val="24"/>
        </w:rPr>
      </w:pPr>
      <w:r>
        <w:t>Пункт 4 предварительной повестки дня</w:t>
      </w:r>
    </w:p>
    <w:p w14:paraId="40664E6F" w14:textId="77777777" w:rsidR="00CD03BC" w:rsidRPr="00780B1A" w:rsidRDefault="00CD03BC" w:rsidP="00CD03BC">
      <w:pPr>
        <w:spacing w:line="240" w:lineRule="auto"/>
        <w:rPr>
          <w:b/>
          <w:bCs/>
          <w:szCs w:val="24"/>
        </w:rPr>
      </w:pPr>
      <w:r>
        <w:rPr>
          <w:b/>
          <w:bCs/>
        </w:rPr>
        <w:t>Толкование МПОГ/ДОПОГ/ВОПОГ</w:t>
      </w:r>
    </w:p>
    <w:p w14:paraId="2FDBCC18" w14:textId="77777777" w:rsidR="00CD03BC" w:rsidRPr="00780B1A" w:rsidRDefault="00CD03BC" w:rsidP="00CD03BC">
      <w:pPr>
        <w:pStyle w:val="HChG"/>
      </w:pPr>
      <w:r>
        <w:tab/>
      </w:r>
      <w:r>
        <w:tab/>
      </w:r>
      <w:r>
        <w:rPr>
          <w:bCs/>
        </w:rPr>
        <w:t>Размещение больших знаков опасности на съемных кузовах-контейнерах</w:t>
      </w:r>
    </w:p>
    <w:p w14:paraId="1E319168" w14:textId="77777777" w:rsidR="00CD03BC" w:rsidRDefault="00CD03BC" w:rsidP="00CD03BC">
      <w:pPr>
        <w:pStyle w:val="H1G"/>
      </w:pPr>
      <w:r>
        <w:tab/>
      </w:r>
      <w:r>
        <w:tab/>
        <w:t>Передано правительством Франции</w:t>
      </w:r>
      <w:r w:rsidRPr="00CD03BC">
        <w:rPr>
          <w:rStyle w:val="FootnoteReference"/>
          <w:b w:val="0"/>
          <w:bCs/>
          <w:sz w:val="20"/>
          <w:vertAlign w:val="baseline"/>
        </w:rPr>
        <w:footnoteReference w:customMarkFollows="1" w:id="1"/>
        <w:t>*</w:t>
      </w:r>
      <w:r>
        <w:rPr>
          <w:lang w:val="en-US"/>
        </w:rPr>
        <w:t xml:space="preserve"> </w:t>
      </w:r>
      <w:r w:rsidRPr="00CD03BC">
        <w:rPr>
          <w:rStyle w:val="FootnoteReference"/>
          <w:b w:val="0"/>
          <w:bCs/>
          <w:sz w:val="20"/>
          <w:vertAlign w:val="baseline"/>
        </w:rPr>
        <w:footnoteReference w:customMarkFollows="1" w:id="2"/>
        <w:t>**</w:t>
      </w:r>
    </w:p>
    <w:tbl>
      <w:tblPr>
        <w:tblStyle w:val="TableGrid"/>
        <w:tblW w:w="0" w:type="auto"/>
        <w:jc w:val="center"/>
        <w:tblLook w:val="05E0" w:firstRow="1" w:lastRow="1" w:firstColumn="1" w:lastColumn="1" w:noHBand="0" w:noVBand="1"/>
      </w:tblPr>
      <w:tblGrid>
        <w:gridCol w:w="9628"/>
      </w:tblGrid>
      <w:tr w:rsidR="00CD03BC" w:rsidRPr="00CD03BC" w14:paraId="2721C600" w14:textId="77777777" w:rsidTr="00850215">
        <w:trPr>
          <w:jc w:val="center"/>
        </w:trPr>
        <w:tc>
          <w:tcPr>
            <w:tcW w:w="9637" w:type="dxa"/>
            <w:tcBorders>
              <w:bottom w:val="nil"/>
            </w:tcBorders>
          </w:tcPr>
          <w:p w14:paraId="6EA410B4" w14:textId="77777777" w:rsidR="00CD03BC" w:rsidRPr="00CD03BC" w:rsidRDefault="00CD03BC" w:rsidP="0085021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CD03BC">
              <w:rPr>
                <w:rFonts w:cs="Times New Roman"/>
              </w:rPr>
              <w:tab/>
            </w:r>
            <w:r w:rsidRPr="00CD03BC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CD03BC" w:rsidRPr="00CD03BC" w14:paraId="34681256" w14:textId="7777777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14:paraId="55B5A42C" w14:textId="77777777" w:rsidR="00CD03BC" w:rsidRPr="00CD03BC" w:rsidRDefault="00CD03BC" w:rsidP="00CD03BC">
            <w:pPr>
              <w:pStyle w:val="SingleTxtG"/>
              <w:tabs>
                <w:tab w:val="left" w:pos="3870"/>
              </w:tabs>
              <w:ind w:left="3726" w:hanging="2592"/>
            </w:pPr>
            <w:r>
              <w:rPr>
                <w:b/>
                <w:bCs/>
              </w:rPr>
              <w:t>Существо предложения:</w:t>
            </w:r>
            <w:r>
              <w:tab/>
              <w:t>Прояснить статус съемных кузовов-контейнеров в связи с определением контейнеров, а также вопрос о размещении на них больших знаков опасности, особенно в контексте автомобильной перевозки отходов навалом/насыпью.</w:t>
            </w:r>
          </w:p>
        </w:tc>
      </w:tr>
      <w:tr w:rsidR="00CD03BC" w:rsidRPr="00CD03BC" w14:paraId="2F29FA49" w14:textId="77777777" w:rsidTr="00850215">
        <w:trPr>
          <w:jc w:val="center"/>
        </w:trPr>
        <w:tc>
          <w:tcPr>
            <w:tcW w:w="9637" w:type="dxa"/>
            <w:tcBorders>
              <w:top w:val="nil"/>
            </w:tcBorders>
          </w:tcPr>
          <w:p w14:paraId="17944BBB" w14:textId="77777777" w:rsidR="00CD03BC" w:rsidRPr="00CD03BC" w:rsidRDefault="00CD03BC" w:rsidP="00850215">
            <w:pPr>
              <w:rPr>
                <w:rFonts w:cs="Times New Roman"/>
              </w:rPr>
            </w:pPr>
          </w:p>
        </w:tc>
      </w:tr>
    </w:tbl>
    <w:p w14:paraId="78738295" w14:textId="77777777" w:rsidR="00CD03BC" w:rsidRPr="00780B1A" w:rsidRDefault="00CD03BC" w:rsidP="00CD03BC">
      <w:pPr>
        <w:pStyle w:val="HChG"/>
        <w:ind w:left="0" w:right="850" w:firstLine="0"/>
      </w:pPr>
      <w:r>
        <w:tab/>
      </w:r>
      <w:r>
        <w:tab/>
      </w:r>
      <w:r>
        <w:rPr>
          <w:bCs/>
        </w:rPr>
        <w:t>Введение</w:t>
      </w:r>
    </w:p>
    <w:p w14:paraId="02657396" w14:textId="77777777" w:rsidR="00CD03BC" w:rsidRPr="00780B1A" w:rsidRDefault="00CD03BC" w:rsidP="00CD03BC">
      <w:pPr>
        <w:pStyle w:val="SingleTxtG"/>
      </w:pPr>
      <w:r>
        <w:t>1.</w:t>
      </w:r>
      <w:r>
        <w:tab/>
        <w:t>МПОГ/ДОПОГ разрешает перевозку определенных отходов навалом/насыпью (если это допуска</w:t>
      </w:r>
      <w:r w:rsidR="008828E8">
        <w:t>е</w:t>
      </w:r>
      <w:r>
        <w:t xml:space="preserve">т их </w:t>
      </w:r>
      <w:r w:rsidRPr="008828E8">
        <w:rPr>
          <w:color w:val="000000" w:themeColor="text1"/>
        </w:rPr>
        <w:t>классификаци</w:t>
      </w:r>
      <w:r w:rsidR="008828E8">
        <w:rPr>
          <w:color w:val="000000" w:themeColor="text1"/>
        </w:rPr>
        <w:t>я</w:t>
      </w:r>
      <w:r w:rsidRPr="008828E8">
        <w:rPr>
          <w:color w:val="000000" w:themeColor="text1"/>
        </w:rPr>
        <w:t>)</w:t>
      </w:r>
      <w:r>
        <w:t xml:space="preserve"> в соответствии с разделом 7.3.3 с учетом специальных положений типа BK или VC, которые указаны в колонке 17 таблицы А.</w:t>
      </w:r>
    </w:p>
    <w:p w14:paraId="090FF2E0" w14:textId="77777777" w:rsidR="00CD03BC" w:rsidRPr="00780B1A" w:rsidRDefault="00CD03BC" w:rsidP="00CD03BC">
      <w:pPr>
        <w:pStyle w:val="SingleTxtG"/>
      </w:pPr>
      <w:r>
        <w:t>2.</w:t>
      </w:r>
      <w:r>
        <w:tab/>
        <w:t>В большинстве случаев перевозчики отходов используют грузовые автомобили-самосвалы (транспортные средства для перевозки массовых грузов). Однако в некоторых случаях для облегчения операций некоторые транспортные средства оборудуются съемными кузовами-контейнерами.</w:t>
      </w:r>
    </w:p>
    <w:p w14:paraId="43E52364" w14:textId="77777777" w:rsidR="00CD03BC" w:rsidRPr="00780B1A" w:rsidRDefault="00CD03BC" w:rsidP="00CD03BC">
      <w:pPr>
        <w:pStyle w:val="SingleTxtG"/>
      </w:pPr>
      <w:r>
        <w:t>3.</w:t>
      </w:r>
      <w:r>
        <w:tab/>
        <w:t>Эти съемные кузова-контейнеры не соответствуют определению контейнеров и никогда не используются в качестве таковых. Они просто облегчают погрузку в пунктах сбора отходов.</w:t>
      </w:r>
      <w:bookmarkStart w:id="0" w:name="_GoBack1"/>
      <w:bookmarkEnd w:id="0"/>
    </w:p>
    <w:p w14:paraId="488B7DA6" w14:textId="77777777" w:rsidR="00CD03BC" w:rsidRPr="00780B1A" w:rsidRDefault="00CD03BC" w:rsidP="00CD03BC">
      <w:pPr>
        <w:pStyle w:val="SingleTxtG"/>
      </w:pPr>
      <w:r>
        <w:lastRenderedPageBreak/>
        <w:t>4.</w:t>
      </w:r>
      <w:r>
        <w:tab/>
        <w:t>Термин «контейнер для массовых грузов» зарезервирован только для контейнеров, которые отвечают требованиям главы 6.11 и поэтому утверждаются компетентным органом и используются при осуществлении мультимодальных перевозок. В силу этого съемные «кузова-контейнеры для отходов» не являются контейнерами для массовых грузов по смыслу МПОГ/ДОПОГ. Вводит в заблуждение то, что в определении контейнера для массовых грузов, содержащемся в главе 1.2, говорится, что контейнерами для массовых грузов могут быть, например, «контейнеры, морские контейнеры для массовых грузов, открытые корзины, бункеры для перевозки грузов навалом/насыпью, съемные кузова, корытообразные контейнеры, контейнеры на катковой опоре, грузовые отделения транспортных средств».</w:t>
      </w:r>
    </w:p>
    <w:p w14:paraId="2A601B0E" w14:textId="77777777" w:rsidR="00CD03BC" w:rsidRPr="00780B1A" w:rsidRDefault="00CD03BC" w:rsidP="00CD03BC">
      <w:pPr>
        <w:pStyle w:val="SingleTxtG"/>
      </w:pPr>
      <w:r>
        <w:t>5.</w:t>
      </w:r>
      <w:r>
        <w:tab/>
        <w:t>В связи с использованием слова «кузов» в определении «контейнера для массовых грузов» возник вопрос о том, следует ли размещать на таких кузовах-контейнерах большие знаки опасности в соответствии с требованиями для контейнеров, как указано в подразделе 5.3.1.2, или, скорее, в соответствии с требованиями для транспортных средств, как указано в пункте 5.3.1.4.1, даже несмотря на то, что кузов-контейнер является съемным.</w:t>
      </w:r>
    </w:p>
    <w:p w14:paraId="43FAA215" w14:textId="77777777" w:rsidR="00CD03BC" w:rsidRPr="00780B1A" w:rsidRDefault="00CD03BC" w:rsidP="00CD03BC">
      <w:pPr>
        <w:pStyle w:val="SingleTxtG"/>
      </w:pPr>
      <w:r>
        <w:t>6.</w:t>
      </w:r>
      <w:r>
        <w:tab/>
        <w:t>Размещение больших знаков опасности в соответствии с подразделом 5.3.1.2 приведет к их размещению на четырех сторонах кузова, включая переднюю сторону, находящуюся сразу за кабиной транспортного средства, хотя и понятно, что большой знак на этой стенке никогда не будет виден при использовании кузова-контейнера.</w:t>
      </w:r>
    </w:p>
    <w:p w14:paraId="0128C9BD" w14:textId="77777777" w:rsidR="00CD03BC" w:rsidRPr="00780B1A" w:rsidRDefault="00CD03BC" w:rsidP="00CD03BC">
      <w:pPr>
        <w:pStyle w:val="SingleTxtG"/>
      </w:pPr>
      <w:r>
        <w:t>Однако эти кузова-контейнеры, хотя и съемные, никогда не используются для перевалки с одного вида транспорта на другой и всегда располагаются на автотранспортном средстве в одном и том же направлении.</w:t>
      </w:r>
    </w:p>
    <w:p w14:paraId="14CFFD6D" w14:textId="77777777" w:rsidR="00CD03BC" w:rsidRPr="00780B1A" w:rsidRDefault="00CD03BC" w:rsidP="00CD03BC">
      <w:pPr>
        <w:pStyle w:val="SingleTxtG"/>
      </w:pPr>
      <w:r>
        <w:t>7.</w:t>
      </w:r>
      <w:r>
        <w:tab/>
        <w:t>В качестве примера ниже приведены фотографии, иллюстрирующие такие съемные кузова-контейнеры:</w:t>
      </w:r>
    </w:p>
    <w:p w14:paraId="0A3A070F" w14:textId="77777777" w:rsidR="00CD03BC" w:rsidRDefault="00CD03BC" w:rsidP="00CD03BC">
      <w:pPr>
        <w:pStyle w:val="SingleTxtG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5BBAA45" wp14:editId="40E75071">
            <wp:extent cx="5567941" cy="2092411"/>
            <wp:effectExtent l="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941" cy="209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7BDD" w14:textId="77777777" w:rsidR="00CD03BC" w:rsidRDefault="00CD03BC" w:rsidP="00CD03BC">
      <w:pPr>
        <w:pStyle w:val="SingleTxtG"/>
        <w:rPr>
          <w:noProof/>
          <w:lang w:val="fr-FR" w:eastAsia="fr-FR"/>
        </w:rPr>
      </w:pPr>
      <w:bookmarkStart w:id="1" w:name="_GoBack"/>
      <w:bookmarkEnd w:id="1"/>
      <w:r>
        <w:rPr>
          <w:noProof/>
          <w:lang w:val="fr-FR" w:eastAsia="fr-FR"/>
        </w:rPr>
        <w:lastRenderedPageBreak/>
        <w:drawing>
          <wp:inline distT="0" distB="0" distL="0" distR="0" wp14:anchorId="4F94D0A7" wp14:editId="4DFACC0F">
            <wp:extent cx="5095875" cy="37242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B254" w14:textId="77777777" w:rsidR="00CD03BC" w:rsidRDefault="00CD03BC" w:rsidP="00CD03BC">
      <w:pPr>
        <w:pStyle w:val="SingleTxtG"/>
      </w:pPr>
      <w:r>
        <w:rPr>
          <w:noProof/>
          <w:lang w:val="fr-FR" w:eastAsia="fr-FR"/>
        </w:rPr>
        <w:drawing>
          <wp:inline distT="0" distB="0" distL="0" distR="0" wp14:anchorId="20A6BB9B" wp14:editId="3777FFDA">
            <wp:extent cx="4316627" cy="2493626"/>
            <wp:effectExtent l="0" t="0" r="0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47" cy="24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0512" w14:textId="77777777" w:rsidR="00CD03BC" w:rsidRDefault="00CD03BC" w:rsidP="00CD03BC">
      <w:pPr>
        <w:pStyle w:val="SingleTxtG"/>
      </w:pPr>
      <w:r>
        <w:rPr>
          <w:noProof/>
          <w:lang w:val="fr-FR" w:eastAsia="fr-FR"/>
        </w:rPr>
        <w:drawing>
          <wp:inline distT="0" distB="0" distL="0" distR="0" wp14:anchorId="119F202C" wp14:editId="20A1E086">
            <wp:extent cx="4291913" cy="2425608"/>
            <wp:effectExtent l="0" t="0" r="0" b="0"/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45" cy="24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8B75" w14:textId="77777777" w:rsidR="00CD03BC" w:rsidRPr="00780B1A" w:rsidRDefault="00CD03BC" w:rsidP="00CD03BC">
      <w:pPr>
        <w:pStyle w:val="HChG"/>
      </w:pPr>
      <w:r>
        <w:lastRenderedPageBreak/>
        <w:tab/>
      </w:r>
      <w:r>
        <w:tab/>
      </w:r>
      <w:r>
        <w:rPr>
          <w:bCs/>
        </w:rPr>
        <w:t>Вопросы</w:t>
      </w:r>
    </w:p>
    <w:p w14:paraId="0D64F487" w14:textId="77777777" w:rsidR="00CD03BC" w:rsidRPr="00780B1A" w:rsidRDefault="00CD03BC" w:rsidP="00CD03BC">
      <w:pPr>
        <w:pStyle w:val="SingleTxtG"/>
      </w:pPr>
      <w:r>
        <w:t>8.</w:t>
      </w:r>
      <w:r>
        <w:tab/>
        <w:t>Вопрос 1:</w:t>
      </w:r>
    </w:p>
    <w:p w14:paraId="75059D88" w14:textId="77777777" w:rsidR="00CD03BC" w:rsidRPr="00780B1A" w:rsidRDefault="00CD03BC" w:rsidP="00CD03BC">
      <w:pPr>
        <w:pStyle w:val="SingleTxtG"/>
      </w:pPr>
      <w:r>
        <w:t>Должны ли на кузовах-контейнерах, описанных во введении,</w:t>
      </w:r>
      <w:r w:rsidRPr="00BB4BB0">
        <w:t xml:space="preserve"> </w:t>
      </w:r>
      <w:r>
        <w:t>размещаться большие знаки опасности в соответствии с подразделом 5.3.1.2 или в соответствии с пунктом</w:t>
      </w:r>
      <w:r w:rsidR="008828E8">
        <w:rPr>
          <w:lang w:val="en-US"/>
        </w:rPr>
        <w:t> </w:t>
      </w:r>
      <w:r>
        <w:t>5.3.1.4.1?</w:t>
      </w:r>
    </w:p>
    <w:p w14:paraId="737956F9" w14:textId="77777777" w:rsidR="00CD03BC" w:rsidRPr="00780B1A" w:rsidRDefault="00CD03BC" w:rsidP="00CD03BC">
      <w:pPr>
        <w:pStyle w:val="SingleTxtG"/>
      </w:pPr>
      <w:r>
        <w:t>9.</w:t>
      </w:r>
      <w:r>
        <w:tab/>
        <w:t>Вопрос 2:</w:t>
      </w:r>
    </w:p>
    <w:p w14:paraId="110A964E" w14:textId="77777777" w:rsidR="00CD03BC" w:rsidRPr="00780B1A" w:rsidRDefault="00CD03BC" w:rsidP="00CD03BC">
      <w:pPr>
        <w:pStyle w:val="SingleTxtG"/>
      </w:pPr>
      <w:r>
        <w:t>Есть ли необходимость в поправках для уточнения правил по данному вопросу?</w:t>
      </w:r>
    </w:p>
    <w:p w14:paraId="5E34EDF3" w14:textId="77777777" w:rsidR="00CD03BC" w:rsidRDefault="00CD03BC" w:rsidP="00CD03BC">
      <w:pPr>
        <w:pStyle w:val="SingleTxtG"/>
      </w:pPr>
      <w:r>
        <w:t>Если да, то Франция могла бы внести предложение на следующей сессии.</w:t>
      </w:r>
    </w:p>
    <w:p w14:paraId="2F996549" w14:textId="77777777" w:rsidR="00E12C5F" w:rsidRPr="008D53B6" w:rsidRDefault="00CD03BC" w:rsidP="00CD03BC">
      <w:pPr>
        <w:pStyle w:val="SingleTxtG"/>
        <w:spacing w:before="240" w:after="0"/>
        <w:jc w:val="center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12C5F" w:rsidRPr="008D53B6" w:rsidSect="00CD03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55DACD" w14:textId="77777777" w:rsidR="00424716" w:rsidRPr="00A312BC" w:rsidRDefault="00424716" w:rsidP="00A312BC"/>
  </w:endnote>
  <w:endnote w:type="continuationSeparator" w:id="0">
    <w:p w14:paraId="579220AE" w14:textId="77777777" w:rsidR="00424716" w:rsidRPr="00A312BC" w:rsidRDefault="00424716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369F4" w14:textId="77777777" w:rsidR="00CD03BC" w:rsidRPr="00CD03BC" w:rsidRDefault="00CD03BC">
    <w:pPr>
      <w:pStyle w:val="Footer"/>
    </w:pPr>
    <w:r w:rsidRPr="00CD03BC">
      <w:rPr>
        <w:b/>
        <w:sz w:val="18"/>
      </w:rPr>
      <w:fldChar w:fldCharType="begin"/>
    </w:r>
    <w:r w:rsidRPr="00CD03BC">
      <w:rPr>
        <w:b/>
        <w:sz w:val="18"/>
      </w:rPr>
      <w:instrText xml:space="preserve"> PAGE  \* MERGEFORMAT </w:instrText>
    </w:r>
    <w:r w:rsidRPr="00CD03BC">
      <w:rPr>
        <w:b/>
        <w:sz w:val="18"/>
      </w:rPr>
      <w:fldChar w:fldCharType="separate"/>
    </w:r>
    <w:r w:rsidRPr="00CD03BC">
      <w:rPr>
        <w:b/>
        <w:noProof/>
        <w:sz w:val="18"/>
      </w:rPr>
      <w:t>2</w:t>
    </w:r>
    <w:r w:rsidRPr="00CD03BC">
      <w:rPr>
        <w:b/>
        <w:sz w:val="18"/>
      </w:rPr>
      <w:fldChar w:fldCharType="end"/>
    </w:r>
    <w:r>
      <w:rPr>
        <w:b/>
        <w:sz w:val="18"/>
      </w:rPr>
      <w:tab/>
    </w:r>
    <w:r>
      <w:t>GE.20-08382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1EBCD" w14:textId="77777777" w:rsidR="00CD03BC" w:rsidRPr="00CD03BC" w:rsidRDefault="00CD03BC" w:rsidP="00CD03BC">
    <w:pPr>
      <w:pStyle w:val="Footer"/>
      <w:tabs>
        <w:tab w:val="clear" w:pos="9639"/>
        <w:tab w:val="right" w:pos="9638"/>
      </w:tabs>
      <w:rPr>
        <w:b/>
        <w:sz w:val="18"/>
      </w:rPr>
    </w:pPr>
    <w:r>
      <w:t>GE.20-08382</w:t>
    </w:r>
    <w:r>
      <w:tab/>
    </w:r>
    <w:r w:rsidRPr="00CD03BC">
      <w:rPr>
        <w:b/>
        <w:sz w:val="18"/>
      </w:rPr>
      <w:fldChar w:fldCharType="begin"/>
    </w:r>
    <w:r w:rsidRPr="00CD03BC">
      <w:rPr>
        <w:b/>
        <w:sz w:val="18"/>
      </w:rPr>
      <w:instrText xml:space="preserve"> PAGE  \* MERGEFORMAT </w:instrText>
    </w:r>
    <w:r w:rsidRPr="00CD03BC">
      <w:rPr>
        <w:b/>
        <w:sz w:val="18"/>
      </w:rPr>
      <w:fldChar w:fldCharType="separate"/>
    </w:r>
    <w:r w:rsidRPr="00CD03BC">
      <w:rPr>
        <w:b/>
        <w:noProof/>
        <w:sz w:val="18"/>
      </w:rPr>
      <w:t>3</w:t>
    </w:r>
    <w:r w:rsidRPr="00CD03B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DB890" w14:textId="77777777" w:rsidR="00042B72" w:rsidRPr="00CD03BC" w:rsidRDefault="00CD03BC" w:rsidP="00CD03BC">
    <w:pPr>
      <w:spacing w:before="120" w:line="240" w:lineRule="auto"/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4E66C66F" wp14:editId="57D77F24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20-08382  (R)</w:t>
    </w:r>
    <w:r>
      <w:rPr>
        <w:lang w:val="en-US"/>
      </w:rPr>
      <w:t xml:space="preserve">  300620  300620</w:t>
    </w:r>
    <w:r>
      <w:br/>
    </w:r>
    <w:r w:rsidRPr="00CD03BC">
      <w:rPr>
        <w:rFonts w:ascii="C39T30Lfz" w:hAnsi="C39T30Lfz"/>
        <w:kern w:val="14"/>
        <w:sz w:val="56"/>
      </w:rPr>
      <w:t></w:t>
    </w:r>
    <w:r w:rsidRPr="00CD03BC">
      <w:rPr>
        <w:rFonts w:ascii="C39T30Lfz" w:hAnsi="C39T30Lfz"/>
        <w:kern w:val="14"/>
        <w:sz w:val="56"/>
      </w:rPr>
      <w:t></w:t>
    </w:r>
    <w:r w:rsidRPr="00CD03BC">
      <w:rPr>
        <w:rFonts w:ascii="C39T30Lfz" w:hAnsi="C39T30Lfz"/>
        <w:kern w:val="14"/>
        <w:sz w:val="56"/>
      </w:rPr>
      <w:t></w:t>
    </w:r>
    <w:r w:rsidRPr="00CD03BC">
      <w:rPr>
        <w:rFonts w:ascii="C39T30Lfz" w:hAnsi="C39T30Lfz"/>
        <w:kern w:val="14"/>
        <w:sz w:val="56"/>
      </w:rPr>
      <w:t></w:t>
    </w:r>
    <w:r w:rsidRPr="00CD03BC">
      <w:rPr>
        <w:rFonts w:ascii="C39T30Lfz" w:hAnsi="C39T30Lfz"/>
        <w:kern w:val="14"/>
        <w:sz w:val="56"/>
      </w:rPr>
      <w:t></w:t>
    </w:r>
    <w:r w:rsidRPr="00CD03BC">
      <w:rPr>
        <w:rFonts w:ascii="C39T30Lfz" w:hAnsi="C39T30Lfz"/>
        <w:kern w:val="14"/>
        <w:sz w:val="56"/>
      </w:rPr>
      <w:t></w:t>
    </w:r>
    <w:r w:rsidRPr="00CD03BC">
      <w:rPr>
        <w:rFonts w:ascii="C39T30Lfz" w:hAnsi="C39T30Lfz"/>
        <w:kern w:val="14"/>
        <w:sz w:val="56"/>
      </w:rPr>
      <w:t></w:t>
    </w:r>
    <w:r w:rsidRPr="00CD03BC">
      <w:rPr>
        <w:rFonts w:ascii="C39T30Lfz" w:hAnsi="C39T30Lfz"/>
        <w:kern w:val="14"/>
        <w:sz w:val="56"/>
      </w:rPr>
      <w:t></w:t>
    </w:r>
    <w:r w:rsidRPr="00CD03BC">
      <w:rPr>
        <w:rFonts w:ascii="C39T30Lfz" w:hAnsi="C39T30Lfz"/>
        <w:kern w:val="14"/>
        <w:sz w:val="56"/>
      </w:rPr>
      <w:t>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09B41D80" wp14:editId="5DDC735E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F326B" w14:textId="77777777" w:rsidR="00424716" w:rsidRPr="001075E9" w:rsidRDefault="00424716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2074761" w14:textId="77777777" w:rsidR="00424716" w:rsidRDefault="00424716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6D42BC01" w14:textId="77777777" w:rsidR="00CD03BC" w:rsidRPr="00780B1A" w:rsidRDefault="00CD03BC" w:rsidP="00CD03BC">
      <w:pPr>
        <w:pStyle w:val="FootnoteText"/>
        <w:rPr>
          <w:rFonts w:eastAsiaTheme="minorHAnsi"/>
        </w:rPr>
      </w:pPr>
      <w:r>
        <w:tab/>
      </w:r>
      <w:r w:rsidRPr="00CD03BC">
        <w:rPr>
          <w:sz w:val="20"/>
        </w:rPr>
        <w:t>*</w:t>
      </w:r>
      <w:r>
        <w:tab/>
        <w:t>2020 год (A/74/6 (раздел 20) и дополнительная информация, подпрограмма 2).</w:t>
      </w:r>
    </w:p>
  </w:footnote>
  <w:footnote w:id="2">
    <w:p w14:paraId="343370EB" w14:textId="77777777" w:rsidR="00CD03BC" w:rsidRPr="00780B1A" w:rsidRDefault="00CD03BC" w:rsidP="00CD03BC">
      <w:pPr>
        <w:pStyle w:val="FootnoteText"/>
        <w:rPr>
          <w:sz w:val="20"/>
        </w:rPr>
      </w:pPr>
      <w:r>
        <w:tab/>
      </w:r>
      <w:r w:rsidRPr="00CD03BC">
        <w:rPr>
          <w:sz w:val="20"/>
        </w:rPr>
        <w:t>**</w:t>
      </w:r>
      <w:r>
        <w:tab/>
        <w:t>Распространено Межправительственной организацией по международным железнодорожным перевозкам (ОТИФ) под условным обозначением OTIF/RID/RC/2020/54.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8800A" w14:textId="65F752BA" w:rsidR="00CD03BC" w:rsidRPr="00CD03BC" w:rsidRDefault="00F24A04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283E77">
      <w:t>ECE/TRANS/WP.15/AC.1/2020/54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042E1" w14:textId="5978E06B" w:rsidR="00CD03BC" w:rsidRPr="00CD03BC" w:rsidRDefault="00F24A04" w:rsidP="00CD03BC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283E77">
      <w:t>ECE/TRANS/WP.15/AC.1/2020/54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5EAAE" w14:textId="77777777" w:rsidR="00CD03BC" w:rsidRDefault="00CD03BC" w:rsidP="00CD03BC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716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83E77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B3A85"/>
    <w:rsid w:val="003E0B46"/>
    <w:rsid w:val="00407B78"/>
    <w:rsid w:val="00424203"/>
    <w:rsid w:val="00424716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7D269F"/>
    <w:rsid w:val="00806737"/>
    <w:rsid w:val="00825F8D"/>
    <w:rsid w:val="00834B71"/>
    <w:rsid w:val="0086445C"/>
    <w:rsid w:val="008828E8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D03BC"/>
    <w:rsid w:val="00CE5A1A"/>
    <w:rsid w:val="00CF55F6"/>
    <w:rsid w:val="00D33D63"/>
    <w:rsid w:val="00D5253A"/>
    <w:rsid w:val="00D873A8"/>
    <w:rsid w:val="00D90028"/>
    <w:rsid w:val="00D90138"/>
    <w:rsid w:val="00D9145B"/>
    <w:rsid w:val="00DA5854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4A04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92A8920"/>
  <w15:docId w15:val="{5AB18C3A-3F95-477F-A821-FA57A546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,Footnote Reference/,4_GR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rsid w:val="00CD03BC"/>
    <w:rPr>
      <w:lang w:val="ru-RU" w:eastAsia="en-US"/>
    </w:rPr>
  </w:style>
  <w:style w:type="character" w:customStyle="1" w:styleId="HChGChar">
    <w:name w:val="_ H _Ch_G Char"/>
    <w:link w:val="HChG"/>
    <w:qFormat/>
    <w:rsid w:val="00CD03BC"/>
    <w:rPr>
      <w:b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467</Words>
  <Characters>3198</Characters>
  <Application>Microsoft Office Word</Application>
  <DocSecurity>0</DocSecurity>
  <Lines>82</Lines>
  <Paragraphs>48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ECE/TRANS/WP.15/AC.1/2020/54</vt:lpstr>
      <vt:lpstr>ECE/TRANS/WP.15/AC.1/2020/54</vt:lpstr>
      <vt:lpstr>A/</vt:lpstr>
    </vt:vector>
  </TitlesOfParts>
  <Company>DCM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ECE/TRANS/WP.15/AC.1/2020/54</dc:title>
  <dc:subject/>
  <dc:creator>Olga OVTCHINNIKOVA</dc:creator>
  <cp:keywords/>
  <cp:lastModifiedBy>Christine Barrio-Champeau</cp:lastModifiedBy>
  <cp:revision>2</cp:revision>
  <cp:lastPrinted>2020-06-30T14:54:00Z</cp:lastPrinted>
  <dcterms:created xsi:type="dcterms:W3CDTF">2020-07-01T13:47:00Z</dcterms:created>
  <dcterms:modified xsi:type="dcterms:W3CDTF">2020-07-01T13:47:00Z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