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page" w:tblpX="1135" w:tblpY="568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2268"/>
        <w:gridCol w:w="3260"/>
        <w:gridCol w:w="2835"/>
      </w:tblGrid>
      <w:tr w:rsidR="001433FD" w:rsidRPr="00DB58B5" w14:paraId="4FBE9B4C" w14:textId="77777777" w:rsidTr="005316B0">
        <w:trPr>
          <w:trHeight w:hRule="exact" w:val="851"/>
        </w:trPr>
        <w:tc>
          <w:tcPr>
            <w:tcW w:w="1276" w:type="dxa"/>
            <w:tcBorders>
              <w:bottom w:val="single" w:sz="4" w:space="0" w:color="auto"/>
            </w:tcBorders>
          </w:tcPr>
          <w:p w14:paraId="0C17837F" w14:textId="77777777" w:rsidR="001433FD" w:rsidRPr="00DB58B5" w:rsidRDefault="001433FD" w:rsidP="0001207F"/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14:paraId="7D1C4FC3" w14:textId="77777777" w:rsidR="001433FD" w:rsidRPr="00DB58B5" w:rsidRDefault="001433FD" w:rsidP="007D3236">
            <w:pPr>
              <w:spacing w:after="80" w:line="300" w:lineRule="exact"/>
              <w:rPr>
                <w:sz w:val="28"/>
              </w:rPr>
            </w:pPr>
            <w:r w:rsidRPr="00DB58B5">
              <w:rPr>
                <w:sz w:val="28"/>
              </w:rPr>
              <w:t>Nations Unies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vAlign w:val="bottom"/>
          </w:tcPr>
          <w:p w14:paraId="422CE79F" w14:textId="77777777" w:rsidR="001433FD" w:rsidRPr="00DB58B5" w:rsidRDefault="006949C0" w:rsidP="006949C0">
            <w:pPr>
              <w:jc w:val="right"/>
            </w:pPr>
            <w:r w:rsidRPr="006949C0">
              <w:rPr>
                <w:sz w:val="40"/>
              </w:rPr>
              <w:t>ECE</w:t>
            </w:r>
            <w:r>
              <w:t>/TRANS/WP.15/AC.1/2020/54</w:t>
            </w:r>
          </w:p>
        </w:tc>
      </w:tr>
      <w:tr w:rsidR="001433FD" w:rsidRPr="00DB58B5" w14:paraId="3ADE8945" w14:textId="77777777" w:rsidTr="007D3236">
        <w:trPr>
          <w:trHeight w:hRule="exact" w:val="2835"/>
        </w:trPr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</w:tcPr>
          <w:p w14:paraId="5E5898F6" w14:textId="77777777" w:rsidR="001433FD" w:rsidRPr="00DB58B5" w:rsidRDefault="001433FD" w:rsidP="007D3236">
            <w:pPr>
              <w:spacing w:before="120"/>
              <w:jc w:val="center"/>
            </w:pPr>
            <w:r>
              <w:rPr>
                <w:noProof/>
                <w:lang w:eastAsia="fr-CH"/>
              </w:rPr>
              <w:drawing>
                <wp:inline distT="0" distB="0" distL="0" distR="0" wp14:anchorId="793D4E6B" wp14:editId="3FF660B9">
                  <wp:extent cx="714375" cy="590550"/>
                  <wp:effectExtent l="0" t="0" r="9525" b="0"/>
                  <wp:docPr id="3" name="Image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07F0F3DB" w14:textId="77777777" w:rsidR="001433FD" w:rsidRPr="00740562" w:rsidRDefault="001433FD" w:rsidP="007D3236">
            <w:pPr>
              <w:spacing w:before="120" w:line="420" w:lineRule="exact"/>
              <w:rPr>
                <w:b/>
                <w:sz w:val="40"/>
                <w:szCs w:val="40"/>
              </w:rPr>
            </w:pPr>
            <w:r w:rsidRPr="00FB77FF">
              <w:rPr>
                <w:b/>
                <w:sz w:val="40"/>
                <w:szCs w:val="40"/>
              </w:rPr>
              <w:t>Conseil économique</w:t>
            </w:r>
            <w:r>
              <w:rPr>
                <w:b/>
                <w:sz w:val="40"/>
                <w:szCs w:val="40"/>
              </w:rPr>
              <w:t xml:space="preserve"> </w:t>
            </w:r>
            <w:r w:rsidRPr="00FB77FF">
              <w:rPr>
                <w:b/>
                <w:sz w:val="40"/>
                <w:szCs w:val="40"/>
              </w:rPr>
              <w:t>et social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</w:tcPr>
          <w:p w14:paraId="41C7CDE8" w14:textId="77777777" w:rsidR="0001207F" w:rsidRDefault="006949C0" w:rsidP="006949C0">
            <w:pPr>
              <w:spacing w:before="240" w:line="240" w:lineRule="exact"/>
            </w:pPr>
            <w:r>
              <w:t>Distr. générale</w:t>
            </w:r>
          </w:p>
          <w:p w14:paraId="293323B6" w14:textId="4D3E3536" w:rsidR="006949C0" w:rsidRDefault="005031A4" w:rsidP="006949C0">
            <w:pPr>
              <w:spacing w:line="240" w:lineRule="exact"/>
            </w:pPr>
            <w:r>
              <w:t>25</w:t>
            </w:r>
            <w:bookmarkStart w:id="0" w:name="_GoBack"/>
            <w:bookmarkEnd w:id="0"/>
            <w:r w:rsidR="006949C0">
              <w:t xml:space="preserve"> juin 2020</w:t>
            </w:r>
          </w:p>
          <w:p w14:paraId="29EDBC35" w14:textId="77777777" w:rsidR="006949C0" w:rsidRDefault="006949C0" w:rsidP="006949C0">
            <w:pPr>
              <w:spacing w:line="240" w:lineRule="exact"/>
            </w:pPr>
          </w:p>
          <w:p w14:paraId="205A14D9" w14:textId="77777777" w:rsidR="006949C0" w:rsidRPr="00DB58B5" w:rsidRDefault="006949C0" w:rsidP="006949C0">
            <w:pPr>
              <w:spacing w:line="240" w:lineRule="exact"/>
            </w:pPr>
            <w:r>
              <w:t>Original : français</w:t>
            </w:r>
          </w:p>
        </w:tc>
      </w:tr>
    </w:tbl>
    <w:p w14:paraId="0644FE00" w14:textId="77777777" w:rsidR="00E8382F" w:rsidRDefault="00E8382F" w:rsidP="00E8382F">
      <w:pPr>
        <w:spacing w:before="120"/>
        <w:rPr>
          <w:b/>
          <w:sz w:val="28"/>
          <w:szCs w:val="28"/>
        </w:rPr>
      </w:pPr>
      <w:r>
        <w:rPr>
          <w:b/>
          <w:sz w:val="28"/>
          <w:szCs w:val="28"/>
        </w:rPr>
        <w:t>Commission économique pour l’Europe</w:t>
      </w:r>
    </w:p>
    <w:p w14:paraId="1FD108FD" w14:textId="77777777" w:rsidR="00E8382F" w:rsidRDefault="00E8382F" w:rsidP="00E8382F">
      <w:pPr>
        <w:spacing w:before="120"/>
        <w:rPr>
          <w:sz w:val="28"/>
          <w:szCs w:val="28"/>
        </w:rPr>
      </w:pPr>
      <w:r>
        <w:rPr>
          <w:sz w:val="28"/>
          <w:szCs w:val="28"/>
        </w:rPr>
        <w:t>Comité des transports intérieurs</w:t>
      </w:r>
    </w:p>
    <w:p w14:paraId="31529439" w14:textId="77777777" w:rsidR="00E8382F" w:rsidRDefault="00E8382F" w:rsidP="00E8382F">
      <w:pPr>
        <w:spacing w:before="12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Groupe de travail des transports de marchandises dangereuses</w:t>
      </w:r>
    </w:p>
    <w:p w14:paraId="480D1F08" w14:textId="77777777" w:rsidR="00E8382F" w:rsidRDefault="00E8382F" w:rsidP="00E8382F">
      <w:pPr>
        <w:spacing w:before="120" w:line="240" w:lineRule="auto"/>
        <w:rPr>
          <w:b/>
          <w:bCs/>
          <w:szCs w:val="24"/>
        </w:rPr>
      </w:pPr>
      <w:r>
        <w:rPr>
          <w:b/>
          <w:bCs/>
          <w:szCs w:val="24"/>
        </w:rPr>
        <w:t xml:space="preserve">Réunion commune de la Commission d’experts du RID et </w:t>
      </w:r>
      <w:r>
        <w:rPr>
          <w:b/>
          <w:bCs/>
          <w:szCs w:val="24"/>
        </w:rPr>
        <w:br/>
        <w:t>du Groupe de travail des transports de marchandises dangereuses</w:t>
      </w:r>
    </w:p>
    <w:p w14:paraId="3A6C44F5" w14:textId="77777777" w:rsidR="00E8382F" w:rsidRDefault="00E8382F" w:rsidP="00E8382F">
      <w:pPr>
        <w:spacing w:line="240" w:lineRule="auto"/>
        <w:rPr>
          <w:szCs w:val="24"/>
        </w:rPr>
      </w:pPr>
      <w:r>
        <w:rPr>
          <w:szCs w:val="24"/>
        </w:rPr>
        <w:t>Berne, 10-11 septembre et Genève, 14-18 septembre 2020</w:t>
      </w:r>
    </w:p>
    <w:p w14:paraId="669E36AE" w14:textId="77777777" w:rsidR="00E8382F" w:rsidRDefault="00E8382F" w:rsidP="00E8382F">
      <w:pPr>
        <w:spacing w:line="240" w:lineRule="auto"/>
        <w:rPr>
          <w:szCs w:val="24"/>
        </w:rPr>
      </w:pPr>
      <w:r>
        <w:rPr>
          <w:szCs w:val="24"/>
        </w:rPr>
        <w:t>Point 4 de l’ordre du jour provisoire</w:t>
      </w:r>
    </w:p>
    <w:p w14:paraId="5EA49C95" w14:textId="77777777" w:rsidR="00E8382F" w:rsidRPr="00B67FEB" w:rsidRDefault="00E8382F" w:rsidP="00E8382F">
      <w:pPr>
        <w:spacing w:line="240" w:lineRule="auto"/>
        <w:rPr>
          <w:b/>
          <w:bCs/>
          <w:szCs w:val="24"/>
        </w:rPr>
      </w:pPr>
      <w:r w:rsidRPr="00B67FEB">
        <w:rPr>
          <w:b/>
          <w:bCs/>
          <w:lang w:eastAsia="fr-FR"/>
        </w:rPr>
        <w:t>Interprétation du RID/ADR/ADN</w:t>
      </w:r>
    </w:p>
    <w:p w14:paraId="6C17E521" w14:textId="77777777" w:rsidR="00E8382F" w:rsidRDefault="00E8382F" w:rsidP="00E8382F">
      <w:pPr>
        <w:pStyle w:val="HChG"/>
      </w:pPr>
      <w:r>
        <w:rPr>
          <w:lang w:val="fr-FR"/>
        </w:rPr>
        <w:tab/>
      </w:r>
      <w:r>
        <w:rPr>
          <w:lang w:val="fr-FR"/>
        </w:rPr>
        <w:tab/>
        <w:t>Placardage des bennes amovibles</w:t>
      </w:r>
    </w:p>
    <w:p w14:paraId="6BBE1D7E" w14:textId="77777777" w:rsidR="00E8382F" w:rsidRDefault="00E8382F" w:rsidP="00E8382F">
      <w:pPr>
        <w:suppressAutoHyphens w:val="0"/>
        <w:kinsoku/>
        <w:overflowPunct/>
        <w:autoSpaceDE/>
        <w:autoSpaceDN/>
        <w:adjustRightInd/>
        <w:spacing w:before="120" w:after="120" w:line="240" w:lineRule="auto"/>
        <w:rPr>
          <w:sz w:val="24"/>
          <w:szCs w:val="24"/>
          <w:lang w:val="en-GB"/>
        </w:rPr>
      </w:pPr>
      <w:r>
        <w:rPr>
          <w:rFonts w:eastAsia="Arial"/>
          <w:sz w:val="24"/>
          <w:szCs w:val="24"/>
          <w:lang w:val="fr-FR"/>
        </w:rPr>
        <w:tab/>
      </w:r>
      <w:r>
        <w:rPr>
          <w:rFonts w:eastAsia="Arial"/>
          <w:sz w:val="24"/>
          <w:szCs w:val="24"/>
          <w:lang w:val="fr-FR"/>
        </w:rPr>
        <w:tab/>
      </w:r>
      <w:r>
        <w:rPr>
          <w:rStyle w:val="H1GChar"/>
          <w:rFonts w:eastAsia="Arial"/>
        </w:rPr>
        <w:t>Communication du Gouvernement de la France</w:t>
      </w:r>
      <w:r>
        <w:rPr>
          <w:rStyle w:val="FootnoteReference"/>
          <w:lang w:val="fr-FR"/>
        </w:rPr>
        <w:footnoteReference w:customMarkFollows="1" w:id="2"/>
        <w:t>*</w:t>
      </w:r>
      <w:r>
        <w:rPr>
          <w:vertAlign w:val="superscript"/>
        </w:rPr>
        <w:t xml:space="preserve">, </w:t>
      </w:r>
      <w:r>
        <w:rPr>
          <w:rStyle w:val="FootnoteReference"/>
          <w:lang w:val="fr-FR"/>
        </w:rPr>
        <w:footnoteReference w:customMarkFollows="1" w:id="3"/>
        <w:t>**</w:t>
      </w:r>
      <w:r>
        <w:rPr>
          <w:sz w:val="24"/>
          <w:szCs w:val="24"/>
          <w:lang w:val="en-GB"/>
        </w:rPr>
        <w:t xml:space="preserve"> </w:t>
      </w:r>
    </w:p>
    <w:tbl>
      <w:tblPr>
        <w:tblStyle w:val="TableGrid"/>
        <w:tblW w:w="0" w:type="auto"/>
        <w:jc w:val="center"/>
        <w:tblBorders>
          <w:insideH w:val="none" w:sz="0" w:space="0" w:color="auto"/>
        </w:tblBorders>
        <w:tblLook w:val="05E0" w:firstRow="1" w:lastRow="1" w:firstColumn="1" w:lastColumn="1" w:noHBand="0" w:noVBand="1"/>
      </w:tblPr>
      <w:tblGrid>
        <w:gridCol w:w="9628"/>
      </w:tblGrid>
      <w:tr w:rsidR="00E8382F" w14:paraId="47C3CB9A" w14:textId="77777777" w:rsidTr="007D2A33">
        <w:trPr>
          <w:jc w:val="center"/>
        </w:trPr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77E6A60" w14:textId="77777777" w:rsidR="00E8382F" w:rsidRDefault="00E8382F" w:rsidP="007D2A33">
            <w:pPr>
              <w:spacing w:before="240" w:after="120"/>
              <w:ind w:left="255"/>
              <w:rPr>
                <w:i/>
                <w:sz w:val="24"/>
              </w:rPr>
            </w:pPr>
            <w:r>
              <w:rPr>
                <w:i/>
                <w:sz w:val="24"/>
              </w:rPr>
              <w:t>Résumé</w:t>
            </w:r>
          </w:p>
        </w:tc>
      </w:tr>
      <w:tr w:rsidR="00E8382F" w14:paraId="272D6AA0" w14:textId="77777777" w:rsidTr="007D2A33">
        <w:trPr>
          <w:jc w:val="center"/>
        </w:trPr>
        <w:tc>
          <w:tcPr>
            <w:tcW w:w="96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66ADFC" w14:textId="77777777" w:rsidR="00E8382F" w:rsidRDefault="00E8382F" w:rsidP="007D2A33">
            <w:pPr>
              <w:pStyle w:val="SingleTxtG"/>
              <w:ind w:left="3686" w:hanging="2552"/>
            </w:pPr>
            <w:r>
              <w:rPr>
                <w:b/>
                <w:bCs/>
              </w:rPr>
              <w:t>Résumé analytique :</w:t>
            </w:r>
            <w:r>
              <w:tab/>
              <w:t>P</w:t>
            </w:r>
            <w:r w:rsidRPr="008B28F4">
              <w:t>réciser le statut des bennes amovibles en relation avec la définition des contene</w:t>
            </w:r>
            <w:r>
              <w:t>urs ainsi que leur placardage,</w:t>
            </w:r>
            <w:r w:rsidRPr="008B28F4">
              <w:t xml:space="preserve"> notamment dans le cadre de transport par route de déchets en vrac</w:t>
            </w:r>
            <w:r>
              <w:t>.</w:t>
            </w:r>
          </w:p>
        </w:tc>
      </w:tr>
      <w:tr w:rsidR="00E8382F" w14:paraId="4A9BA6C5" w14:textId="77777777" w:rsidTr="007D2A33">
        <w:trPr>
          <w:jc w:val="center"/>
        </w:trPr>
        <w:tc>
          <w:tcPr>
            <w:tcW w:w="9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039F2" w14:textId="77777777" w:rsidR="00E8382F" w:rsidRDefault="00E8382F" w:rsidP="007D2A33"/>
        </w:tc>
      </w:tr>
    </w:tbl>
    <w:p w14:paraId="5059B3B3" w14:textId="77777777" w:rsidR="00E8382F" w:rsidRDefault="00E8382F" w:rsidP="00E8382F">
      <w:pPr>
        <w:pStyle w:val="HChG"/>
        <w:ind w:left="0" w:right="850" w:firstLine="0"/>
      </w:pPr>
      <w:r>
        <w:rPr>
          <w:lang w:val="fr-FR"/>
        </w:rPr>
        <w:tab/>
      </w:r>
      <w:r>
        <w:rPr>
          <w:lang w:val="fr-FR"/>
        </w:rPr>
        <w:tab/>
        <w:t>Introduction</w:t>
      </w:r>
    </w:p>
    <w:p w14:paraId="1C4FB598" w14:textId="77777777" w:rsidR="00E8382F" w:rsidRDefault="00E8382F" w:rsidP="00E8382F">
      <w:pPr>
        <w:pStyle w:val="SingleTxtG"/>
      </w:pPr>
      <w:r>
        <w:rPr>
          <w:lang w:val="fr-FR"/>
        </w:rPr>
        <w:t>1.</w:t>
      </w:r>
      <w:r>
        <w:rPr>
          <w:lang w:val="fr-FR"/>
        </w:rPr>
        <w:tab/>
        <w:t>Le RID/ADR permet le transport en vrac de certains déchets (dès lors que leur classification le permet) dans le cadre du 7.3.3. En fonction des</w:t>
      </w:r>
      <w:r>
        <w:t xml:space="preserve"> dispositions spéciales de type BK ou VC qui sont indiquées dans la colonne (17) du tableau A.</w:t>
      </w:r>
    </w:p>
    <w:p w14:paraId="38F63A59" w14:textId="4FD3AA30" w:rsidR="00E8382F" w:rsidRDefault="00E8382F" w:rsidP="00E8382F">
      <w:pPr>
        <w:pStyle w:val="SingleTxtG"/>
      </w:pPr>
      <w:r>
        <w:rPr>
          <w:lang w:val="fr-FR"/>
        </w:rPr>
        <w:t>2.</w:t>
      </w:r>
      <w:r>
        <w:rPr>
          <w:lang w:val="fr-FR"/>
        </w:rPr>
        <w:tab/>
        <w:t>Dans la plupart des cas les opérateurs de transport de déchets</w:t>
      </w:r>
      <w:r>
        <w:t> utilisent des camions bennes (véhicules pour vrac)</w:t>
      </w:r>
      <w:r w:rsidR="00E01041">
        <w:t>.</w:t>
      </w:r>
      <w:r>
        <w:t xml:space="preserve"> Cependant, dans certains cas pour faciliter les opérations, certains véhicules sont équipés de bennes amovibles.</w:t>
      </w:r>
    </w:p>
    <w:p w14:paraId="59292FAA" w14:textId="77777777" w:rsidR="00E8382F" w:rsidRDefault="00E8382F" w:rsidP="00E8382F">
      <w:pPr>
        <w:pStyle w:val="SingleTxtG"/>
      </w:pPr>
      <w:r>
        <w:rPr>
          <w:lang w:val="fr-FR"/>
        </w:rPr>
        <w:t>3.</w:t>
      </w:r>
      <w:r>
        <w:rPr>
          <w:lang w:val="fr-FR"/>
        </w:rPr>
        <w:tab/>
        <w:t>C</w:t>
      </w:r>
      <w:r>
        <w:t>es bennes amo</w:t>
      </w:r>
      <w:bookmarkStart w:id="1" w:name="_GoBack1"/>
      <w:bookmarkEnd w:id="1"/>
      <w:r>
        <w:t>vibles ne répondent pas à la définition de conteneurs et ne sont jamais utilisées comme tels. Elles permettent simplement de faciliter le chargement aux points de collecte de déchets.</w:t>
      </w:r>
    </w:p>
    <w:p w14:paraId="1C16639A" w14:textId="0634DD2A" w:rsidR="00E8382F" w:rsidRDefault="00E8382F" w:rsidP="00E8382F">
      <w:pPr>
        <w:pStyle w:val="SingleTxtG"/>
      </w:pPr>
      <w:r>
        <w:rPr>
          <w:lang w:val="fr-FR"/>
        </w:rPr>
        <w:t>4.</w:t>
      </w:r>
      <w:r>
        <w:rPr>
          <w:lang w:val="fr-FR"/>
        </w:rPr>
        <w:tab/>
      </w:r>
      <w:r>
        <w:t xml:space="preserve">Le « conteneur pour vrac » est uniquement réservé aux conteneurs répondant aux prescriptions du chapitre 6.11, qui sont donc agréés par l'autorité compétente, et utilisés dans le transport multimodal. Les « bennes à déchet » amovibles ne sont donc pas des conteneurs pour vrac au sens du RID/ADR. Ce qui prête à confusion, c'est que dans la définition du </w:t>
      </w:r>
      <w:r>
        <w:lastRenderedPageBreak/>
        <w:t>conteneur pour vrac au chapitre 1.2, il est mentionné que les conteneurs pour vrac peuvent être, par exemple, « des conteneurs, des conteneurs pour vrac offshore, des bennes, des bacs pour vrac, des caisses mobiles, des conteneurs trémie, des conteneurs à rouleau, des compartiments de charge des véhicules. »</w:t>
      </w:r>
    </w:p>
    <w:p w14:paraId="21F7D26E" w14:textId="77777777" w:rsidR="00E8382F" w:rsidRDefault="00E8382F" w:rsidP="00E8382F">
      <w:pPr>
        <w:pStyle w:val="SingleTxtG"/>
      </w:pPr>
      <w:r>
        <w:t>5</w:t>
      </w:r>
      <w:r>
        <w:tab/>
        <w:t>Du fait de l’utilisation du mot benne dans la définition du « conteneur pour vrac » la question s’est posée de savoir si ces bennes doivent porter un placardage conforme à celle des conteneurs comme indiqué au 5.3.1.2 ou plutôt conforme aux véhicules comme indiqué au 5.3.1.4.1 bien que la benne soit amovible ;</w:t>
      </w:r>
    </w:p>
    <w:p w14:paraId="3B508460" w14:textId="77777777" w:rsidR="00E8382F" w:rsidRDefault="00E8382F" w:rsidP="00E8382F">
      <w:pPr>
        <w:pStyle w:val="SingleTxtG"/>
      </w:pPr>
      <w:r>
        <w:rPr>
          <w:lang w:val="fr-FR"/>
        </w:rPr>
        <w:t>6.</w:t>
      </w:r>
      <w:r>
        <w:rPr>
          <w:lang w:val="fr-FR"/>
        </w:rPr>
        <w:tab/>
        <w:t xml:space="preserve">Un placardage suivant le </w:t>
      </w:r>
      <w:r>
        <w:t xml:space="preserve">5.3.1.2 </w:t>
      </w:r>
      <w:r>
        <w:rPr>
          <w:lang w:val="fr-FR"/>
        </w:rPr>
        <w:t>conduirait à mettre des plaques étiquettes sur les 4 côtés de la benne y compris celui qui se trouve à l’avant juste derrière la cabine du véhicule sachant que cette plaque étiquette ne serait jamais visible au vu de l’utilisation de la benne.</w:t>
      </w:r>
    </w:p>
    <w:p w14:paraId="1AF33C7B" w14:textId="77777777" w:rsidR="00E8382F" w:rsidRDefault="00E8382F" w:rsidP="00E8382F">
      <w:pPr>
        <w:pStyle w:val="SingleTxtG"/>
      </w:pPr>
      <w:r>
        <w:t>Or, ces bennes bien qu’amovibles ne sont jamais utilisées pour un transbordement d'un mode à l'autre, et sont positionnées sur le moyen de transport routier toujours dans le même sens.</w:t>
      </w:r>
    </w:p>
    <w:p w14:paraId="0063F9DA" w14:textId="77777777" w:rsidR="00E8382F" w:rsidRDefault="00E8382F" w:rsidP="00E8382F">
      <w:pPr>
        <w:pStyle w:val="SingleTxtG"/>
      </w:pPr>
      <w:r>
        <w:rPr>
          <w:lang w:val="fr-FR"/>
        </w:rPr>
        <w:t>7.</w:t>
      </w:r>
      <w:r>
        <w:rPr>
          <w:lang w:val="fr-FR"/>
        </w:rPr>
        <w:tab/>
        <w:t>A titre d’exemple, ci-après des photos illustrant un exemple de ces bennes amovibles :</w:t>
      </w:r>
      <w:r>
        <w:rPr>
          <w:lang w:val="fr-FR"/>
        </w:rPr>
        <w:tab/>
      </w:r>
    </w:p>
    <w:p w14:paraId="1674D865" w14:textId="77777777" w:rsidR="00E8382F" w:rsidRDefault="00E8382F" w:rsidP="00E8382F">
      <w:pPr>
        <w:pStyle w:val="SingleTxtG"/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69E96ACD" wp14:editId="3AB33342">
            <wp:extent cx="5567941" cy="209241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6648" cy="21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E5703" w14:textId="77777777" w:rsidR="00E8382F" w:rsidRDefault="00E8382F" w:rsidP="00E8382F">
      <w:pPr>
        <w:pStyle w:val="SingleTxtG"/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07C23D54" wp14:editId="41B76488">
            <wp:extent cx="5095875" cy="372427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CD867" w14:textId="77777777" w:rsidR="00E8382F" w:rsidRDefault="00E8382F" w:rsidP="00E8382F">
      <w:pPr>
        <w:pStyle w:val="SingleTxtG"/>
        <w:rPr>
          <w:noProof/>
          <w:lang w:val="fr-FR" w:eastAsia="fr-FR"/>
        </w:rPr>
      </w:pPr>
    </w:p>
    <w:p w14:paraId="6486A9F4" w14:textId="77777777" w:rsidR="00E8382F" w:rsidRDefault="00E8382F" w:rsidP="00E8382F">
      <w:pPr>
        <w:pStyle w:val="SingleTxtG"/>
        <w:rPr>
          <w:noProof/>
          <w:lang w:val="fr-FR" w:eastAsia="fr-FR"/>
        </w:rPr>
      </w:pPr>
    </w:p>
    <w:p w14:paraId="1D32DADF" w14:textId="77777777" w:rsidR="00E8382F" w:rsidRDefault="00E8382F" w:rsidP="00E8382F">
      <w:pPr>
        <w:pStyle w:val="SingleTxtG"/>
      </w:pPr>
      <w:r>
        <w:rPr>
          <w:noProof/>
          <w:lang w:val="fr-FR" w:eastAsia="fr-FR"/>
        </w:rPr>
        <w:lastRenderedPageBreak/>
        <w:drawing>
          <wp:inline distT="0" distB="0" distL="0" distR="0" wp14:anchorId="339884E8" wp14:editId="7D2F8767">
            <wp:extent cx="4316627" cy="2493626"/>
            <wp:effectExtent l="0" t="0" r="0" b="0"/>
            <wp:docPr id="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147" cy="249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35FB3" w14:textId="77777777" w:rsidR="00E8382F" w:rsidRDefault="00E8382F" w:rsidP="00E8382F">
      <w:pPr>
        <w:pStyle w:val="SingleTxtG"/>
      </w:pPr>
      <w:r>
        <w:rPr>
          <w:noProof/>
          <w:lang w:val="fr-FR" w:eastAsia="fr-FR"/>
        </w:rPr>
        <w:drawing>
          <wp:inline distT="0" distB="0" distL="0" distR="0" wp14:anchorId="236A736E" wp14:editId="45DB03EC">
            <wp:extent cx="4291913" cy="2425608"/>
            <wp:effectExtent l="0" t="0" r="0" b="0"/>
            <wp:docPr id="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845" cy="243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B22D3" w14:textId="77777777" w:rsidR="00E8382F" w:rsidRDefault="00E8382F" w:rsidP="00E8382F">
      <w:pPr>
        <w:pStyle w:val="HChG"/>
      </w:pPr>
      <w:r>
        <w:rPr>
          <w:lang w:val="fr-FR"/>
        </w:rPr>
        <w:tab/>
      </w:r>
      <w:r>
        <w:rPr>
          <w:lang w:val="fr-FR"/>
        </w:rPr>
        <w:tab/>
        <w:t>Questions</w:t>
      </w:r>
    </w:p>
    <w:p w14:paraId="55F3FFD2" w14:textId="77777777" w:rsidR="00E8382F" w:rsidRDefault="00E8382F" w:rsidP="00E8382F">
      <w:pPr>
        <w:pStyle w:val="SingleTxtG"/>
      </w:pPr>
      <w:r>
        <w:rPr>
          <w:lang w:val="fr-FR"/>
        </w:rPr>
        <w:t>8.</w:t>
      </w:r>
      <w:r>
        <w:rPr>
          <w:lang w:val="fr-FR"/>
        </w:rPr>
        <w:tab/>
        <w:t>Question 1 :</w:t>
      </w:r>
    </w:p>
    <w:p w14:paraId="0CAA0F35" w14:textId="77777777" w:rsidR="00E8382F" w:rsidRDefault="00E8382F" w:rsidP="00E8382F">
      <w:pPr>
        <w:pStyle w:val="SingleTxtG"/>
      </w:pPr>
      <w:r>
        <w:t>Les bennes décrites en introduction doivent elles porter un placardage conforme au 5.3.1.2 ou conforme 5.3.1.4.1 ?</w:t>
      </w:r>
    </w:p>
    <w:p w14:paraId="731617A7" w14:textId="77777777" w:rsidR="00E8382F" w:rsidRDefault="00E8382F" w:rsidP="00E8382F">
      <w:pPr>
        <w:pStyle w:val="SingleTxtG"/>
      </w:pPr>
      <w:r>
        <w:rPr>
          <w:lang w:val="fr-FR"/>
        </w:rPr>
        <w:t>9.</w:t>
      </w:r>
      <w:r>
        <w:rPr>
          <w:lang w:val="fr-FR"/>
        </w:rPr>
        <w:tab/>
        <w:t>Question 2 :</w:t>
      </w:r>
    </w:p>
    <w:p w14:paraId="319652BC" w14:textId="77777777" w:rsidR="00E8382F" w:rsidRDefault="00E8382F" w:rsidP="00E8382F">
      <w:pPr>
        <w:pStyle w:val="SingleTxtG"/>
      </w:pPr>
      <w:r>
        <w:rPr>
          <w:lang w:val="fr-FR"/>
        </w:rPr>
        <w:t xml:space="preserve">Est-il nécessaire d’apporter </w:t>
      </w:r>
      <w:r w:rsidRPr="00B67FEB">
        <w:t>des</w:t>
      </w:r>
      <w:r>
        <w:rPr>
          <w:lang w:val="fr-FR"/>
        </w:rPr>
        <w:t xml:space="preserve"> modifications destinées à clarifier la réglementation sur ce point ?</w:t>
      </w:r>
    </w:p>
    <w:p w14:paraId="6EF0D3E1" w14:textId="77777777" w:rsidR="00E8382F" w:rsidRDefault="00E8382F" w:rsidP="00E8382F">
      <w:pPr>
        <w:pStyle w:val="SingleTxtG"/>
        <w:rPr>
          <w:lang w:val="fr-FR"/>
        </w:rPr>
      </w:pPr>
      <w:r>
        <w:rPr>
          <w:lang w:val="fr-FR"/>
        </w:rPr>
        <w:t>Dans ce cas, la France pourra faire une proposition à la prochaine session.</w:t>
      </w:r>
    </w:p>
    <w:p w14:paraId="27FD59EC" w14:textId="77777777" w:rsidR="00E8382F" w:rsidRPr="00B67FEB" w:rsidRDefault="00E8382F" w:rsidP="00E8382F">
      <w:pPr>
        <w:spacing w:before="24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D6F7DE3" w14:textId="77777777" w:rsidR="00C1626B" w:rsidRPr="006949C0" w:rsidRDefault="00C1626B" w:rsidP="00F06ED4"/>
    <w:sectPr w:rsidR="00C1626B" w:rsidRPr="006949C0" w:rsidSect="006949C0">
      <w:headerReference w:type="even" r:id="rId12"/>
      <w:headerReference w:type="default" r:id="rId13"/>
      <w:footerReference w:type="even" r:id="rId14"/>
      <w:footerReference w:type="default" r:id="rId15"/>
      <w:footerReference w:type="first" r:id="rId16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2EFC17" w14:textId="77777777" w:rsidR="006949C0" w:rsidRDefault="006949C0" w:rsidP="00F95C08">
      <w:pPr>
        <w:spacing w:line="240" w:lineRule="auto"/>
      </w:pPr>
    </w:p>
  </w:endnote>
  <w:endnote w:type="continuationSeparator" w:id="0">
    <w:p w14:paraId="2B1F1992" w14:textId="77777777" w:rsidR="006949C0" w:rsidRPr="00AC3823" w:rsidRDefault="006949C0" w:rsidP="00AC3823">
      <w:pPr>
        <w:pStyle w:val="Footer"/>
      </w:pPr>
    </w:p>
  </w:endnote>
  <w:endnote w:type="continuationNotice" w:id="1">
    <w:p w14:paraId="1595846E" w14:textId="77777777" w:rsidR="006949C0" w:rsidRDefault="006949C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FC8A2" w14:textId="77777777" w:rsidR="006949C0" w:rsidRPr="006949C0" w:rsidRDefault="006949C0" w:rsidP="006949C0">
    <w:pPr>
      <w:pStyle w:val="Footer"/>
      <w:tabs>
        <w:tab w:val="right" w:pos="9638"/>
      </w:tabs>
      <w:rPr>
        <w:sz w:val="18"/>
      </w:rPr>
    </w:pPr>
    <w:r w:rsidRPr="006949C0">
      <w:rPr>
        <w:b/>
        <w:sz w:val="18"/>
      </w:rPr>
      <w:fldChar w:fldCharType="begin"/>
    </w:r>
    <w:r w:rsidRPr="006949C0">
      <w:rPr>
        <w:b/>
        <w:sz w:val="18"/>
      </w:rPr>
      <w:instrText xml:space="preserve"> PAGE  \* MERGEFORMAT </w:instrText>
    </w:r>
    <w:r w:rsidRPr="006949C0">
      <w:rPr>
        <w:b/>
        <w:sz w:val="18"/>
      </w:rPr>
      <w:fldChar w:fldCharType="separate"/>
    </w:r>
    <w:r w:rsidRPr="006949C0">
      <w:rPr>
        <w:b/>
        <w:noProof/>
        <w:sz w:val="18"/>
      </w:rPr>
      <w:t>2</w:t>
    </w:r>
    <w:r w:rsidRPr="006949C0">
      <w:rPr>
        <w:b/>
        <w:sz w:val="18"/>
      </w:rPr>
      <w:fldChar w:fldCharType="end"/>
    </w:r>
    <w:r>
      <w:rPr>
        <w:sz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4E811" w14:textId="77777777" w:rsidR="006949C0" w:rsidRPr="006949C0" w:rsidRDefault="006949C0" w:rsidP="006949C0">
    <w:pPr>
      <w:pStyle w:val="Footer"/>
      <w:tabs>
        <w:tab w:val="right" w:pos="9638"/>
      </w:tabs>
      <w:rPr>
        <w:b/>
        <w:sz w:val="18"/>
      </w:rPr>
    </w:pPr>
    <w:r>
      <w:tab/>
    </w:r>
    <w:r w:rsidRPr="006949C0">
      <w:rPr>
        <w:b/>
        <w:sz w:val="18"/>
      </w:rPr>
      <w:fldChar w:fldCharType="begin"/>
    </w:r>
    <w:r w:rsidRPr="006949C0">
      <w:rPr>
        <w:b/>
        <w:sz w:val="18"/>
      </w:rPr>
      <w:instrText xml:space="preserve"> PAGE  \* MERGEFORMAT </w:instrText>
    </w:r>
    <w:r w:rsidRPr="006949C0">
      <w:rPr>
        <w:b/>
        <w:sz w:val="18"/>
      </w:rPr>
      <w:fldChar w:fldCharType="separate"/>
    </w:r>
    <w:r w:rsidRPr="006949C0">
      <w:rPr>
        <w:b/>
        <w:noProof/>
        <w:sz w:val="18"/>
      </w:rPr>
      <w:t>3</w:t>
    </w:r>
    <w:r w:rsidRPr="006949C0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55032" w14:textId="77777777" w:rsidR="000D3EE9" w:rsidRPr="006949C0" w:rsidRDefault="000D3EE9" w:rsidP="0001207F">
    <w:pPr>
      <w:pStyle w:val="Footer"/>
      <w:spacing w:before="12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326114" w14:textId="77777777" w:rsidR="006949C0" w:rsidRPr="00AC3823" w:rsidRDefault="006949C0" w:rsidP="00AC3823">
      <w:pPr>
        <w:pStyle w:val="Footer"/>
        <w:tabs>
          <w:tab w:val="right" w:pos="2155"/>
        </w:tabs>
        <w:spacing w:after="80" w:line="240" w:lineRule="atLeast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73F3F05C" w14:textId="77777777" w:rsidR="006949C0" w:rsidRPr="00AC3823" w:rsidRDefault="006949C0" w:rsidP="00AC3823">
      <w:pPr>
        <w:pStyle w:val="Footer"/>
        <w:tabs>
          <w:tab w:val="right" w:pos="2155"/>
        </w:tabs>
        <w:spacing w:after="80" w:line="240" w:lineRule="atLeast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14:paraId="1C5CAFB1" w14:textId="77777777" w:rsidR="006949C0" w:rsidRPr="00AC3823" w:rsidRDefault="006949C0">
      <w:pPr>
        <w:spacing w:line="240" w:lineRule="auto"/>
        <w:rPr>
          <w:sz w:val="2"/>
          <w:szCs w:val="2"/>
        </w:rPr>
      </w:pPr>
    </w:p>
  </w:footnote>
  <w:footnote w:id="2">
    <w:p w14:paraId="089DA186" w14:textId="77777777" w:rsidR="00E8382F" w:rsidRDefault="00E8382F" w:rsidP="00E8382F">
      <w:pPr>
        <w:pStyle w:val="FootnoteText"/>
        <w:rPr>
          <w:rFonts w:eastAsiaTheme="minorHAnsi"/>
          <w:lang w:eastAsia="en-US"/>
        </w:rPr>
      </w:pPr>
      <w:r>
        <w:rPr>
          <w:rStyle w:val="FootnoteReference"/>
          <w:sz w:val="20"/>
        </w:rPr>
        <w:tab/>
        <w:t>*</w:t>
      </w:r>
      <w:r>
        <w:rPr>
          <w:sz w:val="20"/>
        </w:rPr>
        <w:tab/>
      </w:r>
      <w:r>
        <w:t>Sous-programme 2 du budget-programme pour 2020 (A/74/6 (Sect. 20)) et informations complémentaires.</w:t>
      </w:r>
    </w:p>
  </w:footnote>
  <w:footnote w:id="3">
    <w:p w14:paraId="224A46A8" w14:textId="77777777" w:rsidR="00E8382F" w:rsidRDefault="00E8382F" w:rsidP="00E8382F">
      <w:pPr>
        <w:pStyle w:val="FootnoteText"/>
        <w:rPr>
          <w:sz w:val="20"/>
        </w:rPr>
      </w:pPr>
      <w:r>
        <w:rPr>
          <w:rStyle w:val="FootnoteReference"/>
          <w:sz w:val="20"/>
        </w:rPr>
        <w:tab/>
        <w:t>**</w:t>
      </w:r>
      <w:r>
        <w:rPr>
          <w:sz w:val="20"/>
        </w:rPr>
        <w:tab/>
      </w:r>
      <w:r>
        <w:t>Diffusé par l’Organisation intergouvernementale pour les transports internationaux ferroviaires sous la cote OTIF/RID/RC/2020/54.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44A66D" w14:textId="77777777" w:rsidR="006949C0" w:rsidRPr="006949C0" w:rsidRDefault="005031A4">
    <w:pPr>
      <w:pStyle w:val="Header"/>
    </w:pPr>
    <w:r>
      <w:fldChar w:fldCharType="begin"/>
    </w:r>
    <w:r>
      <w:instrText xml:space="preserve"> TITLE  \* MERGEFORMAT </w:instrText>
    </w:r>
    <w:r>
      <w:fldChar w:fldCharType="separate"/>
    </w:r>
    <w:r w:rsidR="006949C0">
      <w:t>ECE/TRANS/WP.15/AC.1/2020/54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43701C" w14:textId="77777777" w:rsidR="006949C0" w:rsidRPr="006949C0" w:rsidRDefault="005031A4" w:rsidP="006949C0">
    <w:pPr>
      <w:pStyle w:val="Header"/>
      <w:jc w:val="right"/>
    </w:pPr>
    <w:r>
      <w:fldChar w:fldCharType="begin"/>
    </w:r>
    <w:r>
      <w:instrText xml:space="preserve"> TITLE  \* MERGEFORMAT </w:instrText>
    </w:r>
    <w:r>
      <w:fldChar w:fldCharType="separate"/>
    </w:r>
    <w:r w:rsidR="006949C0">
      <w:t>ECE/TRANS/WP.15/AC.1/2020/54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4EEA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0844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D5003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4CBC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A624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9AED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A9AA6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1AE6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45C69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B0402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954887"/>
    <w:multiLevelType w:val="hybridMultilevel"/>
    <w:tmpl w:val="5A48E46A"/>
    <w:lvl w:ilvl="0" w:tplc="F560206C">
      <w:start w:val="1"/>
      <w:numFmt w:val="decimal"/>
      <w:pStyle w:val="ParNoG"/>
      <w:lvlText w:val="%1."/>
      <w:lvlJc w:val="left"/>
      <w:pPr>
        <w:tabs>
          <w:tab w:val="num" w:pos="1701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ACF4EB2"/>
    <w:multiLevelType w:val="hybridMultilevel"/>
    <w:tmpl w:val="3F2CCC0E"/>
    <w:lvl w:ilvl="0" w:tplc="78607ACC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68AD07B2"/>
    <w:multiLevelType w:val="hybridMultilevel"/>
    <w:tmpl w:val="D7D47906"/>
    <w:lvl w:ilvl="0" w:tplc="3B64B3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567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5F2324AE-7E1B-46E0-BE39-6171A5137F5D}"/>
    <w:docVar w:name="dgnword-eventsink" w:val="646185176"/>
  </w:docVars>
  <w:rsids>
    <w:rsidRoot w:val="006949C0"/>
    <w:rsid w:val="0001207F"/>
    <w:rsid w:val="00017F94"/>
    <w:rsid w:val="00023842"/>
    <w:rsid w:val="000334F9"/>
    <w:rsid w:val="0004639C"/>
    <w:rsid w:val="0005095C"/>
    <w:rsid w:val="0007796D"/>
    <w:rsid w:val="000942EE"/>
    <w:rsid w:val="000A52BF"/>
    <w:rsid w:val="000B7790"/>
    <w:rsid w:val="000D3EE9"/>
    <w:rsid w:val="000D62F3"/>
    <w:rsid w:val="00111F2F"/>
    <w:rsid w:val="00140E1F"/>
    <w:rsid w:val="001433FD"/>
    <w:rsid w:val="0014365E"/>
    <w:rsid w:val="001541D3"/>
    <w:rsid w:val="00156B77"/>
    <w:rsid w:val="00176178"/>
    <w:rsid w:val="00177140"/>
    <w:rsid w:val="001D400F"/>
    <w:rsid w:val="001F525A"/>
    <w:rsid w:val="00223272"/>
    <w:rsid w:val="00240333"/>
    <w:rsid w:val="0024779E"/>
    <w:rsid w:val="002832AC"/>
    <w:rsid w:val="002D7C93"/>
    <w:rsid w:val="0037241C"/>
    <w:rsid w:val="003819FF"/>
    <w:rsid w:val="00441C3B"/>
    <w:rsid w:val="00446B0A"/>
    <w:rsid w:val="00446FE5"/>
    <w:rsid w:val="00452396"/>
    <w:rsid w:val="00471288"/>
    <w:rsid w:val="0049687C"/>
    <w:rsid w:val="004E468C"/>
    <w:rsid w:val="005031A4"/>
    <w:rsid w:val="005316B0"/>
    <w:rsid w:val="005505B7"/>
    <w:rsid w:val="00573BE5"/>
    <w:rsid w:val="00586ED3"/>
    <w:rsid w:val="00596AA9"/>
    <w:rsid w:val="005B4D0F"/>
    <w:rsid w:val="006949C0"/>
    <w:rsid w:val="00703D0F"/>
    <w:rsid w:val="00706363"/>
    <w:rsid w:val="007158BB"/>
    <w:rsid w:val="0071601D"/>
    <w:rsid w:val="0075410D"/>
    <w:rsid w:val="007A62E6"/>
    <w:rsid w:val="0080684C"/>
    <w:rsid w:val="008204DA"/>
    <w:rsid w:val="008535AD"/>
    <w:rsid w:val="00871C75"/>
    <w:rsid w:val="008767E8"/>
    <w:rsid w:val="008776DC"/>
    <w:rsid w:val="00883605"/>
    <w:rsid w:val="008B6511"/>
    <w:rsid w:val="008E6043"/>
    <w:rsid w:val="00961E7B"/>
    <w:rsid w:val="009705C8"/>
    <w:rsid w:val="009C1CF4"/>
    <w:rsid w:val="009F02C9"/>
    <w:rsid w:val="00A30353"/>
    <w:rsid w:val="00A62D91"/>
    <w:rsid w:val="00A90D54"/>
    <w:rsid w:val="00AA113A"/>
    <w:rsid w:val="00AC3823"/>
    <w:rsid w:val="00AE323C"/>
    <w:rsid w:val="00AF774C"/>
    <w:rsid w:val="00B00181"/>
    <w:rsid w:val="00B00B0D"/>
    <w:rsid w:val="00B40927"/>
    <w:rsid w:val="00B50E25"/>
    <w:rsid w:val="00B64918"/>
    <w:rsid w:val="00B765F7"/>
    <w:rsid w:val="00BA0CA9"/>
    <w:rsid w:val="00C02897"/>
    <w:rsid w:val="00C1626B"/>
    <w:rsid w:val="00C66A47"/>
    <w:rsid w:val="00C7616F"/>
    <w:rsid w:val="00CB16B5"/>
    <w:rsid w:val="00CE0608"/>
    <w:rsid w:val="00D3439C"/>
    <w:rsid w:val="00D44CF3"/>
    <w:rsid w:val="00D46C8C"/>
    <w:rsid w:val="00DB1831"/>
    <w:rsid w:val="00DD3BFD"/>
    <w:rsid w:val="00DE239D"/>
    <w:rsid w:val="00DF431C"/>
    <w:rsid w:val="00DF6678"/>
    <w:rsid w:val="00E01041"/>
    <w:rsid w:val="00E428C8"/>
    <w:rsid w:val="00E8382F"/>
    <w:rsid w:val="00EF2E22"/>
    <w:rsid w:val="00F0592C"/>
    <w:rsid w:val="00F06ED4"/>
    <w:rsid w:val="00F43289"/>
    <w:rsid w:val="00F660DF"/>
    <w:rsid w:val="00F95C08"/>
    <w:rsid w:val="00FD1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9961970"/>
  <w15:docId w15:val="{3A8CA87D-27CB-4970-A692-C00C1F048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CH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iPriority="0" w:unhideWhenUsed="1" w:qFormat="1"/>
    <w:lsdException w:name="endnote text" w:semiHidden="1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50E25"/>
    <w:pPr>
      <w:suppressAutoHyphens/>
      <w:kinsoku w:val="0"/>
      <w:overflowPunct w:val="0"/>
      <w:autoSpaceDE w:val="0"/>
      <w:autoSpaceDN w:val="0"/>
      <w:adjustRightInd w:val="0"/>
      <w:snapToGrid w:val="0"/>
      <w:spacing w:after="0" w:line="240" w:lineRule="atLeast"/>
    </w:pPr>
  </w:style>
  <w:style w:type="paragraph" w:styleId="Heading1">
    <w:name w:val="heading 1"/>
    <w:aliases w:val="Table_G"/>
    <w:basedOn w:val="SingleTxtG"/>
    <w:next w:val="SingleTxtG"/>
    <w:link w:val="Heading1Char"/>
    <w:qFormat/>
    <w:rsid w:val="0080684C"/>
    <w:pPr>
      <w:keepNext/>
      <w:keepLines/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link w:val="Heading2Char"/>
    <w:semiHidden/>
    <w:qFormat/>
    <w:rsid w:val="00023842"/>
    <w:pPr>
      <w:outlineLvl w:val="1"/>
    </w:pPr>
  </w:style>
  <w:style w:type="paragraph" w:styleId="Heading3">
    <w:name w:val="heading 3"/>
    <w:basedOn w:val="Normal"/>
    <w:next w:val="Normal"/>
    <w:link w:val="Heading3Char"/>
    <w:semiHidden/>
    <w:qFormat/>
    <w:rsid w:val="00023842"/>
    <w:pPr>
      <w:outlineLvl w:val="2"/>
    </w:pPr>
  </w:style>
  <w:style w:type="paragraph" w:styleId="Heading4">
    <w:name w:val="heading 4"/>
    <w:basedOn w:val="Normal"/>
    <w:next w:val="Normal"/>
    <w:link w:val="Heading4Char"/>
    <w:semiHidden/>
    <w:qFormat/>
    <w:rsid w:val="00023842"/>
    <w:pPr>
      <w:outlineLvl w:val="3"/>
    </w:pPr>
  </w:style>
  <w:style w:type="paragraph" w:styleId="Heading5">
    <w:name w:val="heading 5"/>
    <w:basedOn w:val="Normal"/>
    <w:next w:val="Normal"/>
    <w:link w:val="Heading5Char"/>
    <w:semiHidden/>
    <w:qFormat/>
    <w:rsid w:val="00023842"/>
    <w:pPr>
      <w:outlineLvl w:val="4"/>
    </w:pPr>
  </w:style>
  <w:style w:type="paragraph" w:styleId="Heading6">
    <w:name w:val="heading 6"/>
    <w:basedOn w:val="Normal"/>
    <w:next w:val="Normal"/>
    <w:link w:val="Heading6Char"/>
    <w:semiHidden/>
    <w:qFormat/>
    <w:rsid w:val="00023842"/>
    <w:pPr>
      <w:outlineLvl w:val="5"/>
    </w:pPr>
  </w:style>
  <w:style w:type="paragraph" w:styleId="Heading7">
    <w:name w:val="heading 7"/>
    <w:basedOn w:val="Normal"/>
    <w:next w:val="Normal"/>
    <w:link w:val="Heading7Char"/>
    <w:semiHidden/>
    <w:qFormat/>
    <w:rsid w:val="00023842"/>
    <w:pPr>
      <w:outlineLvl w:val="6"/>
    </w:pPr>
  </w:style>
  <w:style w:type="paragraph" w:styleId="Heading8">
    <w:name w:val="heading 8"/>
    <w:basedOn w:val="Normal"/>
    <w:next w:val="Normal"/>
    <w:link w:val="Heading8Char"/>
    <w:semiHidden/>
    <w:qFormat/>
    <w:rsid w:val="00023842"/>
    <w:pPr>
      <w:outlineLvl w:val="7"/>
    </w:pPr>
  </w:style>
  <w:style w:type="paragraph" w:styleId="Heading9">
    <w:name w:val="heading 9"/>
    <w:basedOn w:val="Normal"/>
    <w:next w:val="Normal"/>
    <w:link w:val="Heading9Char"/>
    <w:semiHidden/>
    <w:qFormat/>
    <w:rsid w:val="00023842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6_G"/>
    <w:basedOn w:val="Normal"/>
    <w:next w:val="Normal"/>
    <w:link w:val="HeaderChar"/>
    <w:qFormat/>
    <w:rsid w:val="0080684C"/>
    <w:pPr>
      <w:pBdr>
        <w:bottom w:val="single" w:sz="4" w:space="4" w:color="auto"/>
      </w:pBdr>
      <w:spacing w:line="240" w:lineRule="auto"/>
    </w:pPr>
    <w:rPr>
      <w:b/>
      <w:sz w:val="18"/>
    </w:rPr>
  </w:style>
  <w:style w:type="character" w:customStyle="1" w:styleId="HeaderChar">
    <w:name w:val="Header Char"/>
    <w:aliases w:val="6_G Char"/>
    <w:basedOn w:val="DefaultParagraphFont"/>
    <w:link w:val="Header"/>
    <w:rsid w:val="0080684C"/>
    <w:rPr>
      <w:rFonts w:ascii="Times New Roman" w:eastAsia="Times New Roman" w:hAnsi="Times New Roman" w:cs="Times New Roman"/>
      <w:b/>
      <w:sz w:val="18"/>
      <w:szCs w:val="20"/>
      <w:lang w:eastAsia="en-US"/>
    </w:rPr>
  </w:style>
  <w:style w:type="paragraph" w:styleId="Footer">
    <w:name w:val="footer"/>
    <w:aliases w:val="3_G"/>
    <w:basedOn w:val="Normal"/>
    <w:next w:val="Normal"/>
    <w:link w:val="FooterChar"/>
    <w:qFormat/>
    <w:rsid w:val="0080684C"/>
    <w:pPr>
      <w:spacing w:line="240" w:lineRule="auto"/>
    </w:pPr>
    <w:rPr>
      <w:sz w:val="16"/>
    </w:rPr>
  </w:style>
  <w:style w:type="character" w:customStyle="1" w:styleId="FooterChar">
    <w:name w:val="Footer Char"/>
    <w:aliases w:val="3_G Char"/>
    <w:basedOn w:val="DefaultParagraphFont"/>
    <w:link w:val="Footer"/>
    <w:rsid w:val="0080684C"/>
    <w:rPr>
      <w:rFonts w:ascii="Times New Roman" w:eastAsia="Times New Roman" w:hAnsi="Times New Roman" w:cs="Times New Roman"/>
      <w:sz w:val="16"/>
      <w:szCs w:val="20"/>
      <w:lang w:eastAsia="en-US"/>
    </w:rPr>
  </w:style>
  <w:style w:type="paragraph" w:customStyle="1" w:styleId="HMG">
    <w:name w:val="_ H __M_G"/>
    <w:basedOn w:val="Normal"/>
    <w:next w:val="Normal"/>
    <w:qFormat/>
    <w:rsid w:val="0080684C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qFormat/>
    <w:rsid w:val="0080684C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paragraph" w:customStyle="1" w:styleId="H1G">
    <w:name w:val="_ H_1_G"/>
    <w:basedOn w:val="Normal"/>
    <w:next w:val="Normal"/>
    <w:qFormat/>
    <w:rsid w:val="0080684C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qFormat/>
    <w:rsid w:val="0080684C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qFormat/>
    <w:rsid w:val="0080684C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qFormat/>
    <w:rsid w:val="00871C75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paragraph" w:customStyle="1" w:styleId="SingleTxtG">
    <w:name w:val="_ Single Txt_G"/>
    <w:basedOn w:val="Normal"/>
    <w:link w:val="SingleTxtGChar"/>
    <w:qFormat/>
    <w:rsid w:val="0080684C"/>
    <w:pPr>
      <w:spacing w:after="120"/>
      <w:ind w:left="1134" w:right="1134"/>
      <w:jc w:val="both"/>
    </w:pPr>
  </w:style>
  <w:style w:type="paragraph" w:customStyle="1" w:styleId="SLG">
    <w:name w:val="__S_L_G"/>
    <w:basedOn w:val="Normal"/>
    <w:next w:val="Normal"/>
    <w:rsid w:val="0080684C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MG">
    <w:name w:val="__S_M_G"/>
    <w:basedOn w:val="Normal"/>
    <w:next w:val="Normal"/>
    <w:rsid w:val="0080684C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SG">
    <w:name w:val="__S_S_G"/>
    <w:basedOn w:val="Normal"/>
    <w:next w:val="Normal"/>
    <w:rsid w:val="0080684C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paragraph" w:customStyle="1" w:styleId="XLargeG">
    <w:name w:val="__XLarge_G"/>
    <w:basedOn w:val="Normal"/>
    <w:next w:val="Normal"/>
    <w:rsid w:val="00871C75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qFormat/>
    <w:rsid w:val="0080684C"/>
    <w:pPr>
      <w:numPr>
        <w:numId w:val="1"/>
      </w:numPr>
      <w:spacing w:after="120"/>
      <w:ind w:right="1134"/>
      <w:jc w:val="both"/>
    </w:pPr>
  </w:style>
  <w:style w:type="paragraph" w:customStyle="1" w:styleId="Bullet2G">
    <w:name w:val="_Bullet 2_G"/>
    <w:basedOn w:val="Normal"/>
    <w:qFormat/>
    <w:rsid w:val="0080684C"/>
    <w:pPr>
      <w:numPr>
        <w:numId w:val="2"/>
      </w:numPr>
      <w:spacing w:after="120"/>
      <w:ind w:right="1134"/>
      <w:jc w:val="both"/>
    </w:pPr>
  </w:style>
  <w:style w:type="paragraph" w:customStyle="1" w:styleId="ParNoG">
    <w:name w:val="_ParNo_G"/>
    <w:basedOn w:val="Normal"/>
    <w:qFormat/>
    <w:rsid w:val="00DF6678"/>
    <w:pPr>
      <w:numPr>
        <w:numId w:val="3"/>
      </w:numPr>
      <w:tabs>
        <w:tab w:val="clear" w:pos="1701"/>
      </w:tabs>
      <w:spacing w:after="120"/>
      <w:ind w:right="1134"/>
      <w:jc w:val="both"/>
    </w:pPr>
  </w:style>
  <w:style w:type="character" w:styleId="FootnoteReference">
    <w:name w:val="footnote reference"/>
    <w:aliases w:val="4_G,Footnote Reference/,4_GR"/>
    <w:basedOn w:val="DefaultParagraphFont"/>
    <w:qFormat/>
    <w:rsid w:val="00023842"/>
    <w:rPr>
      <w:rFonts w:ascii="Times New Roman" w:hAnsi="Times New Roman"/>
      <w:sz w:val="18"/>
      <w:vertAlign w:val="superscript"/>
      <w:lang w:val="fr-CH"/>
    </w:rPr>
  </w:style>
  <w:style w:type="character" w:styleId="EndnoteReference">
    <w:name w:val="endnote reference"/>
    <w:aliases w:val="1_G"/>
    <w:basedOn w:val="FootnoteReference"/>
    <w:qFormat/>
    <w:rsid w:val="00023842"/>
    <w:rPr>
      <w:rFonts w:ascii="Times New Roman" w:hAnsi="Times New Roman"/>
      <w:sz w:val="18"/>
      <w:vertAlign w:val="superscript"/>
      <w:lang w:val="fr-CH"/>
    </w:rPr>
  </w:style>
  <w:style w:type="table" w:styleId="TableGrid">
    <w:name w:val="Table Grid"/>
    <w:basedOn w:val="TableNormal"/>
    <w:rsid w:val="00023842"/>
    <w:pPr>
      <w:suppressAutoHyphens/>
      <w:spacing w:after="0"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nhideWhenUsed/>
    <w:rsid w:val="00706363"/>
    <w:rPr>
      <w:color w:val="0000FF"/>
      <w:u w:val="none"/>
    </w:rPr>
  </w:style>
  <w:style w:type="character" w:styleId="FollowedHyperlink">
    <w:name w:val="FollowedHyperlink"/>
    <w:basedOn w:val="DefaultParagraphFont"/>
    <w:unhideWhenUsed/>
    <w:rsid w:val="00706363"/>
    <w:rPr>
      <w:color w:val="0000FF"/>
      <w:u w:val="none"/>
    </w:rPr>
  </w:style>
  <w:style w:type="paragraph" w:styleId="FootnoteText">
    <w:name w:val="footnote text"/>
    <w:aliases w:val="5_G"/>
    <w:basedOn w:val="Normal"/>
    <w:link w:val="FootnoteTextChar"/>
    <w:qFormat/>
    <w:rsid w:val="0080684C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character" w:customStyle="1" w:styleId="FootnoteTextChar">
    <w:name w:val="Footnote Text Char"/>
    <w:aliases w:val="5_G Char"/>
    <w:basedOn w:val="DefaultParagraphFont"/>
    <w:link w:val="FootnoteText"/>
    <w:rsid w:val="0080684C"/>
    <w:rPr>
      <w:rFonts w:ascii="Times New Roman" w:eastAsia="Times New Roman" w:hAnsi="Times New Roman" w:cs="Times New Roman"/>
      <w:sz w:val="18"/>
      <w:szCs w:val="20"/>
      <w:lang w:eastAsia="en-US"/>
    </w:rPr>
  </w:style>
  <w:style w:type="paragraph" w:styleId="EndnoteText">
    <w:name w:val="endnote text"/>
    <w:aliases w:val="2_G"/>
    <w:basedOn w:val="FootnoteText"/>
    <w:link w:val="EndnoteTextChar"/>
    <w:qFormat/>
    <w:rsid w:val="0080684C"/>
  </w:style>
  <w:style w:type="character" w:customStyle="1" w:styleId="EndnoteTextChar">
    <w:name w:val="Endnote Text Char"/>
    <w:aliases w:val="2_G Char"/>
    <w:basedOn w:val="DefaultParagraphFont"/>
    <w:link w:val="EndnoteText"/>
    <w:rsid w:val="0080684C"/>
    <w:rPr>
      <w:rFonts w:ascii="Times New Roman" w:eastAsia="Times New Roman" w:hAnsi="Times New Roman" w:cs="Times New Roman"/>
      <w:sz w:val="18"/>
      <w:szCs w:val="20"/>
      <w:lang w:eastAsia="en-US"/>
    </w:rPr>
  </w:style>
  <w:style w:type="character" w:styleId="PageNumber">
    <w:name w:val="page number"/>
    <w:aliases w:val="7_G"/>
    <w:basedOn w:val="DefaultParagraphFont"/>
    <w:qFormat/>
    <w:rsid w:val="00023842"/>
    <w:rPr>
      <w:rFonts w:ascii="Times New Roman" w:hAnsi="Times New Roman"/>
      <w:b/>
      <w:sz w:val="18"/>
      <w:lang w:val="fr-CH"/>
    </w:rPr>
  </w:style>
  <w:style w:type="character" w:customStyle="1" w:styleId="Heading1Char">
    <w:name w:val="Heading 1 Char"/>
    <w:aliases w:val="Table_G Char"/>
    <w:basedOn w:val="DefaultParagraphFont"/>
    <w:link w:val="Heading1"/>
    <w:rsid w:val="0080684C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33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3FD"/>
    <w:rPr>
      <w:rFonts w:ascii="Tahoma" w:hAnsi="Tahoma" w:cs="Tahoma"/>
      <w:sz w:val="16"/>
      <w:szCs w:val="16"/>
      <w:lang w:eastAsia="en-US"/>
    </w:rPr>
  </w:style>
  <w:style w:type="character" w:customStyle="1" w:styleId="SingleTxtGChar">
    <w:name w:val="_ Single Txt_G Char"/>
    <w:link w:val="SingleTxtG"/>
    <w:qFormat/>
    <w:rsid w:val="0001207F"/>
    <w:rPr>
      <w:rFonts w:ascii="Times New Roman" w:hAnsi="Times New Roman" w:cs="Times New Roman"/>
      <w:sz w:val="20"/>
      <w:szCs w:val="20"/>
      <w:lang w:eastAsia="en-US"/>
    </w:rPr>
  </w:style>
  <w:style w:type="character" w:customStyle="1" w:styleId="HChGChar">
    <w:name w:val="_ H _Ch_G Char"/>
    <w:link w:val="HChG"/>
    <w:qFormat/>
    <w:rsid w:val="0001207F"/>
    <w:rPr>
      <w:rFonts w:ascii="Times New Roman" w:hAnsi="Times New Roman" w:cs="Times New Roman"/>
      <w:b/>
      <w:sz w:val="28"/>
      <w:szCs w:val="20"/>
      <w:lang w:eastAsia="en-US"/>
    </w:rPr>
  </w:style>
  <w:style w:type="character" w:customStyle="1" w:styleId="H1GChar">
    <w:name w:val="_ H_1_G Char"/>
    <w:qFormat/>
    <w:rsid w:val="00E8382F"/>
    <w:rPr>
      <w:b/>
      <w:sz w:val="24"/>
      <w:lang w:val="fr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34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Templates\UN-Docs2017\Templates\TRANS\TRANS_WP1_24_F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TRANS_WP1_24_F.dotm</Template>
  <TotalTime>3</TotalTime>
  <Pages>3</Pages>
  <Words>506</Words>
  <Characters>2866</Characters>
  <Application>Microsoft Office Word</Application>
  <DocSecurity>0</DocSecurity>
  <Lines>58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ECE/TRANS/WP.15/AC.1/2020/54</vt:lpstr>
      <vt:lpstr>ECE/TRANS/WP.15/AC.1/2020/54</vt:lpstr>
    </vt:vector>
  </TitlesOfParts>
  <Company>DCM</Company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ECE/TRANS/WP.15/AC.1/2020/54</dc:title>
  <dc:subject>FINAL</dc:subject>
  <dc:creator>Christine Barrio-Champeau</dc:creator>
  <cp:keywords/>
  <dc:description/>
  <cp:lastModifiedBy>Christine Barrio-Champeau</cp:lastModifiedBy>
  <cp:revision>4</cp:revision>
  <cp:lastPrinted>2014-05-14T10:59:00Z</cp:lastPrinted>
  <dcterms:created xsi:type="dcterms:W3CDTF">2020-06-25T09:00:00Z</dcterms:created>
  <dcterms:modified xsi:type="dcterms:W3CDTF">2020-06-25T13:26:00Z</dcterms:modified>
</cp:coreProperties>
</file>