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914A5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4D9CBDA" w14:textId="77777777" w:rsidR="002D5AAC" w:rsidRDefault="002D5AAC" w:rsidP="006D13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26E397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9F912D" w14:textId="77777777" w:rsidR="002D5AAC" w:rsidRDefault="006D13DF" w:rsidP="006D13DF">
            <w:pPr>
              <w:jc w:val="right"/>
            </w:pPr>
            <w:r w:rsidRPr="006D13DF">
              <w:rPr>
                <w:sz w:val="40"/>
              </w:rPr>
              <w:t>ECE</w:t>
            </w:r>
            <w:r>
              <w:t>/TRANS/WP.15/AC.1/2020/4</w:t>
            </w:r>
          </w:p>
        </w:tc>
      </w:tr>
      <w:tr w:rsidR="002D5AAC" w14:paraId="02838F5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DE6B3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38EC79" wp14:editId="21D4A1C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C2DA0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E32B387" w14:textId="77777777" w:rsidR="002D5AAC" w:rsidRDefault="006D13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1E275A" w14:textId="77777777" w:rsidR="006D13DF" w:rsidRDefault="006D13DF" w:rsidP="006D1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41D85673" w14:textId="77777777" w:rsidR="006D13DF" w:rsidRDefault="006D13DF" w:rsidP="006D1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7960CE" w14:textId="77777777" w:rsidR="006D13DF" w:rsidRPr="008D53B6" w:rsidRDefault="006D13DF" w:rsidP="006D13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1DA6B0" w14:textId="77777777" w:rsidR="006D13DF" w:rsidRPr="000377D8" w:rsidRDefault="006D13DF" w:rsidP="006D13DF">
      <w:pPr>
        <w:spacing w:before="120"/>
        <w:rPr>
          <w:b/>
          <w:sz w:val="28"/>
          <w:szCs w:val="28"/>
        </w:rPr>
      </w:pPr>
      <w:r w:rsidRPr="000377D8">
        <w:rPr>
          <w:b/>
          <w:bCs/>
          <w:sz w:val="28"/>
          <w:szCs w:val="28"/>
        </w:rPr>
        <w:t>Европейская экономическая комиссия</w:t>
      </w:r>
    </w:p>
    <w:p w14:paraId="68907160" w14:textId="77777777" w:rsidR="006D13DF" w:rsidRPr="000377D8" w:rsidRDefault="006D13DF" w:rsidP="006D13DF">
      <w:pPr>
        <w:spacing w:before="120"/>
        <w:rPr>
          <w:sz w:val="28"/>
          <w:szCs w:val="28"/>
        </w:rPr>
      </w:pPr>
      <w:r w:rsidRPr="000377D8">
        <w:rPr>
          <w:sz w:val="28"/>
          <w:szCs w:val="28"/>
        </w:rPr>
        <w:t>Комитет по внутреннему транспорту</w:t>
      </w:r>
    </w:p>
    <w:p w14:paraId="085A4CA1" w14:textId="77777777" w:rsidR="006D13DF" w:rsidRPr="000377D8" w:rsidRDefault="006D13DF" w:rsidP="006D13DF">
      <w:pPr>
        <w:spacing w:before="120" w:after="120"/>
        <w:rPr>
          <w:b/>
          <w:sz w:val="24"/>
          <w:szCs w:val="24"/>
        </w:rPr>
      </w:pPr>
      <w:r w:rsidRPr="000377D8">
        <w:rPr>
          <w:b/>
          <w:bCs/>
          <w:sz w:val="24"/>
          <w:szCs w:val="24"/>
        </w:rPr>
        <w:t>Рабочая группа по перевозкам опасных грузов</w:t>
      </w:r>
    </w:p>
    <w:p w14:paraId="0B3A821A" w14:textId="77777777" w:rsidR="006D13DF" w:rsidRPr="000377D8" w:rsidRDefault="006D13DF" w:rsidP="006D13DF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5E9DC91B" w14:textId="77777777" w:rsidR="006D13DF" w:rsidRPr="000377D8" w:rsidRDefault="006D13DF" w:rsidP="006D13DF">
      <w:r>
        <w:t>Берн, 16–20 марта 2020 года</w:t>
      </w:r>
    </w:p>
    <w:p w14:paraId="6638EA59" w14:textId="77777777" w:rsidR="006D13DF" w:rsidRPr="000377D8" w:rsidRDefault="006D13DF" w:rsidP="006D13DF">
      <w:r>
        <w:t>Пункт 5 b) предварительной повестки дня</w:t>
      </w:r>
    </w:p>
    <w:p w14:paraId="3083347F" w14:textId="77777777" w:rsidR="006D13DF" w:rsidRPr="000377D8" w:rsidRDefault="006D13DF" w:rsidP="006D13DF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3481AFA6" w14:textId="77777777" w:rsidR="006D13DF" w:rsidRPr="000377D8" w:rsidRDefault="006D13DF" w:rsidP="006D13DF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6E3C4007" w14:textId="77777777" w:rsidR="006D13DF" w:rsidRPr="000377D8" w:rsidRDefault="006D13DF" w:rsidP="006D13DF">
      <w:pPr>
        <w:pStyle w:val="HChG"/>
      </w:pPr>
      <w:r>
        <w:tab/>
      </w:r>
      <w:r>
        <w:tab/>
        <w:t xml:space="preserve">Пункт 4.1.6.15 МПОГ/ДОПОГ – стандарты </w:t>
      </w:r>
      <w:r w:rsidRPr="001964B4">
        <w:t>на</w:t>
      </w:r>
      <w:r>
        <w:t xml:space="preserve"> защитные устройства вентилей</w:t>
      </w:r>
    </w:p>
    <w:p w14:paraId="18714CBF" w14:textId="77777777" w:rsidR="006D13DF" w:rsidRDefault="006D13DF" w:rsidP="006D13DF">
      <w:pPr>
        <w:pStyle w:val="H1G"/>
        <w:rPr>
          <w:bCs/>
        </w:rPr>
      </w:pPr>
      <w:r>
        <w:tab/>
      </w:r>
      <w:r>
        <w:tab/>
        <w:t>Передано правительством Германии</w:t>
      </w:r>
      <w:r w:rsidRPr="006D13D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6D13DF">
        <w:rPr>
          <w:b w:val="0"/>
        </w:rPr>
        <w:t xml:space="preserve"> </w:t>
      </w:r>
      <w:r w:rsidRPr="006D13D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6D13DF" w14:paraId="29F6B1B6" w14:textId="77777777" w:rsidTr="00A408CF">
        <w:trPr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9A0D22" w14:textId="77777777" w:rsidR="006D13DF" w:rsidRPr="001964B4" w:rsidRDefault="006D13DF" w:rsidP="00A408CF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1964B4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6D13DF" w:rsidRPr="0052559F" w14:paraId="0D611FD6" w14:textId="77777777" w:rsidTr="00A408CF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C5D38" w14:textId="77777777" w:rsidR="006D13DF" w:rsidRPr="00FA123C" w:rsidRDefault="006D13DF" w:rsidP="00A408CF">
            <w:pPr>
              <w:tabs>
                <w:tab w:val="left" w:pos="3260"/>
              </w:tabs>
              <w:spacing w:after="120"/>
              <w:ind w:left="3260" w:right="715" w:hanging="2409"/>
              <w:jc w:val="both"/>
            </w:pPr>
            <w:r>
              <w:rPr>
                <w:b/>
                <w:bCs/>
              </w:rPr>
              <w:t>Существо предложения:</w:t>
            </w:r>
            <w:r>
              <w:t xml:space="preserve"> </w:t>
            </w:r>
            <w:r>
              <w:tab/>
              <w:t>Цель настоящего предложения состоит в том, чтобы уточнить, какие стандарты могут использоваться в случае реализуемых на рынке новых защитных устройств вентилей.</w:t>
            </w:r>
          </w:p>
        </w:tc>
      </w:tr>
      <w:tr w:rsidR="006D13DF" w:rsidRPr="00790EC0" w14:paraId="78DFF9CD" w14:textId="77777777" w:rsidTr="00A408CF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0F1D32" w14:textId="77777777" w:rsidR="006D13DF" w:rsidRPr="000377D8" w:rsidRDefault="006D13DF" w:rsidP="00A408CF">
            <w:pPr>
              <w:tabs>
                <w:tab w:val="left" w:pos="3260"/>
              </w:tabs>
              <w:spacing w:after="120"/>
              <w:ind w:left="3260" w:right="715" w:hanging="2409"/>
              <w:jc w:val="both"/>
            </w:pPr>
            <w:r>
              <w:rPr>
                <w:b/>
                <w:bCs/>
              </w:rPr>
              <w:t>Предлагаемое решение:</w:t>
            </w:r>
            <w:r>
              <w:t xml:space="preserve"> Дополнить таблицу, содержащуюся в пункте 4.1.6.15 МПОГ/ДОПОГ.</w:t>
            </w:r>
          </w:p>
        </w:tc>
      </w:tr>
      <w:tr w:rsidR="006D13DF" w:rsidRPr="00790EC0" w14:paraId="0083DD8C" w14:textId="77777777" w:rsidTr="00A408CF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F2A3A" w14:textId="77777777" w:rsidR="006D13DF" w:rsidRPr="000377D8" w:rsidRDefault="006D13DF" w:rsidP="00A408CF">
            <w:pPr>
              <w:tabs>
                <w:tab w:val="left" w:pos="3260"/>
              </w:tabs>
              <w:ind w:left="3260" w:right="1134" w:hanging="2126"/>
              <w:rPr>
                <w:b/>
              </w:rPr>
            </w:pPr>
          </w:p>
        </w:tc>
      </w:tr>
      <w:tr w:rsidR="006D13DF" w:rsidRPr="00790EC0" w14:paraId="1B7F488C" w14:textId="77777777" w:rsidTr="00A408CF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B9B" w14:textId="77777777" w:rsidR="006D13DF" w:rsidRPr="000377D8" w:rsidRDefault="006D13DF" w:rsidP="00A408CF"/>
        </w:tc>
      </w:tr>
    </w:tbl>
    <w:p w14:paraId="7D0EDCA0" w14:textId="77777777" w:rsidR="006D13DF" w:rsidRPr="000377D8" w:rsidRDefault="006D13DF" w:rsidP="006D13DF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E32E80D" w14:textId="77777777" w:rsidR="006D13DF" w:rsidRPr="000377D8" w:rsidRDefault="006D13DF" w:rsidP="006D13DF">
      <w:pPr>
        <w:pStyle w:val="SingleTxtG"/>
      </w:pPr>
      <w:r>
        <w:t>1.</w:t>
      </w:r>
      <w:r>
        <w:tab/>
        <w:t>В пункте 4.1.6.15 МПОГ/ДОПОГ перечисляются стандарты на защитные устройства вентилей, которые должны использоваться для сосудов под давлением «UN» в целях выполнения требований пункта 4.1.6.8 b) и с) МПОГ/ДОПОГ. В</w:t>
      </w:r>
      <w:r>
        <w:rPr>
          <w:lang w:val="en-US"/>
        </w:rPr>
        <w:t> </w:t>
      </w:r>
      <w:r>
        <w:t>отношении других сосудов под давлением положения раздела 4.1.6 МПОГ/ДОПОГ считаются выполненными, если, в зависимости от конкретного случая, применяются соответствующие стандарты, указанные в таблице в пункте 4.1.6.15 МПОГ/ДОПОГ.</w:t>
      </w:r>
    </w:p>
    <w:p w14:paraId="41FD135D" w14:textId="77777777" w:rsidR="006D13DF" w:rsidRPr="000377D8" w:rsidRDefault="006D13DF" w:rsidP="006D13DF">
      <w:pPr>
        <w:pStyle w:val="SingleTxtG"/>
      </w:pPr>
      <w:r>
        <w:lastRenderedPageBreak/>
        <w:t>2.</w:t>
      </w:r>
      <w:r>
        <w:tab/>
        <w:t>Некоторые из стандартов на защитные устройства вентилей, приведенные в таблице в пункте 4.1.6.15 МПОГ/ДОПОГ, являются старыми стандартами, которые были отозваны. Они указаны для того, чтобы обеспечить возможность дальнейшего использования защитных устройств вентилей, выпущенных на рынок в соответствии с этими стандартами в прошлом.</w:t>
      </w:r>
    </w:p>
    <w:p w14:paraId="24DCAC0E" w14:textId="77777777" w:rsidR="006D13DF" w:rsidRPr="000377D8" w:rsidRDefault="006D13DF" w:rsidP="006D13DF">
      <w:pPr>
        <w:pStyle w:val="SingleTxtG"/>
      </w:pPr>
      <w:r>
        <w:t>3.</w:t>
      </w:r>
      <w:r>
        <w:tab/>
        <w:t xml:space="preserve">Вместе с тем это не только позволяет продолжать использовать новые защитные устройства вентилей для сосудов под давлением, не являющихся сосудами «UN», но и означает, что они могут по-прежнему производиться и поступать </w:t>
      </w:r>
      <w:r w:rsidR="00C77492">
        <w:br/>
      </w:r>
      <w:r>
        <w:t>на рынок в соответствии со старыми стандартами, перечисленными в пункте 4.1.6.15 МПОГ/ДОПОГ. Таким образом, в настоящее время разрешено производить и</w:t>
      </w:r>
      <w:r w:rsidR="00C77492">
        <w:rPr>
          <w:lang w:val="en-US"/>
        </w:rPr>
        <w:t> </w:t>
      </w:r>
      <w:r>
        <w:t xml:space="preserve">продавать защитные устройства вентилей в соответствии со стандартом </w:t>
      </w:r>
      <w:r w:rsidR="00C77492">
        <w:br/>
      </w:r>
      <w:r>
        <w:t>EN 962:1996 + A2:2000, несмотря на то, что этот стандарт был отозван и не требует (пока еще) каких-либо соответствующих дополнительных шагов в плане испытания в соответствии со стандартом EN ISO 11117:2008 + Cor. 1:2009.</w:t>
      </w:r>
    </w:p>
    <w:p w14:paraId="40C163B0" w14:textId="77777777" w:rsidR="006D13DF" w:rsidRPr="000377D8" w:rsidRDefault="006D13DF" w:rsidP="006D13DF">
      <w:pPr>
        <w:pStyle w:val="SingleTxtG"/>
      </w:pPr>
      <w:r>
        <w:t>4.</w:t>
      </w:r>
      <w:r>
        <w:tab/>
        <w:t>Такой проблемы не существует для сосудов под давлением «UN», поскольку в данном случае подраздел 6.2.2.3 МПОГ/ДОПОГ обязывает применять действующий стандарт ISO 11117:2008 + A1:2009. В то же время в подразделе 6.2.4.1 МПОГ/ДОПОГ не приводится какого-либо стандарта на защитные устройства клапанов.</w:t>
      </w:r>
    </w:p>
    <w:p w14:paraId="561A1F2B" w14:textId="77777777" w:rsidR="006D13DF" w:rsidRPr="000377D8" w:rsidRDefault="006D13DF" w:rsidP="006D13DF">
      <w:pPr>
        <w:pStyle w:val="SingleTxtG"/>
      </w:pPr>
      <w:r>
        <w:t>5.</w:t>
      </w:r>
      <w:r>
        <w:tab/>
        <w:t>Этой проблемы не существует для запорных вентилей в соответствии с первым абзацем пункта 4.1.6.8 МПОГ/ДОПОГ и для вентилей, охватываемых стандартом ISO</w:t>
      </w:r>
      <w:r>
        <w:rPr>
          <w:lang w:val="en-US"/>
        </w:rPr>
        <w:t> </w:t>
      </w:r>
      <w:r>
        <w:t>16111:2008, поскольку для официального утверждения типа конструкции необходимо обеспечить соблюдение применимого стандарта в соответствии с подразделом 6.2.4.1 МПОГ/ДОПОГ или подразделом 6.2.2.3 МПОГ/ДОПОГ.</w:t>
      </w:r>
    </w:p>
    <w:p w14:paraId="432A925B" w14:textId="77777777" w:rsidR="006D13DF" w:rsidRPr="000377D8" w:rsidRDefault="006D13DF" w:rsidP="006D13DF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533D8FD0" w14:textId="77777777" w:rsidR="006D13DF" w:rsidRPr="000377D8" w:rsidRDefault="006D13DF" w:rsidP="006D13DF">
      <w:pPr>
        <w:pStyle w:val="SingleTxtG"/>
      </w:pPr>
      <w:r>
        <w:t>6.</w:t>
      </w:r>
      <w:r>
        <w:tab/>
        <w:t>Предлагается включить в таблицу, содержащуюся в пункте 4.1.6.15 МПОГ/ДОПОГ, колонку, соответствующую правой колонке таблиц, приведенных в подразделе 6.2.2.1 МПОГ/ДОПОГ.</w:t>
      </w:r>
    </w:p>
    <w:p w14:paraId="7BC307D5" w14:textId="77777777" w:rsidR="006D13DF" w:rsidRPr="000377D8" w:rsidRDefault="006D13DF" w:rsidP="006D13DF">
      <w:pPr>
        <w:pStyle w:val="SingleTxtG"/>
      </w:pPr>
      <w:r>
        <w:t>7.</w:t>
      </w:r>
      <w:r>
        <w:tab/>
        <w:t>Кроме того, для стандартов, применимых к вентилям с конструктивной защитой, предлагается исправить или впервые включить ссылку на применимый пункт стандарта (вместо нынешнего приложения, касающегося испытания на удар, указать фактическое требование с критерием приемлемости, имеющееся в стандарте, в котором, в случае некоторых стандартов, содержится ссылка на приложение по проведению испытания).</w:t>
      </w:r>
    </w:p>
    <w:p w14:paraId="04107E74" w14:textId="77777777" w:rsidR="006D13DF" w:rsidRPr="000377D8" w:rsidRDefault="006D13DF" w:rsidP="006D13DF">
      <w:pPr>
        <w:pStyle w:val="SingleTxtG"/>
      </w:pPr>
      <w:r>
        <w:t>8.</w:t>
      </w:r>
      <w:r>
        <w:tab/>
        <w:t>В итоге таблица в пункте 4.1.6.15 МПОГ/ДОПОГ будет иметь следующую редакцию:</w:t>
      </w:r>
    </w:p>
    <w:p w14:paraId="07CFD63A" w14:textId="77777777" w:rsidR="006D13DF" w:rsidRPr="00FA123C" w:rsidRDefault="006D13DF" w:rsidP="006D13DF">
      <w:pPr>
        <w:tabs>
          <w:tab w:val="left" w:pos="1418"/>
          <w:tab w:val="left" w:pos="2977"/>
          <w:tab w:val="left" w:pos="4395"/>
        </w:tabs>
        <w:spacing w:after="120"/>
        <w:ind w:left="1138" w:right="1138"/>
        <w:jc w:val="both"/>
        <w:rPr>
          <w:i/>
        </w:rPr>
      </w:pPr>
      <w:r>
        <w:rPr>
          <w:i/>
          <w:iCs/>
        </w:rPr>
        <w:t>Замечания: Поправки к пункту 4.1.6.15 МПОГ/ДОПОГ, которые планируется учесть в пересмотренном варианте МПОГ/ДОПОГ 2021 года, уже были приняты во внимание.</w:t>
      </w:r>
    </w:p>
    <w:p w14:paraId="4B5A1762" w14:textId="77777777" w:rsidR="006D13DF" w:rsidRPr="000377D8" w:rsidRDefault="006D13DF" w:rsidP="006D13DF">
      <w:pPr>
        <w:tabs>
          <w:tab w:val="left" w:pos="1418"/>
          <w:tab w:val="left" w:pos="2977"/>
          <w:tab w:val="left" w:pos="4395"/>
        </w:tabs>
        <w:ind w:left="1134" w:right="1134" w:firstLine="1"/>
        <w:jc w:val="both"/>
        <w:rPr>
          <w:i/>
        </w:rPr>
      </w:pPr>
      <w:r>
        <w:rPr>
          <w:i/>
          <w:iCs/>
        </w:rPr>
        <w:t xml:space="preserve">Исправленные и новые тексты показаны </w:t>
      </w:r>
      <w:r w:rsidRPr="00E86146">
        <w:rPr>
          <w:i/>
          <w:iCs/>
          <w:color w:val="FF0000"/>
        </w:rPr>
        <w:t xml:space="preserve">красным цветом </w:t>
      </w:r>
      <w:r>
        <w:rPr>
          <w:i/>
          <w:iCs/>
        </w:rPr>
        <w:t xml:space="preserve">и </w:t>
      </w:r>
      <w:r>
        <w:rPr>
          <w:i/>
          <w:iCs/>
          <w:u w:val="single"/>
        </w:rPr>
        <w:t>подчеркнуты</w:t>
      </w:r>
      <w:r>
        <w:rPr>
          <w:i/>
          <w:iCs/>
        </w:rPr>
        <w:t>.</w:t>
      </w:r>
    </w:p>
    <w:p w14:paraId="5A3FD9CD" w14:textId="77777777" w:rsidR="006D13DF" w:rsidRPr="000377D8" w:rsidRDefault="006D13DF" w:rsidP="006D13DF">
      <w:pPr>
        <w:suppressAutoHyphens w:val="0"/>
        <w:spacing w:line="240" w:lineRule="auto"/>
        <w:rPr>
          <w:i/>
        </w:rPr>
      </w:pPr>
      <w:r w:rsidRPr="000377D8">
        <w:rPr>
          <w:i/>
        </w:rPr>
        <w:br w:type="page"/>
      </w:r>
    </w:p>
    <w:tbl>
      <w:tblPr>
        <w:tblW w:w="9431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890"/>
        <w:gridCol w:w="4500"/>
        <w:gridCol w:w="1401"/>
      </w:tblGrid>
      <w:tr w:rsidR="006D13DF" w:rsidRPr="006D13DF" w14:paraId="235A50E8" w14:textId="77777777" w:rsidTr="00C77492">
        <w:tc>
          <w:tcPr>
            <w:tcW w:w="1640" w:type="dxa"/>
            <w:shd w:val="clear" w:color="auto" w:fill="auto"/>
            <w:vAlign w:val="bottom"/>
          </w:tcPr>
          <w:p w14:paraId="5E936716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b/>
                <w:bCs/>
                <w:sz w:val="18"/>
                <w:szCs w:val="18"/>
              </w:rPr>
              <w:lastRenderedPageBreak/>
              <w:t>Применимые пункты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57E69A1F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b/>
                <w:bCs/>
                <w:sz w:val="18"/>
                <w:szCs w:val="18"/>
              </w:rPr>
              <w:t>Ссылка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4B37D04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1401" w:type="dxa"/>
            <w:shd w:val="clear" w:color="auto" w:fill="auto"/>
            <w:vAlign w:val="bottom"/>
          </w:tcPr>
          <w:p w14:paraId="34CFCF8E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b/>
                <w:color w:val="FF0000"/>
                <w:sz w:val="18"/>
                <w:szCs w:val="18"/>
                <w:u w:val="single"/>
              </w:rPr>
            </w:pPr>
            <w:r w:rsidRPr="006D13DF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Применяется </w:t>
            </w:r>
            <w:r>
              <w:rPr>
                <w:b/>
                <w:bCs/>
                <w:color w:val="FF0000"/>
                <w:sz w:val="18"/>
                <w:szCs w:val="18"/>
                <w:u w:val="single"/>
              </w:rPr>
              <w:br/>
            </w:r>
            <w:r w:rsidRPr="006D13DF">
              <w:rPr>
                <w:b/>
                <w:bCs/>
                <w:color w:val="FF0000"/>
                <w:sz w:val="18"/>
                <w:szCs w:val="18"/>
                <w:u w:val="single"/>
              </w:rPr>
              <w:t>в отношении изготовления</w:t>
            </w:r>
          </w:p>
        </w:tc>
      </w:tr>
      <w:tr w:rsidR="006D13DF" w:rsidRPr="006D13DF" w14:paraId="324BE150" w14:textId="77777777" w:rsidTr="00C77492">
        <w:tc>
          <w:tcPr>
            <w:tcW w:w="1640" w:type="dxa"/>
            <w:vMerge w:val="restart"/>
            <w:shd w:val="clear" w:color="auto" w:fill="auto"/>
          </w:tcPr>
          <w:p w14:paraId="5ADE9159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4.1.6.2</w:t>
            </w:r>
          </w:p>
        </w:tc>
        <w:tc>
          <w:tcPr>
            <w:tcW w:w="1890" w:type="dxa"/>
            <w:shd w:val="clear" w:color="auto" w:fill="auto"/>
          </w:tcPr>
          <w:p w14:paraId="277ADE99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EN ISO 11114-</w:t>
            </w:r>
            <w:r w:rsidR="00C77492">
              <w:rPr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1:2012 +</w:t>
            </w:r>
            <w:r w:rsidR="00C77492">
              <w:rPr>
                <w:sz w:val="18"/>
                <w:szCs w:val="18"/>
                <w:lang w:val="en-US"/>
              </w:rPr>
              <w:t xml:space="preserve"> </w:t>
            </w:r>
            <w:r w:rsidRPr="006D13DF">
              <w:rPr>
                <w:sz w:val="18"/>
                <w:szCs w:val="18"/>
              </w:rPr>
              <w:t>A1:2017</w:t>
            </w:r>
          </w:p>
        </w:tc>
        <w:tc>
          <w:tcPr>
            <w:tcW w:w="4500" w:type="dxa"/>
            <w:shd w:val="clear" w:color="auto" w:fill="auto"/>
          </w:tcPr>
          <w:p w14:paraId="2FBA5033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Газовые баллоны – Совместимость материалов баллонов и вентилей с газовым содержимым – Часть 1: Металлические материалы</w:t>
            </w:r>
          </w:p>
        </w:tc>
        <w:tc>
          <w:tcPr>
            <w:tcW w:w="1401" w:type="dxa"/>
            <w:shd w:val="clear" w:color="auto" w:fill="auto"/>
          </w:tcPr>
          <w:p w14:paraId="19A38C59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–</w:t>
            </w:r>
          </w:p>
        </w:tc>
      </w:tr>
      <w:tr w:rsidR="006D13DF" w:rsidRPr="006D13DF" w14:paraId="741E0B54" w14:textId="77777777" w:rsidTr="00C77492">
        <w:tc>
          <w:tcPr>
            <w:tcW w:w="1640" w:type="dxa"/>
            <w:vMerge/>
            <w:shd w:val="clear" w:color="auto" w:fill="auto"/>
          </w:tcPr>
          <w:p w14:paraId="240F8FA2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405FDF7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EN ISO 11114-2:2013</w:t>
            </w:r>
          </w:p>
        </w:tc>
        <w:tc>
          <w:tcPr>
            <w:tcW w:w="4500" w:type="dxa"/>
            <w:shd w:val="clear" w:color="auto" w:fill="auto"/>
          </w:tcPr>
          <w:p w14:paraId="74ECA479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Газовые баллоны – Совместимость материалов баллонов и вентилей с газовым содержимым – Часть 2: Неметаллические материалы</w:t>
            </w:r>
          </w:p>
        </w:tc>
        <w:tc>
          <w:tcPr>
            <w:tcW w:w="1401" w:type="dxa"/>
            <w:shd w:val="clear" w:color="auto" w:fill="auto"/>
          </w:tcPr>
          <w:p w14:paraId="356EBB8E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–</w:t>
            </w:r>
          </w:p>
        </w:tc>
      </w:tr>
      <w:tr w:rsidR="006D13DF" w:rsidRPr="006D13DF" w14:paraId="13C610AF" w14:textId="77777777" w:rsidTr="00C77492">
        <w:tc>
          <w:tcPr>
            <w:tcW w:w="1640" w:type="dxa"/>
            <w:shd w:val="clear" w:color="auto" w:fill="auto"/>
          </w:tcPr>
          <w:p w14:paraId="3FA58010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4.1.6.4</w:t>
            </w:r>
          </w:p>
        </w:tc>
        <w:tc>
          <w:tcPr>
            <w:tcW w:w="1890" w:type="dxa"/>
            <w:shd w:val="clear" w:color="auto" w:fill="auto"/>
          </w:tcPr>
          <w:p w14:paraId="4B2ECB0A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ISO 11621:1997 или EN ISO 11621:2005</w:t>
            </w:r>
          </w:p>
        </w:tc>
        <w:tc>
          <w:tcPr>
            <w:tcW w:w="4500" w:type="dxa"/>
            <w:shd w:val="clear" w:color="auto" w:fill="auto"/>
          </w:tcPr>
          <w:p w14:paraId="5D3027AE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Газовые баллоны – Процедуры подготовки под другие газы</w:t>
            </w:r>
          </w:p>
        </w:tc>
        <w:tc>
          <w:tcPr>
            <w:tcW w:w="1401" w:type="dxa"/>
            <w:shd w:val="clear" w:color="auto" w:fill="auto"/>
          </w:tcPr>
          <w:p w14:paraId="1B6F3161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–</w:t>
            </w:r>
          </w:p>
        </w:tc>
      </w:tr>
      <w:tr w:rsidR="006D13DF" w:rsidRPr="006D13DF" w14:paraId="45C661D3" w14:textId="77777777" w:rsidTr="00C77492">
        <w:tc>
          <w:tcPr>
            <w:tcW w:w="1640" w:type="dxa"/>
            <w:vMerge w:val="restart"/>
            <w:shd w:val="clear" w:color="auto" w:fill="auto"/>
          </w:tcPr>
          <w:p w14:paraId="307AD720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4.1.6.8 Вентили с конструктивной защитой</w:t>
            </w:r>
          </w:p>
        </w:tc>
        <w:tc>
          <w:tcPr>
            <w:tcW w:w="1890" w:type="dxa"/>
            <w:shd w:val="clear" w:color="auto" w:fill="auto"/>
          </w:tcPr>
          <w:p w14:paraId="739BC063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trike/>
                <w:color w:val="FF0000"/>
                <w:sz w:val="18"/>
                <w:szCs w:val="18"/>
                <w:u w:val="single"/>
              </w:rPr>
            </w:pPr>
            <w:r w:rsidRPr="006D13DF">
              <w:rPr>
                <w:strike/>
                <w:color w:val="FF0000"/>
                <w:sz w:val="18"/>
                <w:szCs w:val="18"/>
                <w:u w:val="single"/>
              </w:rPr>
              <w:t>Приложение A к</w:t>
            </w:r>
          </w:p>
          <w:p w14:paraId="39308708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Пункт 4.6.2</w:t>
            </w:r>
            <w:r w:rsidRPr="006D13DF">
              <w:rPr>
                <w:sz w:val="18"/>
                <w:szCs w:val="18"/>
              </w:rPr>
              <w:t xml:space="preserve"> </w:t>
            </w:r>
            <w:r w:rsidR="00C77492">
              <w:rPr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EN ISO 10297:2006, или</w:t>
            </w:r>
          </w:p>
          <w:p w14:paraId="15B91B7F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trike/>
                <w:color w:val="FF0000"/>
                <w:sz w:val="18"/>
                <w:szCs w:val="18"/>
                <w:u w:val="single"/>
              </w:rPr>
            </w:pPr>
            <w:r w:rsidRPr="006D13DF">
              <w:rPr>
                <w:strike/>
                <w:color w:val="FF0000"/>
                <w:sz w:val="18"/>
                <w:szCs w:val="18"/>
                <w:u w:val="single"/>
              </w:rPr>
              <w:t>приложение A к</w:t>
            </w:r>
          </w:p>
          <w:p w14:paraId="79608597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пункт 5.5.2</w:t>
            </w:r>
            <w:r w:rsidRPr="006D13DF">
              <w:rPr>
                <w:sz w:val="18"/>
                <w:szCs w:val="18"/>
              </w:rPr>
              <w:t xml:space="preserve"> </w:t>
            </w:r>
            <w:r w:rsidR="00C77492">
              <w:rPr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EN ISO</w:t>
            </w:r>
            <w:r w:rsidR="00172FF1">
              <w:rPr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10297:2014, или</w:t>
            </w:r>
          </w:p>
          <w:p w14:paraId="06F1E360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trike/>
                <w:color w:val="FF0000"/>
                <w:sz w:val="18"/>
                <w:szCs w:val="18"/>
                <w:u w:val="single"/>
              </w:rPr>
            </w:pPr>
            <w:r w:rsidRPr="006D13DF">
              <w:rPr>
                <w:strike/>
                <w:color w:val="FF0000"/>
                <w:sz w:val="18"/>
                <w:szCs w:val="18"/>
                <w:u w:val="single"/>
              </w:rPr>
              <w:t>приложение A к</w:t>
            </w:r>
          </w:p>
          <w:p w14:paraId="08AC948C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пункт 5.5.2</w:t>
            </w:r>
            <w:r w:rsidRPr="006D13DF">
              <w:rPr>
                <w:sz w:val="18"/>
                <w:szCs w:val="18"/>
              </w:rPr>
              <w:t xml:space="preserve"> </w:t>
            </w:r>
            <w:r w:rsidR="00C77492">
              <w:rPr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EN ISO 10297:2014 + A1:2017</w:t>
            </w:r>
          </w:p>
        </w:tc>
        <w:tc>
          <w:tcPr>
            <w:tcW w:w="4500" w:type="dxa"/>
            <w:shd w:val="clear" w:color="auto" w:fill="auto"/>
          </w:tcPr>
          <w:p w14:paraId="5FCB7AF3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Газовые баллоны – Вентили газовых баллонов многоразового использования – Технические требования и испытания типа</w:t>
            </w:r>
          </w:p>
        </w:tc>
        <w:tc>
          <w:tcPr>
            <w:tcW w:w="1401" w:type="dxa"/>
            <w:shd w:val="clear" w:color="auto" w:fill="auto"/>
          </w:tcPr>
          <w:p w14:paraId="1C38B00B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См. 6.2.4.1</w:t>
            </w:r>
          </w:p>
        </w:tc>
      </w:tr>
      <w:tr w:rsidR="006D13DF" w:rsidRPr="006D13DF" w14:paraId="71177742" w14:textId="77777777" w:rsidTr="00C77492">
        <w:tc>
          <w:tcPr>
            <w:tcW w:w="1640" w:type="dxa"/>
            <w:vMerge/>
            <w:shd w:val="clear" w:color="auto" w:fill="auto"/>
          </w:tcPr>
          <w:p w14:paraId="66A3AE99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06E0058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Пункт 5.3.8</w:t>
            </w:r>
            <w:r w:rsidRPr="006D13DF">
              <w:rPr>
                <w:color w:val="FF0000"/>
                <w:sz w:val="18"/>
                <w:szCs w:val="18"/>
              </w:rPr>
              <w:t xml:space="preserve"> </w:t>
            </w:r>
            <w:r w:rsidR="00C77492">
              <w:rPr>
                <w:color w:val="FF0000"/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EN 13152:2001 +</w:t>
            </w:r>
            <w:r w:rsidR="00172FF1">
              <w:rPr>
                <w:sz w:val="18"/>
                <w:szCs w:val="18"/>
                <w:lang w:val="en-US"/>
              </w:rPr>
              <w:t xml:space="preserve"> </w:t>
            </w:r>
            <w:r w:rsidRPr="006D13DF">
              <w:rPr>
                <w:sz w:val="18"/>
                <w:szCs w:val="18"/>
              </w:rPr>
              <w:t>A1:2003</w:t>
            </w:r>
          </w:p>
        </w:tc>
        <w:tc>
          <w:tcPr>
            <w:tcW w:w="4500" w:type="dxa"/>
            <w:shd w:val="clear" w:color="auto" w:fill="auto"/>
          </w:tcPr>
          <w:p w14:paraId="071004DE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Технические требования к вентилям баллонов для СНГ и их испытания – Самозакрывающиеся вентили</w:t>
            </w:r>
          </w:p>
          <w:p w14:paraId="0C976469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26F3C69F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См. 6.2.4.1</w:t>
            </w:r>
          </w:p>
        </w:tc>
      </w:tr>
      <w:tr w:rsidR="006D13DF" w:rsidRPr="006D13DF" w14:paraId="4CE126BE" w14:textId="77777777" w:rsidTr="00C77492">
        <w:tc>
          <w:tcPr>
            <w:tcW w:w="1640" w:type="dxa"/>
            <w:vMerge/>
            <w:shd w:val="clear" w:color="auto" w:fill="auto"/>
          </w:tcPr>
          <w:p w14:paraId="2C471357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DBDCDE4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Пункт 5.3.7</w:t>
            </w:r>
            <w:r w:rsidRPr="006D13DF">
              <w:rPr>
                <w:color w:val="FF0000"/>
                <w:sz w:val="18"/>
                <w:szCs w:val="18"/>
              </w:rPr>
              <w:t xml:space="preserve"> </w:t>
            </w:r>
            <w:r w:rsidR="00C77492">
              <w:rPr>
                <w:color w:val="FF0000"/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EN 13153:2001 + А1:2003</w:t>
            </w:r>
          </w:p>
        </w:tc>
        <w:tc>
          <w:tcPr>
            <w:tcW w:w="4500" w:type="dxa"/>
            <w:shd w:val="clear" w:color="auto" w:fill="auto"/>
          </w:tcPr>
          <w:p w14:paraId="35908323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Технические требования к вентилям баллонов для СНГ и их испытания – Вентили с ручным управлением</w:t>
            </w:r>
          </w:p>
          <w:p w14:paraId="0403B15B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auto"/>
          </w:tcPr>
          <w:p w14:paraId="1CB7A928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См. 6.2.4.1</w:t>
            </w:r>
          </w:p>
        </w:tc>
      </w:tr>
      <w:tr w:rsidR="006D13DF" w:rsidRPr="006D13DF" w14:paraId="4E290640" w14:textId="77777777" w:rsidTr="00C77492">
        <w:tc>
          <w:tcPr>
            <w:tcW w:w="1640" w:type="dxa"/>
            <w:vMerge/>
            <w:shd w:val="clear" w:color="auto" w:fill="auto"/>
          </w:tcPr>
          <w:p w14:paraId="74981E3D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ACCF47D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Пункт 5.9</w:t>
            </w:r>
            <w:r w:rsidRPr="006D13DF">
              <w:rPr>
                <w:color w:val="FF0000"/>
                <w:sz w:val="18"/>
                <w:szCs w:val="18"/>
              </w:rPr>
              <w:t xml:space="preserve"> </w:t>
            </w:r>
            <w:r w:rsidR="00C77492">
              <w:rPr>
                <w:color w:val="FF0000"/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EN ISO 14245:2010</w:t>
            </w:r>
          </w:p>
        </w:tc>
        <w:tc>
          <w:tcPr>
            <w:tcW w:w="4500" w:type="dxa"/>
            <w:shd w:val="clear" w:color="auto" w:fill="auto"/>
          </w:tcPr>
          <w:p w14:paraId="73CC094B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Газовые баллоны – Технические требования к вентилям баллонов для СНГ и их испытания − Самозакрывающиеся вентили (ISO 14245:2006)</w:t>
            </w:r>
          </w:p>
        </w:tc>
        <w:tc>
          <w:tcPr>
            <w:tcW w:w="1401" w:type="dxa"/>
            <w:shd w:val="clear" w:color="auto" w:fill="auto"/>
          </w:tcPr>
          <w:p w14:paraId="758D70B0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См. 6.2.4.1</w:t>
            </w:r>
          </w:p>
        </w:tc>
      </w:tr>
      <w:tr w:rsidR="006D13DF" w:rsidRPr="006D13DF" w14:paraId="2F98AE0E" w14:textId="77777777" w:rsidTr="00C77492">
        <w:tc>
          <w:tcPr>
            <w:tcW w:w="1640" w:type="dxa"/>
            <w:vMerge/>
            <w:shd w:val="clear" w:color="auto" w:fill="auto"/>
          </w:tcPr>
          <w:p w14:paraId="16E197E6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78D1371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Пункт 5.10</w:t>
            </w:r>
            <w:r w:rsidRPr="006D13DF">
              <w:rPr>
                <w:color w:val="FF0000"/>
                <w:sz w:val="18"/>
                <w:szCs w:val="18"/>
              </w:rPr>
              <w:t xml:space="preserve"> </w:t>
            </w:r>
            <w:r w:rsidR="00C77492">
              <w:rPr>
                <w:color w:val="FF0000"/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EN ISO</w:t>
            </w:r>
            <w:r w:rsidR="00172FF1">
              <w:rPr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15995:2010</w:t>
            </w:r>
          </w:p>
        </w:tc>
        <w:tc>
          <w:tcPr>
            <w:tcW w:w="4500" w:type="dxa"/>
            <w:shd w:val="clear" w:color="auto" w:fill="auto"/>
          </w:tcPr>
          <w:p w14:paraId="2A2FBB6E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Газовые баллоны – Технические требования к вентилям баллонов для СНГ и их испытания − Вентили с ручным управлением (ISO 15995:2006)</w:t>
            </w:r>
          </w:p>
        </w:tc>
        <w:tc>
          <w:tcPr>
            <w:tcW w:w="1401" w:type="dxa"/>
            <w:shd w:val="clear" w:color="auto" w:fill="auto"/>
          </w:tcPr>
          <w:p w14:paraId="04363B96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См. 6.2.4.1</w:t>
            </w:r>
          </w:p>
        </w:tc>
      </w:tr>
      <w:tr w:rsidR="006D13DF" w:rsidRPr="006D13DF" w14:paraId="248EFD58" w14:textId="77777777" w:rsidTr="00C77492">
        <w:tc>
          <w:tcPr>
            <w:tcW w:w="1640" w:type="dxa"/>
            <w:vMerge/>
            <w:shd w:val="clear" w:color="auto" w:fill="auto"/>
          </w:tcPr>
          <w:p w14:paraId="0F5A0A48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C4932AB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Пункт 5.4.2</w:t>
            </w:r>
            <w:r w:rsidRPr="006D13DF">
              <w:rPr>
                <w:color w:val="FF0000"/>
                <w:sz w:val="18"/>
                <w:szCs w:val="18"/>
              </w:rPr>
              <w:t xml:space="preserve"> </w:t>
            </w:r>
            <w:r w:rsidR="00C77492">
              <w:rPr>
                <w:color w:val="FF0000"/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EN ISO 17879:2017</w:t>
            </w:r>
          </w:p>
        </w:tc>
        <w:tc>
          <w:tcPr>
            <w:tcW w:w="4500" w:type="dxa"/>
            <w:shd w:val="clear" w:color="auto" w:fill="auto"/>
          </w:tcPr>
          <w:p w14:paraId="6F297AAC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Газовые баллоны – Самозакрывающиеся вентили баллонов – Технические требования и испытания типа</w:t>
            </w:r>
          </w:p>
        </w:tc>
        <w:tc>
          <w:tcPr>
            <w:tcW w:w="1401" w:type="dxa"/>
            <w:shd w:val="clear" w:color="auto" w:fill="auto"/>
          </w:tcPr>
          <w:p w14:paraId="25540D4D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См. 6.2.4.1</w:t>
            </w:r>
          </w:p>
        </w:tc>
      </w:tr>
      <w:tr w:rsidR="006D13DF" w:rsidRPr="006D13DF" w14:paraId="6C9C9CEF" w14:textId="77777777" w:rsidTr="00C77492">
        <w:tc>
          <w:tcPr>
            <w:tcW w:w="1640" w:type="dxa"/>
            <w:vMerge w:val="restart"/>
            <w:shd w:val="clear" w:color="auto" w:fill="auto"/>
          </w:tcPr>
          <w:p w14:paraId="1C99DF8E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4.1.6.8 b) и c)</w:t>
            </w:r>
          </w:p>
        </w:tc>
        <w:tc>
          <w:tcPr>
            <w:tcW w:w="1890" w:type="dxa"/>
            <w:shd w:val="clear" w:color="auto" w:fill="auto"/>
          </w:tcPr>
          <w:p w14:paraId="5622021B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  <w:u w:val="single"/>
              </w:rPr>
            </w:pPr>
            <w:r w:rsidRPr="006D13DF">
              <w:rPr>
                <w:sz w:val="18"/>
                <w:szCs w:val="18"/>
              </w:rPr>
              <w:t>ISO 11117:1998</w:t>
            </w:r>
          </w:p>
        </w:tc>
        <w:tc>
          <w:tcPr>
            <w:tcW w:w="4500" w:type="dxa"/>
            <w:shd w:val="clear" w:color="auto" w:fill="auto"/>
          </w:tcPr>
          <w:p w14:paraId="71B7B67F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Газовые баллоны – Предохранительные колпаки и защитные устройства вентилей на баллонах для промышленных и медицинских газов – Конструкция, изготовление и испытания</w:t>
            </w:r>
          </w:p>
        </w:tc>
        <w:tc>
          <w:tcPr>
            <w:tcW w:w="1401" w:type="dxa"/>
            <w:shd w:val="clear" w:color="auto" w:fill="auto"/>
          </w:tcPr>
          <w:p w14:paraId="2FE12D89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До 31 декабря 2010 года</w:t>
            </w:r>
          </w:p>
        </w:tc>
      </w:tr>
      <w:tr w:rsidR="006D13DF" w:rsidRPr="006D13DF" w14:paraId="0AF752ED" w14:textId="77777777" w:rsidTr="00C77492">
        <w:tc>
          <w:tcPr>
            <w:tcW w:w="1640" w:type="dxa"/>
            <w:vMerge/>
            <w:shd w:val="clear" w:color="auto" w:fill="auto"/>
          </w:tcPr>
          <w:p w14:paraId="4F3D778E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42070CF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trike/>
                <w:color w:val="FF0000"/>
                <w:sz w:val="18"/>
                <w:szCs w:val="18"/>
                <w:u w:val="single"/>
              </w:rPr>
            </w:pPr>
            <w:r w:rsidRPr="006D13DF">
              <w:rPr>
                <w:strike/>
                <w:color w:val="FF0000"/>
                <w:sz w:val="18"/>
                <w:szCs w:val="18"/>
                <w:u w:val="single"/>
              </w:rPr>
              <w:t>или</w:t>
            </w:r>
          </w:p>
          <w:p w14:paraId="6B947017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  <w:u w:val="single"/>
              </w:rPr>
            </w:pPr>
            <w:r w:rsidRPr="006D13DF">
              <w:rPr>
                <w:sz w:val="18"/>
                <w:szCs w:val="18"/>
              </w:rPr>
              <w:t xml:space="preserve">EN ISO 11117:2008 + </w:t>
            </w:r>
            <w:r>
              <w:rPr>
                <w:sz w:val="18"/>
                <w:szCs w:val="18"/>
              </w:rPr>
              <w:br/>
            </w:r>
            <w:r w:rsidRPr="006D13DF">
              <w:rPr>
                <w:sz w:val="18"/>
                <w:szCs w:val="18"/>
              </w:rPr>
              <w:t>Cor 1:2009</w:t>
            </w:r>
          </w:p>
        </w:tc>
        <w:tc>
          <w:tcPr>
            <w:tcW w:w="4500" w:type="dxa"/>
            <w:shd w:val="clear" w:color="auto" w:fill="auto"/>
          </w:tcPr>
          <w:p w14:paraId="389D19B8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Газовые баллоны – Предохранительные колпаки и защитные устройства вентилей на баллонах для промышленных и медицинских газов – Конструкция, изготовление и испытания</w:t>
            </w:r>
          </w:p>
        </w:tc>
        <w:tc>
          <w:tcPr>
            <w:tcW w:w="1401" w:type="dxa"/>
            <w:shd w:val="clear" w:color="auto" w:fill="auto"/>
          </w:tcPr>
          <w:p w14:paraId="7DF068F4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До дальнейшего указания</w:t>
            </w:r>
          </w:p>
        </w:tc>
      </w:tr>
      <w:tr w:rsidR="006D13DF" w:rsidRPr="006D13DF" w14:paraId="0CD92F5E" w14:textId="77777777" w:rsidTr="00C77492">
        <w:tc>
          <w:tcPr>
            <w:tcW w:w="1640" w:type="dxa"/>
            <w:vMerge/>
            <w:shd w:val="clear" w:color="auto" w:fill="auto"/>
          </w:tcPr>
          <w:p w14:paraId="4D35125B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80E191C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EN 962:1996 +</w:t>
            </w:r>
            <w:r w:rsidR="00172FF1">
              <w:rPr>
                <w:sz w:val="18"/>
                <w:szCs w:val="18"/>
                <w:lang w:val="en-US"/>
              </w:rPr>
              <w:t xml:space="preserve"> </w:t>
            </w:r>
            <w:r w:rsidRPr="006D13DF">
              <w:rPr>
                <w:sz w:val="18"/>
                <w:szCs w:val="18"/>
              </w:rPr>
              <w:t>А2:2000</w:t>
            </w:r>
          </w:p>
        </w:tc>
        <w:tc>
          <w:tcPr>
            <w:tcW w:w="4500" w:type="dxa"/>
            <w:shd w:val="clear" w:color="auto" w:fill="auto"/>
          </w:tcPr>
          <w:p w14:paraId="1FE5F7CD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Предохранительные колпаки и защитные устройства вентилей на баллонах для промышленных и медицинских газов – Конструкция, изготовление и испытания</w:t>
            </w:r>
          </w:p>
        </w:tc>
        <w:tc>
          <w:tcPr>
            <w:tcW w:w="1401" w:type="dxa"/>
            <w:shd w:val="clear" w:color="auto" w:fill="auto"/>
          </w:tcPr>
          <w:p w14:paraId="546048E4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До 31 декабря 2010 года</w:t>
            </w:r>
          </w:p>
        </w:tc>
      </w:tr>
      <w:tr w:rsidR="006D13DF" w:rsidRPr="006D13DF" w14:paraId="3848A41D" w14:textId="77777777" w:rsidTr="00C77492">
        <w:tc>
          <w:tcPr>
            <w:tcW w:w="1640" w:type="dxa"/>
            <w:vMerge/>
            <w:shd w:val="clear" w:color="auto" w:fill="auto"/>
          </w:tcPr>
          <w:p w14:paraId="02FAE924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ECEC232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>ISO 16111:2008</w:t>
            </w:r>
          </w:p>
        </w:tc>
        <w:tc>
          <w:tcPr>
            <w:tcW w:w="4500" w:type="dxa"/>
            <w:shd w:val="clear" w:color="auto" w:fill="auto"/>
          </w:tcPr>
          <w:p w14:paraId="0CFCFA3F" w14:textId="77777777" w:rsidR="006D13DF" w:rsidRPr="006D13DF" w:rsidRDefault="006D13DF" w:rsidP="00172FF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Arial"/>
                <w:sz w:val="18"/>
                <w:szCs w:val="18"/>
              </w:rPr>
            </w:pPr>
            <w:r w:rsidRPr="006D13DF">
              <w:rPr>
                <w:sz w:val="18"/>
                <w:szCs w:val="18"/>
              </w:rPr>
              <w:t xml:space="preserve">Переносные емкости для хранения газа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6D13DF">
              <w:rPr>
                <w:sz w:val="18"/>
                <w:szCs w:val="18"/>
              </w:rPr>
              <w:t xml:space="preserve"> Водород, поглощаемый обратимым металлгидридом</w:t>
            </w:r>
          </w:p>
        </w:tc>
        <w:tc>
          <w:tcPr>
            <w:tcW w:w="1401" w:type="dxa"/>
            <w:shd w:val="clear" w:color="auto" w:fill="auto"/>
          </w:tcPr>
          <w:p w14:paraId="6018F3AA" w14:textId="77777777" w:rsidR="006D13DF" w:rsidRPr="006D13DF" w:rsidRDefault="006D13DF" w:rsidP="00172FF1">
            <w:pPr>
              <w:tabs>
                <w:tab w:val="left" w:pos="1418"/>
                <w:tab w:val="left" w:pos="2977"/>
                <w:tab w:val="left" w:pos="4395"/>
              </w:tabs>
              <w:spacing w:before="40" w:after="40" w:line="200" w:lineRule="exact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6D13DF">
              <w:rPr>
                <w:color w:val="FF0000"/>
                <w:sz w:val="18"/>
                <w:szCs w:val="18"/>
                <w:u w:val="single"/>
              </w:rPr>
              <w:t>См. 6.2.2.3</w:t>
            </w:r>
          </w:p>
        </w:tc>
      </w:tr>
    </w:tbl>
    <w:p w14:paraId="55CCC0D4" w14:textId="77777777" w:rsidR="006D13DF" w:rsidRDefault="006D13DF" w:rsidP="006D13DF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2B0E6C1E" w14:textId="77777777" w:rsidR="00E12C5F" w:rsidRDefault="006D13DF" w:rsidP="006D13DF">
      <w:pPr>
        <w:pStyle w:val="SingleTxtG"/>
      </w:pPr>
      <w:r>
        <w:t>9.</w:t>
      </w:r>
      <w:r>
        <w:tab/>
        <w:t>Данные поправки позволяют прояснить вопросы, связанные с реализацией новых защитных устройств вентилей для сосудов под давлением, не являющихся сосудами «UN».</w:t>
      </w:r>
    </w:p>
    <w:p w14:paraId="63569257" w14:textId="77777777" w:rsidR="006D13DF" w:rsidRPr="006D13DF" w:rsidRDefault="006D13DF" w:rsidP="006D13D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13DF" w:rsidRPr="006D13DF" w:rsidSect="006D13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D686F" w14:textId="77777777" w:rsidR="005B1C92" w:rsidRPr="00A312BC" w:rsidRDefault="005B1C92" w:rsidP="00A312BC"/>
  </w:endnote>
  <w:endnote w:type="continuationSeparator" w:id="0">
    <w:p w14:paraId="066B09F3" w14:textId="77777777" w:rsidR="005B1C92" w:rsidRPr="00A312BC" w:rsidRDefault="005B1C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34C6" w14:textId="77777777" w:rsidR="006D13DF" w:rsidRPr="006D13DF" w:rsidRDefault="006D13DF">
    <w:pPr>
      <w:pStyle w:val="Footer"/>
    </w:pPr>
    <w:r w:rsidRPr="006D13DF">
      <w:rPr>
        <w:b/>
        <w:sz w:val="18"/>
      </w:rPr>
      <w:fldChar w:fldCharType="begin"/>
    </w:r>
    <w:r w:rsidRPr="006D13DF">
      <w:rPr>
        <w:b/>
        <w:sz w:val="18"/>
      </w:rPr>
      <w:instrText xml:space="preserve"> PAGE  \* MERGEFORMAT </w:instrText>
    </w:r>
    <w:r w:rsidRPr="006D13DF">
      <w:rPr>
        <w:b/>
        <w:sz w:val="18"/>
      </w:rPr>
      <w:fldChar w:fldCharType="separate"/>
    </w:r>
    <w:r w:rsidRPr="006D13DF">
      <w:rPr>
        <w:b/>
        <w:noProof/>
        <w:sz w:val="18"/>
      </w:rPr>
      <w:t>2</w:t>
    </w:r>
    <w:r w:rsidRPr="006D13DF">
      <w:rPr>
        <w:b/>
        <w:sz w:val="18"/>
      </w:rPr>
      <w:fldChar w:fldCharType="end"/>
    </w:r>
    <w:r>
      <w:rPr>
        <w:b/>
        <w:sz w:val="18"/>
      </w:rPr>
      <w:tab/>
    </w:r>
    <w:r>
      <w:t>GE.19-21802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8F89F" w14:textId="77777777" w:rsidR="006D13DF" w:rsidRPr="006D13DF" w:rsidRDefault="006D13DF" w:rsidP="006D13DF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GE.19-21802</w:t>
    </w:r>
    <w:r>
      <w:tab/>
    </w:r>
    <w:r w:rsidRPr="006D13DF">
      <w:rPr>
        <w:b/>
        <w:sz w:val="18"/>
      </w:rPr>
      <w:fldChar w:fldCharType="begin"/>
    </w:r>
    <w:r w:rsidRPr="006D13DF">
      <w:rPr>
        <w:b/>
        <w:sz w:val="18"/>
      </w:rPr>
      <w:instrText xml:space="preserve"> PAGE  \* MERGEFORMAT </w:instrText>
    </w:r>
    <w:r w:rsidRPr="006D13DF">
      <w:rPr>
        <w:b/>
        <w:sz w:val="18"/>
      </w:rPr>
      <w:fldChar w:fldCharType="separate"/>
    </w:r>
    <w:r w:rsidRPr="006D13DF">
      <w:rPr>
        <w:b/>
        <w:noProof/>
        <w:sz w:val="18"/>
      </w:rPr>
      <w:t>3</w:t>
    </w:r>
    <w:r w:rsidRPr="006D13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FA20" w14:textId="77777777" w:rsidR="00042B72" w:rsidRPr="006D13DF" w:rsidRDefault="006D13DF" w:rsidP="006D13D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5A5F54" wp14:editId="2907F68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19-21802  (R)</w:t>
    </w:r>
    <w:r>
      <w:rPr>
        <w:lang w:val="en-US"/>
      </w:rPr>
      <w:t xml:space="preserve">  060120  060120</w:t>
    </w:r>
    <w:r>
      <w:br/>
    </w:r>
    <w:r w:rsidRPr="006D13DF">
      <w:rPr>
        <w:rFonts w:ascii="C39T30Lfz" w:hAnsi="C39T30Lfz"/>
        <w:kern w:val="14"/>
        <w:sz w:val="56"/>
      </w:rPr>
      <w:t></w:t>
    </w:r>
    <w:r w:rsidRPr="006D13DF">
      <w:rPr>
        <w:rFonts w:ascii="C39T30Lfz" w:hAnsi="C39T30Lfz"/>
        <w:kern w:val="14"/>
        <w:sz w:val="56"/>
      </w:rPr>
      <w:t></w:t>
    </w:r>
    <w:r w:rsidRPr="006D13DF">
      <w:rPr>
        <w:rFonts w:ascii="C39T30Lfz" w:hAnsi="C39T30Lfz"/>
        <w:kern w:val="14"/>
        <w:sz w:val="56"/>
      </w:rPr>
      <w:t></w:t>
    </w:r>
    <w:r w:rsidRPr="006D13DF">
      <w:rPr>
        <w:rFonts w:ascii="C39T30Lfz" w:hAnsi="C39T30Lfz"/>
        <w:kern w:val="14"/>
        <w:sz w:val="56"/>
      </w:rPr>
      <w:t></w:t>
    </w:r>
    <w:r w:rsidRPr="006D13DF">
      <w:rPr>
        <w:rFonts w:ascii="C39T30Lfz" w:hAnsi="C39T30Lfz"/>
        <w:kern w:val="14"/>
        <w:sz w:val="56"/>
      </w:rPr>
      <w:t></w:t>
    </w:r>
    <w:r w:rsidRPr="006D13DF">
      <w:rPr>
        <w:rFonts w:ascii="C39T30Lfz" w:hAnsi="C39T30Lfz"/>
        <w:kern w:val="14"/>
        <w:sz w:val="56"/>
      </w:rPr>
      <w:t></w:t>
    </w:r>
    <w:r w:rsidRPr="006D13DF">
      <w:rPr>
        <w:rFonts w:ascii="C39T30Lfz" w:hAnsi="C39T30Lfz"/>
        <w:kern w:val="14"/>
        <w:sz w:val="56"/>
      </w:rPr>
      <w:t></w:t>
    </w:r>
    <w:r w:rsidRPr="006D13DF">
      <w:rPr>
        <w:rFonts w:ascii="C39T30Lfz" w:hAnsi="C39T30Lfz"/>
        <w:kern w:val="14"/>
        <w:sz w:val="56"/>
      </w:rPr>
      <w:t></w:t>
    </w:r>
    <w:r w:rsidRPr="006D13D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DE8387" wp14:editId="0E68B91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5A76" w14:textId="77777777" w:rsidR="005B1C92" w:rsidRPr="001075E9" w:rsidRDefault="005B1C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64181E" w14:textId="77777777" w:rsidR="005B1C92" w:rsidRDefault="005B1C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90B803" w14:textId="77777777" w:rsidR="006D13DF" w:rsidRPr="000377D8" w:rsidRDefault="006D13DF" w:rsidP="006D13DF">
      <w:pPr>
        <w:pStyle w:val="FootnoteText"/>
        <w:rPr>
          <w:sz w:val="20"/>
        </w:rPr>
      </w:pPr>
      <w:r>
        <w:tab/>
      </w:r>
      <w:r w:rsidRPr="006D13DF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64F02813" w14:textId="77777777" w:rsidR="006D13DF" w:rsidRPr="000377D8" w:rsidRDefault="006D13DF" w:rsidP="006D13DF">
      <w:pPr>
        <w:pStyle w:val="FootnoteText"/>
        <w:rPr>
          <w:sz w:val="20"/>
        </w:rPr>
      </w:pPr>
      <w:r>
        <w:tab/>
      </w:r>
      <w:r w:rsidRPr="006D13DF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24B60" w14:textId="583C8B80" w:rsidR="006D13DF" w:rsidRPr="006D13DF" w:rsidRDefault="00233187">
    <w:pPr>
      <w:pStyle w:val="Header"/>
    </w:pPr>
    <w:fldSimple w:instr=" TITLE  \* MERGEFORMAT ">
      <w:r w:rsidR="00B63659">
        <w:t>ECE/TRANS/WP.15/AC.1/2020/4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04D5" w14:textId="6A95926A" w:rsidR="006D13DF" w:rsidRPr="006D13DF" w:rsidRDefault="00233187" w:rsidP="006D13DF">
    <w:pPr>
      <w:pStyle w:val="Header"/>
      <w:jc w:val="right"/>
    </w:pPr>
    <w:fldSimple w:instr=" TITLE  \* MERGEFORMAT ">
      <w:r w:rsidR="00B63659">
        <w:t>ECE/TRANS/WP.15/AC.1/2020/4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9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2FF1"/>
    <w:rsid w:val="00180183"/>
    <w:rsid w:val="0018024D"/>
    <w:rsid w:val="0018649F"/>
    <w:rsid w:val="00196389"/>
    <w:rsid w:val="001B3EF6"/>
    <w:rsid w:val="001C7A89"/>
    <w:rsid w:val="0023318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C9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13DF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1B8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659"/>
    <w:rsid w:val="00BC18B2"/>
    <w:rsid w:val="00BD33EE"/>
    <w:rsid w:val="00BE1CC7"/>
    <w:rsid w:val="00C106D6"/>
    <w:rsid w:val="00C119AE"/>
    <w:rsid w:val="00C60F0C"/>
    <w:rsid w:val="00C71E84"/>
    <w:rsid w:val="00C77492"/>
    <w:rsid w:val="00C805C9"/>
    <w:rsid w:val="00C92939"/>
    <w:rsid w:val="00CA1679"/>
    <w:rsid w:val="00CB151C"/>
    <w:rsid w:val="00CE5A1A"/>
    <w:rsid w:val="00CF55F6"/>
    <w:rsid w:val="00D33D63"/>
    <w:rsid w:val="00D42CD1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404C2B"/>
  <w15:docId w15:val="{BC731B51-30E0-4814-95E6-FADDEBF3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6D13DF"/>
    <w:rPr>
      <w:lang w:val="ru-RU" w:eastAsia="en-US"/>
    </w:rPr>
  </w:style>
  <w:style w:type="paragraph" w:customStyle="1" w:styleId="ParNoG">
    <w:name w:val="_ParNo_G"/>
    <w:basedOn w:val="SingleTxtG"/>
    <w:qFormat/>
    <w:rsid w:val="006D13DF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6D13D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D13D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ECE/TRANS/WP.15/AC.1/2020/4</vt:lpstr>
      <vt:lpstr>ECE/TRANS/WP.15/AC.1/2020/4</vt:lpstr>
      <vt:lpstr>A/</vt:lpstr>
    </vt:vector>
  </TitlesOfParts>
  <Company>DCM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ECE/TRANS/WP.15/AC.1/2020/4</dc:title>
  <dc:subject/>
  <dc:creator>Assistant</dc:creator>
  <cp:keywords/>
  <cp:lastModifiedBy>Christine Barrio-Champeau</cp:lastModifiedBy>
  <cp:revision>2</cp:revision>
  <cp:lastPrinted>2020-01-06T13:43:00Z</cp:lastPrinted>
  <dcterms:created xsi:type="dcterms:W3CDTF">2020-01-23T07:29:00Z</dcterms:created>
  <dcterms:modified xsi:type="dcterms:W3CDTF">2020-01-23T07:29:00Z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