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7C8B103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D0E035" w14:textId="77777777" w:rsidR="00F35BAF" w:rsidRPr="00DB58B5" w:rsidRDefault="00F35BAF" w:rsidP="0088640B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2360A0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E2C626D" w14:textId="77777777" w:rsidR="00F35BAF" w:rsidRPr="00DB58B5" w:rsidRDefault="0088640B" w:rsidP="0088640B">
            <w:pPr>
              <w:jc w:val="right"/>
            </w:pPr>
            <w:r w:rsidRPr="0088640B">
              <w:rPr>
                <w:sz w:val="40"/>
              </w:rPr>
              <w:t>ECE</w:t>
            </w:r>
            <w:r>
              <w:t>/TRANS/WP.15/AC.1/2020/4</w:t>
            </w:r>
          </w:p>
        </w:tc>
      </w:tr>
      <w:tr w:rsidR="00F35BAF" w:rsidRPr="00DB58B5" w14:paraId="259C0EA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93B8985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C4BD580" wp14:editId="244A60A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178D74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E9A88B0" w14:textId="77777777" w:rsidR="00F35BAF" w:rsidRDefault="0088640B" w:rsidP="00C97039">
            <w:pPr>
              <w:spacing w:before="240"/>
            </w:pPr>
            <w:r>
              <w:t>Distr. générale</w:t>
            </w:r>
          </w:p>
          <w:p w14:paraId="597A90D7" w14:textId="77777777" w:rsidR="0088640B" w:rsidRDefault="0088640B" w:rsidP="0088640B">
            <w:pPr>
              <w:spacing w:line="240" w:lineRule="exact"/>
            </w:pPr>
            <w:r>
              <w:t>17 décembre 2019</w:t>
            </w:r>
          </w:p>
          <w:p w14:paraId="4E137E31" w14:textId="77777777" w:rsidR="0088640B" w:rsidRDefault="0088640B" w:rsidP="0088640B">
            <w:pPr>
              <w:spacing w:line="240" w:lineRule="exact"/>
            </w:pPr>
            <w:r>
              <w:t>Français</w:t>
            </w:r>
          </w:p>
          <w:p w14:paraId="5CDD01D4" w14:textId="77777777" w:rsidR="0088640B" w:rsidRPr="00DB58B5" w:rsidRDefault="0088640B" w:rsidP="0088640B">
            <w:pPr>
              <w:spacing w:line="240" w:lineRule="exact"/>
            </w:pPr>
            <w:r>
              <w:t>Original : anglais</w:t>
            </w:r>
          </w:p>
        </w:tc>
      </w:tr>
    </w:tbl>
    <w:p w14:paraId="6EEB51C4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D07C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54ACCD61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44FE1C7" w14:textId="77777777" w:rsidR="0088640B" w:rsidRPr="009E01B8" w:rsidRDefault="0088640B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0795331D" w14:textId="77777777" w:rsidR="0088640B" w:rsidRPr="00926E87" w:rsidRDefault="0088640B" w:rsidP="00AF0CB5">
      <w:pPr>
        <w:spacing w:before="120"/>
        <w:rPr>
          <w:b/>
        </w:rPr>
      </w:pPr>
      <w:r w:rsidRPr="00926E87">
        <w:rPr>
          <w:b/>
        </w:rPr>
        <w:t>Réunion commune de la Commission d</w:t>
      </w:r>
      <w:r w:rsidR="008D07C3">
        <w:rPr>
          <w:b/>
        </w:rPr>
        <w:t>’</w:t>
      </w:r>
      <w:r w:rsidRPr="00926E87">
        <w:rPr>
          <w:b/>
        </w:rPr>
        <w:t>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01D68C45" w14:textId="77777777" w:rsidR="0088640B" w:rsidRDefault="0088640B" w:rsidP="0088640B">
      <w:r w:rsidRPr="00366A37">
        <w:rPr>
          <w:szCs w:val="28"/>
          <w:lang w:eastAsia="fr-FR"/>
        </w:rPr>
        <w:t>Berne, 16-20 mars 2020</w:t>
      </w:r>
    </w:p>
    <w:p w14:paraId="1ECFF767" w14:textId="77777777" w:rsidR="0088640B" w:rsidRDefault="0088640B" w:rsidP="00AF0CB5">
      <w:r w:rsidRPr="00B93E72">
        <w:t>Point</w:t>
      </w:r>
      <w:r>
        <w:t> </w:t>
      </w:r>
      <w:r w:rsidRPr="00366A37">
        <w:rPr>
          <w:lang w:eastAsia="fr-FR"/>
        </w:rPr>
        <w:t>5</w:t>
      </w:r>
      <w:r>
        <w:rPr>
          <w:lang w:eastAsia="fr-FR"/>
        </w:rPr>
        <w:t> </w:t>
      </w:r>
      <w:r w:rsidRPr="00366A37">
        <w:rPr>
          <w:lang w:eastAsia="fr-FR"/>
        </w:rPr>
        <w:t xml:space="preserve">b) </w:t>
      </w:r>
      <w:r w:rsidRPr="00B93E72">
        <w:t>de l</w:t>
      </w:r>
      <w:r w:rsidR="008D07C3">
        <w:t>’</w:t>
      </w:r>
      <w:r w:rsidRPr="00B93E72">
        <w:t>ordre du jour provisoire</w:t>
      </w:r>
    </w:p>
    <w:p w14:paraId="2B52F713" w14:textId="77777777" w:rsidR="0088640B" w:rsidRPr="00366A37" w:rsidRDefault="0088640B" w:rsidP="0088640B">
      <w:pPr>
        <w:rPr>
          <w:b/>
          <w:bCs/>
          <w:lang w:eastAsia="fr-FR"/>
        </w:rPr>
      </w:pPr>
      <w:r w:rsidRPr="00366A37">
        <w:rPr>
          <w:b/>
          <w:bCs/>
          <w:lang w:eastAsia="fr-FR"/>
        </w:rPr>
        <w:t>Propositions d</w:t>
      </w:r>
      <w:r w:rsidR="008D07C3">
        <w:rPr>
          <w:b/>
          <w:bCs/>
          <w:lang w:eastAsia="fr-FR"/>
        </w:rPr>
        <w:t>’</w:t>
      </w:r>
      <w:r w:rsidRPr="00366A37">
        <w:rPr>
          <w:b/>
          <w:bCs/>
          <w:lang w:eastAsia="fr-FR"/>
        </w:rPr>
        <w:t>amendements au RID/ADR/ADN</w:t>
      </w:r>
    </w:p>
    <w:p w14:paraId="28DD576A" w14:textId="77777777" w:rsidR="0088640B" w:rsidRPr="00366A37" w:rsidRDefault="0088640B" w:rsidP="0088640B">
      <w:pPr>
        <w:rPr>
          <w:b/>
          <w:bCs/>
          <w:lang w:eastAsia="fr-FR"/>
        </w:rPr>
      </w:pPr>
      <w:r w:rsidRPr="00366A37">
        <w:rPr>
          <w:b/>
          <w:bCs/>
          <w:lang w:eastAsia="fr-FR"/>
        </w:rPr>
        <w:t>nouvelles propositions</w:t>
      </w:r>
    </w:p>
    <w:p w14:paraId="4E6F4A3C" w14:textId="77777777" w:rsidR="0088640B" w:rsidRPr="00366A37" w:rsidRDefault="0088640B" w:rsidP="0088640B">
      <w:pPr>
        <w:pStyle w:val="HChG"/>
        <w:rPr>
          <w:lang w:eastAsia="fr-FR"/>
        </w:rPr>
      </w:pPr>
      <w:r w:rsidRPr="00366A37">
        <w:rPr>
          <w:lang w:eastAsia="fr-FR"/>
        </w:rPr>
        <w:tab/>
      </w:r>
      <w:r w:rsidRPr="00366A37">
        <w:rPr>
          <w:lang w:eastAsia="fr-FR"/>
        </w:rPr>
        <w:tab/>
        <w:t xml:space="preserve">Paragraphe 4.1.6.15 du RID/ADR </w:t>
      </w:r>
      <w:r>
        <w:rPr>
          <w:lang w:eastAsia="fr-FR"/>
        </w:rPr>
        <w:t>−</w:t>
      </w:r>
      <w:r w:rsidRPr="00366A37">
        <w:rPr>
          <w:lang w:eastAsia="fr-FR"/>
        </w:rPr>
        <w:t xml:space="preserve"> normes applicables aux</w:t>
      </w:r>
      <w:r>
        <w:rPr>
          <w:lang w:eastAsia="fr-FR"/>
        </w:rPr>
        <w:t> </w:t>
      </w:r>
      <w:r w:rsidRPr="00366A37">
        <w:rPr>
          <w:lang w:eastAsia="fr-FR"/>
        </w:rPr>
        <w:t>dispositifs de protection des robinets</w:t>
      </w:r>
    </w:p>
    <w:p w14:paraId="1E7FB9A3" w14:textId="77777777" w:rsidR="00F9573C" w:rsidRDefault="0088640B" w:rsidP="0088640B">
      <w:pPr>
        <w:pStyle w:val="H1G"/>
        <w:rPr>
          <w:bCs/>
          <w:vertAlign w:val="superscript"/>
          <w:lang w:eastAsia="fr-FR"/>
        </w:rPr>
      </w:pPr>
      <w:r w:rsidRPr="00366A37">
        <w:rPr>
          <w:lang w:eastAsia="fr-FR"/>
        </w:rPr>
        <w:tab/>
      </w:r>
      <w:r w:rsidRPr="00366A37">
        <w:rPr>
          <w:lang w:eastAsia="fr-FR"/>
        </w:rPr>
        <w:tab/>
        <w:t>Communication du Gouvernement allemand</w:t>
      </w:r>
      <w:r w:rsidRPr="0088640B">
        <w:rPr>
          <w:rStyle w:val="FootnoteReference"/>
          <w:b w:val="0"/>
          <w:sz w:val="20"/>
          <w:vertAlign w:val="baseline"/>
          <w:lang w:eastAsia="fr-FR"/>
        </w:rPr>
        <w:footnoteReference w:customMarkFollows="1" w:id="2"/>
        <w:t>*</w:t>
      </w:r>
      <w:r w:rsidRPr="0088640B">
        <w:rPr>
          <w:rStyle w:val="FootnoteReference"/>
          <w:sz w:val="20"/>
          <w:lang w:eastAsia="fr-FR"/>
        </w:rPr>
        <w:t>,</w:t>
      </w:r>
      <w:r w:rsidRPr="0088640B">
        <w:rPr>
          <w:b w:val="0"/>
          <w:lang w:eastAsia="fr-FR"/>
        </w:rPr>
        <w:t xml:space="preserve"> </w:t>
      </w:r>
      <w:r w:rsidRPr="0088640B">
        <w:rPr>
          <w:rStyle w:val="FootnoteReference"/>
          <w:b w:val="0"/>
          <w:sz w:val="20"/>
          <w:vertAlign w:val="baseline"/>
          <w:lang w:eastAsia="fr-FR"/>
        </w:rPr>
        <w:footnoteReference w:customMarkFollows="1" w:id="3"/>
        <w:t>**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88640B" w14:paraId="43C7A4DB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250173E3" w14:textId="77777777" w:rsidR="0088640B" w:rsidRDefault="0088640B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88640B" w14:paraId="382B71C6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5D0C33C8" w14:textId="77777777" w:rsidR="0088640B" w:rsidRDefault="0088640B" w:rsidP="0088640B">
            <w:pPr>
              <w:pStyle w:val="SingleTxtG"/>
              <w:ind w:left="3402" w:hanging="2268"/>
            </w:pPr>
            <w:r w:rsidRPr="00366A37">
              <w:rPr>
                <w:b/>
                <w:lang w:eastAsia="fr-FR"/>
              </w:rPr>
              <w:t xml:space="preserve">Résumé analytique : </w:t>
            </w:r>
            <w:r w:rsidRPr="00366A37">
              <w:rPr>
                <w:lang w:eastAsia="fr-FR"/>
              </w:rPr>
              <w:tab/>
              <w:t>La présente proposition vise à mieux préciser quelles normes s</w:t>
            </w:r>
            <w:r w:rsidR="008D07C3">
              <w:rPr>
                <w:lang w:eastAsia="fr-FR"/>
              </w:rPr>
              <w:t>’</w:t>
            </w:r>
            <w:r w:rsidRPr="00366A37">
              <w:rPr>
                <w:lang w:eastAsia="fr-FR"/>
              </w:rPr>
              <w:t>appliquent aux nouveaux dispositifs de protection des robinets qui sont disponibles sur le marché.</w:t>
            </w:r>
          </w:p>
        </w:tc>
      </w:tr>
      <w:tr w:rsidR="0088640B" w14:paraId="42CF992A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75B884E7" w14:textId="77777777" w:rsidR="0088640B" w:rsidRDefault="0088640B" w:rsidP="0088640B">
            <w:pPr>
              <w:pStyle w:val="SingleTxtG"/>
              <w:ind w:left="3402" w:hanging="2268"/>
            </w:pPr>
            <w:r w:rsidRPr="00366A37">
              <w:rPr>
                <w:b/>
                <w:lang w:eastAsia="fr-FR"/>
              </w:rPr>
              <w:t>Mesures à prendre :</w:t>
            </w:r>
            <w:r w:rsidRPr="00366A37">
              <w:rPr>
                <w:b/>
                <w:lang w:eastAsia="fr-FR"/>
              </w:rPr>
              <w:tab/>
            </w:r>
            <w:r w:rsidRPr="00366A37">
              <w:rPr>
                <w:lang w:eastAsia="fr-FR"/>
              </w:rPr>
              <w:t xml:space="preserve">Compléter le tableau qui figure au </w:t>
            </w:r>
            <w:r>
              <w:rPr>
                <w:lang w:eastAsia="fr-FR"/>
              </w:rPr>
              <w:t xml:space="preserve">paragraphe </w:t>
            </w:r>
            <w:r w:rsidRPr="00366A37">
              <w:rPr>
                <w:lang w:eastAsia="fr-FR"/>
              </w:rPr>
              <w:t>4.1.6.15 du RID/ADR.</w:t>
            </w:r>
          </w:p>
        </w:tc>
      </w:tr>
      <w:tr w:rsidR="0088640B" w14:paraId="27ADEBCF" w14:textId="77777777">
        <w:trPr>
          <w:jc w:val="center"/>
        </w:trPr>
        <w:tc>
          <w:tcPr>
            <w:tcW w:w="9637" w:type="dxa"/>
            <w:shd w:val="clear" w:color="auto" w:fill="auto"/>
          </w:tcPr>
          <w:p w14:paraId="3133B4DA" w14:textId="77777777" w:rsidR="0088640B" w:rsidRDefault="0088640B"/>
        </w:tc>
      </w:tr>
    </w:tbl>
    <w:p w14:paraId="563C2B28" w14:textId="77777777" w:rsidR="0088640B" w:rsidRPr="00366A37" w:rsidRDefault="0088640B" w:rsidP="0088640B">
      <w:pPr>
        <w:pStyle w:val="HChG"/>
        <w:rPr>
          <w:lang w:eastAsia="fr-FR"/>
        </w:rPr>
      </w:pPr>
      <w:r w:rsidRPr="00366A37">
        <w:rPr>
          <w:lang w:eastAsia="fr-FR"/>
        </w:rPr>
        <w:tab/>
      </w:r>
      <w:r w:rsidRPr="00366A37">
        <w:rPr>
          <w:lang w:eastAsia="fr-FR"/>
        </w:rPr>
        <w:tab/>
        <w:t>Introduction</w:t>
      </w:r>
    </w:p>
    <w:p w14:paraId="5D5077E5" w14:textId="77777777" w:rsidR="0088640B" w:rsidRPr="00366A37" w:rsidRDefault="0088640B" w:rsidP="0088640B">
      <w:pPr>
        <w:pStyle w:val="SingleTxtG"/>
        <w:rPr>
          <w:lang w:eastAsia="fr-FR"/>
        </w:rPr>
      </w:pPr>
      <w:r w:rsidRPr="00366A37">
        <w:rPr>
          <w:lang w:eastAsia="fr-FR"/>
        </w:rPr>
        <w:t>1.</w:t>
      </w:r>
      <w:r w:rsidRPr="00366A37">
        <w:rPr>
          <w:lang w:eastAsia="fr-FR"/>
        </w:rPr>
        <w:tab/>
        <w:t>On trouve au paragraphe</w:t>
      </w:r>
      <w:r>
        <w:rPr>
          <w:lang w:eastAsia="fr-FR"/>
        </w:rPr>
        <w:t> </w:t>
      </w:r>
      <w:r w:rsidRPr="00366A37">
        <w:rPr>
          <w:lang w:eastAsia="fr-FR"/>
        </w:rPr>
        <w:t>4.1.6.15 du RID/ADR une liste des normes relatives aux dispositifs de protection des robinets qui, pour satisfaire aux dispositions des alinéas</w:t>
      </w:r>
      <w:r>
        <w:rPr>
          <w:lang w:eastAsia="fr-FR"/>
        </w:rPr>
        <w:t> </w:t>
      </w:r>
      <w:r w:rsidRPr="00366A37">
        <w:rPr>
          <w:lang w:eastAsia="fr-FR"/>
        </w:rPr>
        <w:t xml:space="preserve">b) et c) du </w:t>
      </w:r>
      <w:r>
        <w:rPr>
          <w:lang w:eastAsia="fr-FR"/>
        </w:rPr>
        <w:t>paragraphe </w:t>
      </w:r>
      <w:r w:rsidRPr="00366A37">
        <w:rPr>
          <w:lang w:eastAsia="fr-FR"/>
        </w:rPr>
        <w:t>4.1.6.8 du Règlement et de l</w:t>
      </w:r>
      <w:r w:rsidR="008D07C3">
        <w:rPr>
          <w:lang w:eastAsia="fr-FR"/>
        </w:rPr>
        <w:t>’</w:t>
      </w:r>
      <w:r w:rsidRPr="00366A37">
        <w:rPr>
          <w:lang w:eastAsia="fr-FR"/>
        </w:rPr>
        <w:t xml:space="preserve">Accord, doivent être appliquées dans le cas des récipients à pression </w:t>
      </w:r>
      <w:r>
        <w:rPr>
          <w:lang w:eastAsia="fr-FR"/>
        </w:rPr>
        <w:t>« </w:t>
      </w:r>
      <w:r w:rsidRPr="00366A37">
        <w:rPr>
          <w:lang w:eastAsia="fr-FR"/>
        </w:rPr>
        <w:t>UN</w:t>
      </w:r>
      <w:r>
        <w:rPr>
          <w:lang w:eastAsia="fr-FR"/>
        </w:rPr>
        <w:t> »</w:t>
      </w:r>
      <w:r w:rsidRPr="00366A37">
        <w:rPr>
          <w:lang w:eastAsia="fr-FR"/>
        </w:rPr>
        <w:t>. Pour les autres récipients à pression, les dispositions de la section</w:t>
      </w:r>
      <w:r>
        <w:rPr>
          <w:lang w:eastAsia="fr-FR"/>
        </w:rPr>
        <w:t> </w:t>
      </w:r>
      <w:r w:rsidRPr="00366A37">
        <w:rPr>
          <w:lang w:eastAsia="fr-FR"/>
        </w:rPr>
        <w:t xml:space="preserve">4.1.6 sont réputées satisfaites si, dans chaque cas, les normes appropriées énoncées dans le tableau qui figure au </w:t>
      </w:r>
      <w:r>
        <w:rPr>
          <w:lang w:eastAsia="fr-FR"/>
        </w:rPr>
        <w:t>paragraphe </w:t>
      </w:r>
      <w:r w:rsidRPr="00366A37">
        <w:rPr>
          <w:lang w:eastAsia="fr-FR"/>
        </w:rPr>
        <w:t>4.1.6.15 sont appliquées.</w:t>
      </w:r>
    </w:p>
    <w:p w14:paraId="73146847" w14:textId="77777777" w:rsidR="0088640B" w:rsidRPr="00366A37" w:rsidRDefault="0088640B" w:rsidP="0088640B">
      <w:pPr>
        <w:pStyle w:val="SingleTxtG"/>
        <w:rPr>
          <w:lang w:eastAsia="fr-FR"/>
        </w:rPr>
      </w:pPr>
      <w:r w:rsidRPr="00366A37">
        <w:rPr>
          <w:lang w:eastAsia="fr-FR"/>
        </w:rPr>
        <w:t>2.</w:t>
      </w:r>
      <w:r w:rsidRPr="00366A37">
        <w:rPr>
          <w:lang w:eastAsia="fr-FR"/>
        </w:rPr>
        <w:tab/>
        <w:t xml:space="preserve">Les renvois à certaines normes applicables aux dispositifs de protection des robinets </w:t>
      </w:r>
      <w:r>
        <w:rPr>
          <w:lang w:eastAsia="fr-FR"/>
        </w:rPr>
        <w:t xml:space="preserve">qui figurent </w:t>
      </w:r>
      <w:r w:rsidRPr="00366A37">
        <w:rPr>
          <w:lang w:eastAsia="fr-FR"/>
        </w:rPr>
        <w:t xml:space="preserve">dans le tableau du </w:t>
      </w:r>
      <w:r w:rsidRPr="00324A6E">
        <w:rPr>
          <w:lang w:eastAsia="fr-FR"/>
        </w:rPr>
        <w:t xml:space="preserve">paragraphe </w:t>
      </w:r>
      <w:r w:rsidRPr="00366A37">
        <w:rPr>
          <w:lang w:eastAsia="fr-FR"/>
        </w:rPr>
        <w:t xml:space="preserve">4.1.6.15 du RID/ADR </w:t>
      </w:r>
      <w:r w:rsidRPr="00324A6E">
        <w:rPr>
          <w:lang w:eastAsia="fr-FR"/>
        </w:rPr>
        <w:t xml:space="preserve">sont </w:t>
      </w:r>
      <w:r>
        <w:rPr>
          <w:lang w:eastAsia="fr-FR"/>
        </w:rPr>
        <w:t xml:space="preserve">des normes </w:t>
      </w:r>
      <w:r w:rsidRPr="00324A6E">
        <w:rPr>
          <w:lang w:eastAsia="fr-FR"/>
        </w:rPr>
        <w:t xml:space="preserve">anciennes </w:t>
      </w:r>
      <w:r>
        <w:rPr>
          <w:lang w:eastAsia="fr-FR"/>
        </w:rPr>
        <w:lastRenderedPageBreak/>
        <w:t>qui</w:t>
      </w:r>
      <w:r w:rsidRPr="00324A6E">
        <w:rPr>
          <w:lang w:eastAsia="fr-FR"/>
        </w:rPr>
        <w:t xml:space="preserve"> ont été annulées</w:t>
      </w:r>
      <w:r>
        <w:rPr>
          <w:lang w:eastAsia="fr-FR"/>
        </w:rPr>
        <w:t>.</w:t>
      </w:r>
      <w:r w:rsidRPr="00366A37">
        <w:rPr>
          <w:lang w:eastAsia="fr-FR"/>
        </w:rPr>
        <w:t xml:space="preserve"> </w:t>
      </w:r>
      <w:r>
        <w:rPr>
          <w:lang w:eastAsia="fr-FR"/>
        </w:rPr>
        <w:t>Il s</w:t>
      </w:r>
      <w:r w:rsidR="008D07C3">
        <w:rPr>
          <w:lang w:eastAsia="fr-FR"/>
        </w:rPr>
        <w:t>’</w:t>
      </w:r>
      <w:r>
        <w:rPr>
          <w:lang w:eastAsia="fr-FR"/>
        </w:rPr>
        <w:t xml:space="preserve">agit de permettre </w:t>
      </w:r>
      <w:r w:rsidRPr="00366A37">
        <w:rPr>
          <w:lang w:eastAsia="fr-FR"/>
        </w:rPr>
        <w:t xml:space="preserve">de continuer </w:t>
      </w:r>
      <w:r>
        <w:rPr>
          <w:lang w:eastAsia="fr-FR"/>
        </w:rPr>
        <w:t xml:space="preserve">à </w:t>
      </w:r>
      <w:r w:rsidRPr="00366A37">
        <w:rPr>
          <w:lang w:eastAsia="fr-FR"/>
        </w:rPr>
        <w:t>utiliser les dispositifs satisfaisant à ces normes qui avaient été commercialisés à l</w:t>
      </w:r>
      <w:r w:rsidR="008D07C3">
        <w:rPr>
          <w:lang w:eastAsia="fr-FR"/>
        </w:rPr>
        <w:t>’</w:t>
      </w:r>
      <w:r w:rsidRPr="00366A37">
        <w:rPr>
          <w:lang w:eastAsia="fr-FR"/>
        </w:rPr>
        <w:t>époque où elles étaient en vigueur.</w:t>
      </w:r>
    </w:p>
    <w:p w14:paraId="70F14EB2" w14:textId="77777777" w:rsidR="0088640B" w:rsidRPr="00366A37" w:rsidRDefault="0088640B" w:rsidP="0088640B">
      <w:pPr>
        <w:pStyle w:val="SingleTxtG"/>
        <w:rPr>
          <w:lang w:eastAsia="fr-FR"/>
        </w:rPr>
      </w:pPr>
      <w:r w:rsidRPr="00366A37">
        <w:rPr>
          <w:lang w:eastAsia="fr-FR"/>
        </w:rPr>
        <w:t>3.</w:t>
      </w:r>
      <w:r w:rsidRPr="00366A37">
        <w:rPr>
          <w:lang w:eastAsia="fr-FR"/>
        </w:rPr>
        <w:tab/>
        <w:t xml:space="preserve">Toutefois, compte tenu de ce qui précède, les nouveaux récipients à pression « non UN » peuvent non seulement </w:t>
      </w:r>
      <w:r>
        <w:rPr>
          <w:lang w:eastAsia="fr-FR"/>
        </w:rPr>
        <w:t xml:space="preserve">continuer à être </w:t>
      </w:r>
      <w:r w:rsidRPr="00366A37">
        <w:rPr>
          <w:lang w:eastAsia="fr-FR"/>
        </w:rPr>
        <w:t xml:space="preserve">utilisés mais aussi fabriqués et commercialisés </w:t>
      </w:r>
      <w:r>
        <w:rPr>
          <w:lang w:eastAsia="fr-FR"/>
        </w:rPr>
        <w:t xml:space="preserve">conformément aux anciennes </w:t>
      </w:r>
      <w:r w:rsidRPr="00366A37">
        <w:rPr>
          <w:lang w:eastAsia="fr-FR"/>
        </w:rPr>
        <w:t xml:space="preserve">qui sont citées au </w:t>
      </w:r>
      <w:r>
        <w:rPr>
          <w:lang w:eastAsia="fr-FR"/>
        </w:rPr>
        <w:t>paragraphe </w:t>
      </w:r>
      <w:r w:rsidRPr="00366A37">
        <w:rPr>
          <w:lang w:eastAsia="fr-FR"/>
        </w:rPr>
        <w:t>4.1.6.15 du RID/ADR. Il n</w:t>
      </w:r>
      <w:r w:rsidR="008D07C3">
        <w:rPr>
          <w:lang w:eastAsia="fr-FR"/>
        </w:rPr>
        <w:t>’</w:t>
      </w:r>
      <w:r w:rsidRPr="00366A37">
        <w:rPr>
          <w:lang w:eastAsia="fr-FR"/>
        </w:rPr>
        <w:t xml:space="preserve">est donc pas interdit de fabriquer ou de commercialiser des dispositifs de protection des robinets conformes à la norme EN 962:1996 + A2:2000 bien que cette norme ait été annulée et </w:t>
      </w:r>
      <w:r>
        <w:rPr>
          <w:lang w:eastAsia="fr-FR"/>
        </w:rPr>
        <w:t xml:space="preserve">que </w:t>
      </w:r>
      <w:r w:rsidRPr="00366A37">
        <w:rPr>
          <w:lang w:eastAsia="fr-FR"/>
        </w:rPr>
        <w:t xml:space="preserve">des essais complémentaires </w:t>
      </w:r>
      <w:r>
        <w:rPr>
          <w:lang w:eastAsia="fr-FR"/>
        </w:rPr>
        <w:t>ne soient pas (encore)</w:t>
      </w:r>
      <w:r w:rsidRPr="00366A37">
        <w:rPr>
          <w:lang w:eastAsia="fr-FR"/>
        </w:rPr>
        <w:t xml:space="preserve"> exigés </w:t>
      </w:r>
      <w:r>
        <w:rPr>
          <w:lang w:eastAsia="fr-FR"/>
        </w:rPr>
        <w:t xml:space="preserve">en vertu de </w:t>
      </w:r>
      <w:r w:rsidRPr="00366A37">
        <w:rPr>
          <w:lang w:eastAsia="fr-FR"/>
        </w:rPr>
        <w:t>la norme EN ISO 11117:2008 + Cor. 1:2009.</w:t>
      </w:r>
    </w:p>
    <w:p w14:paraId="7464F9DF" w14:textId="77777777" w:rsidR="0088640B" w:rsidRPr="00366A37" w:rsidRDefault="0088640B" w:rsidP="0088640B">
      <w:pPr>
        <w:pStyle w:val="SingleTxtG"/>
        <w:rPr>
          <w:lang w:eastAsia="fr-FR"/>
        </w:rPr>
      </w:pPr>
      <w:r w:rsidRPr="00366A37">
        <w:rPr>
          <w:lang w:eastAsia="fr-FR"/>
        </w:rPr>
        <w:t>4.</w:t>
      </w:r>
      <w:r w:rsidRPr="00366A37">
        <w:rPr>
          <w:lang w:eastAsia="fr-FR"/>
        </w:rPr>
        <w:tab/>
        <w:t>Ce problème ne concerne pas les récipients à pression « UN », auxquels s</w:t>
      </w:r>
      <w:r w:rsidR="008D07C3">
        <w:rPr>
          <w:lang w:eastAsia="fr-FR"/>
        </w:rPr>
        <w:t>’</w:t>
      </w:r>
      <w:r w:rsidRPr="00366A37">
        <w:rPr>
          <w:lang w:eastAsia="fr-FR"/>
        </w:rPr>
        <w:t xml:space="preserve">applique la norme ISO 11117:2008 + A1:2009, actuellement en vigueur, comme </w:t>
      </w:r>
      <w:r>
        <w:rPr>
          <w:lang w:eastAsia="fr-FR"/>
        </w:rPr>
        <w:t xml:space="preserve">il est </w:t>
      </w:r>
      <w:r w:rsidRPr="00366A37">
        <w:rPr>
          <w:lang w:eastAsia="fr-FR"/>
        </w:rPr>
        <w:t xml:space="preserve">prévu au </w:t>
      </w:r>
      <w:r>
        <w:rPr>
          <w:lang w:eastAsia="fr-FR"/>
        </w:rPr>
        <w:t>paragraphe</w:t>
      </w:r>
      <w:r w:rsidR="003F2568">
        <w:rPr>
          <w:lang w:eastAsia="fr-FR"/>
        </w:rPr>
        <w:t> </w:t>
      </w:r>
      <w:r w:rsidRPr="00366A37">
        <w:rPr>
          <w:lang w:eastAsia="fr-FR"/>
        </w:rPr>
        <w:t>6.2.2.3 du RID/ADR. Toutefois, aucune norme applicable aux dispositifs de protection des robinets n</w:t>
      </w:r>
      <w:r w:rsidR="008D07C3">
        <w:rPr>
          <w:lang w:eastAsia="fr-FR"/>
        </w:rPr>
        <w:t>’</w:t>
      </w:r>
      <w:r w:rsidRPr="00366A37">
        <w:rPr>
          <w:lang w:eastAsia="fr-FR"/>
        </w:rPr>
        <w:t xml:space="preserve">est citée au </w:t>
      </w:r>
      <w:r>
        <w:rPr>
          <w:lang w:eastAsia="fr-FR"/>
        </w:rPr>
        <w:t>paragraphe</w:t>
      </w:r>
      <w:r w:rsidR="003F2568">
        <w:rPr>
          <w:lang w:eastAsia="fr-FR"/>
        </w:rPr>
        <w:t> </w:t>
      </w:r>
      <w:r w:rsidRPr="00366A37">
        <w:rPr>
          <w:lang w:eastAsia="fr-FR"/>
        </w:rPr>
        <w:t>6.2.4.1 du Règlement et de l</w:t>
      </w:r>
      <w:r w:rsidR="008D07C3">
        <w:rPr>
          <w:lang w:eastAsia="fr-FR"/>
        </w:rPr>
        <w:t>’</w:t>
      </w:r>
      <w:r w:rsidRPr="00366A37">
        <w:rPr>
          <w:lang w:eastAsia="fr-FR"/>
        </w:rPr>
        <w:t>Accord.</w:t>
      </w:r>
    </w:p>
    <w:p w14:paraId="60D2DFEA" w14:textId="77777777" w:rsidR="0088640B" w:rsidRPr="00366A37" w:rsidRDefault="0088640B" w:rsidP="0088640B">
      <w:pPr>
        <w:pStyle w:val="SingleTxtG"/>
        <w:rPr>
          <w:lang w:eastAsia="fr-FR"/>
        </w:rPr>
      </w:pPr>
      <w:r w:rsidRPr="00366A37">
        <w:rPr>
          <w:lang w:eastAsia="fr-FR"/>
        </w:rPr>
        <w:t>5.</w:t>
      </w:r>
      <w:r w:rsidRPr="00366A37">
        <w:rPr>
          <w:lang w:eastAsia="fr-FR"/>
        </w:rPr>
        <w:tab/>
        <w:t>Le problème ne se pose pas pour les vannes d</w:t>
      </w:r>
      <w:r w:rsidR="008D07C3">
        <w:rPr>
          <w:lang w:eastAsia="fr-FR"/>
        </w:rPr>
        <w:t>’</w:t>
      </w:r>
      <w:r w:rsidRPr="00366A37">
        <w:rPr>
          <w:lang w:eastAsia="fr-FR"/>
        </w:rPr>
        <w:t xml:space="preserve">arrêt couvertes par les dispositions du premier paragraphe du </w:t>
      </w:r>
      <w:r w:rsidRPr="007C1DF9">
        <w:rPr>
          <w:lang w:eastAsia="fr-FR"/>
        </w:rPr>
        <w:t>paragraphe</w:t>
      </w:r>
      <w:r w:rsidR="003F2568">
        <w:rPr>
          <w:lang w:eastAsia="fr-FR"/>
        </w:rPr>
        <w:t> </w:t>
      </w:r>
      <w:r w:rsidRPr="00366A37">
        <w:rPr>
          <w:lang w:eastAsia="fr-FR"/>
        </w:rPr>
        <w:t>4.1.6.8 du RID/ADR, ni pour les robinets couverts par la norme ISO 16111:2008, car aux fins de l</w:t>
      </w:r>
      <w:r w:rsidR="008D07C3">
        <w:rPr>
          <w:lang w:eastAsia="fr-FR"/>
        </w:rPr>
        <w:t>’</w:t>
      </w:r>
      <w:r w:rsidRPr="00366A37">
        <w:rPr>
          <w:lang w:eastAsia="fr-FR"/>
        </w:rPr>
        <w:t>agrément du modèle type, il faut veiller à ce que la norme qui s</w:t>
      </w:r>
      <w:r w:rsidR="008D07C3">
        <w:rPr>
          <w:lang w:eastAsia="fr-FR"/>
        </w:rPr>
        <w:t>’</w:t>
      </w:r>
      <w:r w:rsidRPr="00366A37">
        <w:rPr>
          <w:lang w:eastAsia="fr-FR"/>
        </w:rPr>
        <w:t xml:space="preserve">applique conformément au </w:t>
      </w:r>
      <w:r>
        <w:rPr>
          <w:lang w:eastAsia="fr-FR"/>
        </w:rPr>
        <w:t>paragraphe</w:t>
      </w:r>
      <w:r w:rsidR="003F2568">
        <w:rPr>
          <w:lang w:eastAsia="fr-FR"/>
        </w:rPr>
        <w:t> </w:t>
      </w:r>
      <w:r w:rsidRPr="00366A37">
        <w:rPr>
          <w:lang w:eastAsia="fr-FR"/>
        </w:rPr>
        <w:t xml:space="preserve">6.2.4.1 ou au </w:t>
      </w:r>
      <w:r>
        <w:rPr>
          <w:lang w:eastAsia="fr-FR"/>
        </w:rPr>
        <w:t>paragraphe</w:t>
      </w:r>
      <w:r w:rsidR="003F2568">
        <w:rPr>
          <w:lang w:eastAsia="fr-FR"/>
        </w:rPr>
        <w:t> </w:t>
      </w:r>
      <w:r w:rsidRPr="00366A37">
        <w:rPr>
          <w:lang w:eastAsia="fr-FR"/>
        </w:rPr>
        <w:t>6.2.2.3 du RID/ADR soit respectée.</w:t>
      </w:r>
    </w:p>
    <w:p w14:paraId="14E4F03F" w14:textId="77777777" w:rsidR="0088640B" w:rsidRPr="00366A37" w:rsidRDefault="0088640B" w:rsidP="0088640B">
      <w:pPr>
        <w:pStyle w:val="HChG"/>
        <w:rPr>
          <w:lang w:eastAsia="fr-FR"/>
        </w:rPr>
      </w:pPr>
      <w:r w:rsidRPr="00366A37">
        <w:rPr>
          <w:lang w:eastAsia="fr-FR"/>
        </w:rPr>
        <w:tab/>
      </w:r>
      <w:r w:rsidRPr="00366A37">
        <w:rPr>
          <w:lang w:eastAsia="fr-FR"/>
        </w:rPr>
        <w:tab/>
        <w:t>Proposition</w:t>
      </w:r>
    </w:p>
    <w:p w14:paraId="2DE16B5E" w14:textId="77777777" w:rsidR="0088640B" w:rsidRPr="00366A37" w:rsidRDefault="0088640B" w:rsidP="0088640B">
      <w:pPr>
        <w:pStyle w:val="SingleTxtG"/>
        <w:rPr>
          <w:lang w:eastAsia="fr-FR"/>
        </w:rPr>
      </w:pPr>
      <w:r w:rsidRPr="00366A37">
        <w:rPr>
          <w:lang w:eastAsia="fr-FR"/>
        </w:rPr>
        <w:t>6.</w:t>
      </w:r>
      <w:r w:rsidRPr="00366A37">
        <w:rPr>
          <w:lang w:eastAsia="fr-FR"/>
        </w:rPr>
        <w:tab/>
        <w:t>Il est proposé d</w:t>
      </w:r>
      <w:r w:rsidR="008D07C3">
        <w:rPr>
          <w:lang w:eastAsia="fr-FR"/>
        </w:rPr>
        <w:t>’</w:t>
      </w:r>
      <w:r w:rsidRPr="00366A37">
        <w:rPr>
          <w:lang w:eastAsia="fr-FR"/>
        </w:rPr>
        <w:t xml:space="preserve">ajouter au tableau figurant au </w:t>
      </w:r>
      <w:r>
        <w:rPr>
          <w:lang w:eastAsia="fr-FR"/>
        </w:rPr>
        <w:t>paragraphe</w:t>
      </w:r>
      <w:r w:rsidR="003F2568">
        <w:rPr>
          <w:lang w:eastAsia="fr-FR"/>
        </w:rPr>
        <w:t> </w:t>
      </w:r>
      <w:r w:rsidRPr="00366A37">
        <w:rPr>
          <w:lang w:eastAsia="fr-FR"/>
        </w:rPr>
        <w:t xml:space="preserve">4.1.6.15 du RID/ADR une colonne qui correspondrait à la colonne de droite des tableaux qui figurent au </w:t>
      </w:r>
      <w:r>
        <w:rPr>
          <w:lang w:eastAsia="fr-FR"/>
        </w:rPr>
        <w:t>paragraphe</w:t>
      </w:r>
      <w:r w:rsidR="003F2568">
        <w:rPr>
          <w:lang w:eastAsia="fr-FR"/>
        </w:rPr>
        <w:t> </w:t>
      </w:r>
      <w:r w:rsidRPr="00366A37">
        <w:rPr>
          <w:lang w:eastAsia="fr-FR"/>
        </w:rPr>
        <w:t>6.2.2.1</w:t>
      </w:r>
      <w:r>
        <w:rPr>
          <w:lang w:eastAsia="fr-FR"/>
        </w:rPr>
        <w:t>.</w:t>
      </w:r>
    </w:p>
    <w:p w14:paraId="3BE0BDC1" w14:textId="77777777" w:rsidR="0088640B" w:rsidRPr="00366A37" w:rsidRDefault="0088640B" w:rsidP="0088640B">
      <w:pPr>
        <w:pStyle w:val="SingleTxtG"/>
        <w:rPr>
          <w:lang w:eastAsia="fr-FR"/>
        </w:rPr>
      </w:pPr>
      <w:r w:rsidRPr="00366A37">
        <w:rPr>
          <w:lang w:eastAsia="fr-FR"/>
        </w:rPr>
        <w:t>7.</w:t>
      </w:r>
      <w:r w:rsidRPr="00366A37">
        <w:rPr>
          <w:lang w:eastAsia="fr-FR"/>
        </w:rPr>
        <w:tab/>
        <w:t>Il est également proposé que dans le cas des normes applicables aux robinets munis d</w:t>
      </w:r>
      <w:r w:rsidR="008D07C3">
        <w:rPr>
          <w:lang w:eastAsia="fr-FR"/>
        </w:rPr>
        <w:t>’</w:t>
      </w:r>
      <w:r w:rsidRPr="00366A37">
        <w:rPr>
          <w:lang w:eastAsia="fr-FR"/>
        </w:rPr>
        <w:t>une protection intégrée la référence au paragraphe pertinent de la norme soit rectifiée (remplacer le renvoi</w:t>
      </w:r>
      <w:r>
        <w:rPr>
          <w:lang w:eastAsia="fr-FR"/>
        </w:rPr>
        <w:t xml:space="preserve"> actuel</w:t>
      </w:r>
      <w:r w:rsidRPr="00366A37">
        <w:rPr>
          <w:lang w:eastAsia="fr-FR"/>
        </w:rPr>
        <w:t xml:space="preserve"> à l</w:t>
      </w:r>
      <w:r w:rsidR="008D07C3">
        <w:rPr>
          <w:lang w:eastAsia="fr-FR"/>
        </w:rPr>
        <w:t>’</w:t>
      </w:r>
      <w:r w:rsidRPr="00366A37">
        <w:rPr>
          <w:lang w:eastAsia="fr-FR"/>
        </w:rPr>
        <w:t>annexe traitant de l</w:t>
      </w:r>
      <w:r w:rsidR="008D07C3">
        <w:rPr>
          <w:lang w:eastAsia="fr-FR"/>
        </w:rPr>
        <w:t>’</w:t>
      </w:r>
      <w:r w:rsidRPr="00366A37">
        <w:rPr>
          <w:lang w:eastAsia="fr-FR"/>
        </w:rPr>
        <w:t>épreuve de résistance au choc par un renvoi à la disposition de la norme portant sur le critère d</w:t>
      </w:r>
      <w:r w:rsidR="008D07C3">
        <w:rPr>
          <w:lang w:eastAsia="fr-FR"/>
        </w:rPr>
        <w:t>’</w:t>
      </w:r>
      <w:r w:rsidRPr="00366A37">
        <w:rPr>
          <w:lang w:eastAsia="fr-FR"/>
        </w:rPr>
        <w:t>admissibilité, tout en sachant que dans certaines normes, ce paragraphe renvoie à une annexe relative à cette épreuve), ou qu</w:t>
      </w:r>
      <w:r w:rsidR="008D07C3">
        <w:rPr>
          <w:lang w:eastAsia="fr-FR"/>
        </w:rPr>
        <w:t>’</w:t>
      </w:r>
      <w:r w:rsidRPr="00366A37">
        <w:rPr>
          <w:lang w:eastAsia="fr-FR"/>
        </w:rPr>
        <w:t>elle soit ajoutée.</w:t>
      </w:r>
    </w:p>
    <w:p w14:paraId="37DC6F54" w14:textId="77777777" w:rsidR="0088640B" w:rsidRPr="00366A37" w:rsidRDefault="0088640B" w:rsidP="0088640B">
      <w:pPr>
        <w:pStyle w:val="SingleTxtG"/>
        <w:rPr>
          <w:lang w:eastAsia="fr-FR"/>
        </w:rPr>
      </w:pPr>
      <w:r w:rsidRPr="00366A37">
        <w:rPr>
          <w:lang w:eastAsia="fr-FR"/>
        </w:rPr>
        <w:t>8.</w:t>
      </w:r>
      <w:r w:rsidRPr="00366A37">
        <w:rPr>
          <w:lang w:eastAsia="fr-FR"/>
        </w:rPr>
        <w:tab/>
        <w:t xml:space="preserve">Le tableau figurant au </w:t>
      </w:r>
      <w:r>
        <w:rPr>
          <w:lang w:eastAsia="fr-FR"/>
        </w:rPr>
        <w:t>paragraphe</w:t>
      </w:r>
      <w:r w:rsidR="003F2568">
        <w:rPr>
          <w:lang w:eastAsia="fr-FR"/>
        </w:rPr>
        <w:t> </w:t>
      </w:r>
      <w:r w:rsidRPr="00366A37">
        <w:rPr>
          <w:lang w:eastAsia="fr-FR"/>
        </w:rPr>
        <w:t>4.1.6.15 du RID/ADR se présenterait comme suit :</w:t>
      </w:r>
    </w:p>
    <w:p w14:paraId="1EA7B7AB" w14:textId="77777777" w:rsidR="0088640B" w:rsidRPr="0088640B" w:rsidRDefault="0088640B" w:rsidP="0088640B">
      <w:pPr>
        <w:pStyle w:val="SingleTxtG"/>
        <w:rPr>
          <w:i/>
          <w:lang w:eastAsia="fr-FR"/>
        </w:rPr>
      </w:pPr>
      <w:r w:rsidRPr="0088640B">
        <w:rPr>
          <w:i/>
          <w:lang w:eastAsia="fr-FR"/>
        </w:rPr>
        <w:t>Observations : Les modifications qu</w:t>
      </w:r>
      <w:r w:rsidR="008D07C3">
        <w:rPr>
          <w:i/>
          <w:lang w:eastAsia="fr-FR"/>
        </w:rPr>
        <w:t>’</w:t>
      </w:r>
      <w:r w:rsidRPr="0088640B">
        <w:rPr>
          <w:i/>
          <w:lang w:eastAsia="fr-FR"/>
        </w:rPr>
        <w:t>il est proposé d</w:t>
      </w:r>
      <w:r w:rsidR="008D07C3">
        <w:rPr>
          <w:i/>
          <w:lang w:eastAsia="fr-FR"/>
        </w:rPr>
        <w:t>’</w:t>
      </w:r>
      <w:r w:rsidRPr="0088640B">
        <w:rPr>
          <w:i/>
          <w:lang w:eastAsia="fr-FR"/>
        </w:rPr>
        <w:t>apporter au texte actuel du paragraphe</w:t>
      </w:r>
      <w:r w:rsidR="003F2568">
        <w:rPr>
          <w:i/>
          <w:lang w:eastAsia="fr-FR"/>
        </w:rPr>
        <w:t> </w:t>
      </w:r>
      <w:r w:rsidRPr="0088640B">
        <w:rPr>
          <w:i/>
          <w:lang w:eastAsia="fr-FR"/>
        </w:rPr>
        <w:t>4.1.6.15 à l</w:t>
      </w:r>
      <w:r w:rsidR="008D07C3">
        <w:rPr>
          <w:i/>
          <w:lang w:eastAsia="fr-FR"/>
        </w:rPr>
        <w:t>’</w:t>
      </w:r>
      <w:r w:rsidRPr="0088640B">
        <w:rPr>
          <w:i/>
          <w:lang w:eastAsia="fr-FR"/>
        </w:rPr>
        <w:t>occasion de la révision du RID/ADR qui aura lieu en 2021 ont déjà été prises en compte.</w:t>
      </w:r>
    </w:p>
    <w:p w14:paraId="233DDFE8" w14:textId="77777777" w:rsidR="0088640B" w:rsidRDefault="0088640B" w:rsidP="0088640B">
      <w:pPr>
        <w:pStyle w:val="SingleTxtG"/>
        <w:rPr>
          <w:lang w:eastAsia="fr-FR"/>
        </w:rPr>
      </w:pPr>
      <w:r w:rsidRPr="0088640B">
        <w:rPr>
          <w:i/>
          <w:lang w:eastAsia="fr-FR"/>
        </w:rPr>
        <w:t xml:space="preserve">Les modifications et les ajouts figurent en </w:t>
      </w:r>
      <w:r w:rsidRPr="0088640B">
        <w:rPr>
          <w:i/>
          <w:color w:val="FF0000"/>
          <w:lang w:eastAsia="fr-FR"/>
        </w:rPr>
        <w:t xml:space="preserve">rouge </w:t>
      </w:r>
      <w:r w:rsidRPr="0088640B">
        <w:rPr>
          <w:i/>
          <w:lang w:eastAsia="fr-FR"/>
        </w:rPr>
        <w:t xml:space="preserve">et en caractères </w:t>
      </w:r>
      <w:r w:rsidRPr="0088640B">
        <w:rPr>
          <w:i/>
          <w:u w:val="single"/>
          <w:lang w:eastAsia="fr-FR"/>
        </w:rPr>
        <w:t>soulignés</w:t>
      </w:r>
      <w:r w:rsidRPr="0088640B">
        <w:rPr>
          <w:i/>
          <w:lang w:eastAsia="fr-FR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4801"/>
        <w:gridCol w:w="1436"/>
      </w:tblGrid>
      <w:tr w:rsidR="0088640B" w:rsidRPr="00366A37" w14:paraId="25EEE8DE" w14:textId="77777777" w:rsidTr="008D07C3">
        <w:tc>
          <w:tcPr>
            <w:tcW w:w="1418" w:type="dxa"/>
            <w:shd w:val="clear" w:color="auto" w:fill="auto"/>
          </w:tcPr>
          <w:p w14:paraId="17C39762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b/>
                <w:bCs/>
                <w:sz w:val="18"/>
                <w:szCs w:val="18"/>
                <w:lang w:eastAsia="fr-FR"/>
              </w:rPr>
              <w:lastRenderedPageBreak/>
              <w:t xml:space="preserve">Paragraphes applicables </w:t>
            </w:r>
          </w:p>
        </w:tc>
        <w:tc>
          <w:tcPr>
            <w:tcW w:w="1984" w:type="dxa"/>
            <w:shd w:val="clear" w:color="auto" w:fill="auto"/>
          </w:tcPr>
          <w:p w14:paraId="459344BF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b/>
                <w:bCs/>
                <w:sz w:val="18"/>
                <w:szCs w:val="18"/>
                <w:lang w:eastAsia="fr-FR"/>
              </w:rPr>
              <w:t>Référence</w:t>
            </w:r>
          </w:p>
        </w:tc>
        <w:tc>
          <w:tcPr>
            <w:tcW w:w="4801" w:type="dxa"/>
            <w:shd w:val="clear" w:color="auto" w:fill="auto"/>
          </w:tcPr>
          <w:p w14:paraId="3DC12B6E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b/>
                <w:bCs/>
                <w:sz w:val="18"/>
                <w:szCs w:val="18"/>
                <w:lang w:eastAsia="fr-FR"/>
              </w:rPr>
              <w:t>Titre du document</w:t>
            </w:r>
          </w:p>
        </w:tc>
        <w:tc>
          <w:tcPr>
            <w:tcW w:w="1436" w:type="dxa"/>
            <w:shd w:val="clear" w:color="auto" w:fill="auto"/>
          </w:tcPr>
          <w:p w14:paraId="36ABDED9" w14:textId="77777777" w:rsidR="0088640B" w:rsidRPr="00366A37" w:rsidRDefault="0088640B" w:rsidP="0088640B">
            <w:pPr>
              <w:keepNext/>
              <w:rPr>
                <w:b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b/>
                <w:color w:val="FF0000"/>
                <w:sz w:val="18"/>
                <w:szCs w:val="18"/>
                <w:u w:val="single"/>
                <w:lang w:eastAsia="fr-FR"/>
              </w:rPr>
              <w:t xml:space="preserve">Applicable à </w:t>
            </w:r>
          </w:p>
          <w:p w14:paraId="7A90F409" w14:textId="77777777" w:rsidR="0088640B" w:rsidRPr="00366A37" w:rsidRDefault="0088640B" w:rsidP="0088640B">
            <w:pPr>
              <w:keepNext/>
              <w:rPr>
                <w:rFonts w:cs="Arial"/>
                <w:b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b/>
                <w:color w:val="FF0000"/>
                <w:sz w:val="18"/>
                <w:szCs w:val="18"/>
                <w:u w:val="single"/>
                <w:lang w:eastAsia="fr-FR"/>
              </w:rPr>
              <w:t>la fabrication</w:t>
            </w:r>
          </w:p>
        </w:tc>
      </w:tr>
      <w:tr w:rsidR="0088640B" w:rsidRPr="00366A37" w14:paraId="326C8D7B" w14:textId="77777777" w:rsidTr="008D07C3">
        <w:tc>
          <w:tcPr>
            <w:tcW w:w="1418" w:type="dxa"/>
            <w:vMerge w:val="restart"/>
            <w:shd w:val="clear" w:color="auto" w:fill="auto"/>
          </w:tcPr>
          <w:p w14:paraId="59686031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4.1.6.2</w:t>
            </w:r>
          </w:p>
        </w:tc>
        <w:tc>
          <w:tcPr>
            <w:tcW w:w="1984" w:type="dxa"/>
            <w:shd w:val="clear" w:color="auto" w:fill="auto"/>
          </w:tcPr>
          <w:p w14:paraId="143F25F3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EN ISO 11114-</w:t>
            </w:r>
          </w:p>
          <w:p w14:paraId="559F8F34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1:2012 +</w:t>
            </w:r>
          </w:p>
          <w:p w14:paraId="65459302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A1:2017</w:t>
            </w:r>
          </w:p>
        </w:tc>
        <w:tc>
          <w:tcPr>
            <w:tcW w:w="4801" w:type="dxa"/>
            <w:shd w:val="clear" w:color="auto" w:fill="auto"/>
          </w:tcPr>
          <w:p w14:paraId="39259AC1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Bouteilles à gaz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Compatibilité des matériaux des bouteilles et des robinets avec les contenus gazeux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Partie 1</w:t>
            </w:r>
            <w:r>
              <w:rPr>
                <w:sz w:val="18"/>
                <w:szCs w:val="18"/>
                <w:lang w:eastAsia="fr-FR"/>
              </w:rPr>
              <w:t> </w:t>
            </w:r>
            <w:r w:rsidRPr="00366A37">
              <w:rPr>
                <w:sz w:val="18"/>
                <w:szCs w:val="18"/>
                <w:lang w:eastAsia="fr-FR"/>
              </w:rPr>
              <w:t>: Matériaux métalliques</w:t>
            </w:r>
          </w:p>
        </w:tc>
        <w:tc>
          <w:tcPr>
            <w:tcW w:w="1436" w:type="dxa"/>
            <w:shd w:val="clear" w:color="auto" w:fill="auto"/>
          </w:tcPr>
          <w:p w14:paraId="72AEAE95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–</w:t>
            </w:r>
          </w:p>
        </w:tc>
      </w:tr>
      <w:tr w:rsidR="0088640B" w:rsidRPr="00366A37" w14:paraId="439C4323" w14:textId="77777777" w:rsidTr="008D07C3">
        <w:tc>
          <w:tcPr>
            <w:tcW w:w="1418" w:type="dxa"/>
            <w:vMerge/>
            <w:shd w:val="clear" w:color="auto" w:fill="auto"/>
          </w:tcPr>
          <w:p w14:paraId="097C6B33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14:paraId="052929E5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EN ISO 11114-2:2013</w:t>
            </w:r>
          </w:p>
        </w:tc>
        <w:tc>
          <w:tcPr>
            <w:tcW w:w="4801" w:type="dxa"/>
            <w:shd w:val="clear" w:color="auto" w:fill="auto"/>
          </w:tcPr>
          <w:p w14:paraId="1738E9AC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Bouteilles à gaz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Compatibilité des matériaux des bouteilles et des robinets avec les contenus gazeux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Partie 2</w:t>
            </w:r>
            <w:r>
              <w:rPr>
                <w:sz w:val="18"/>
                <w:szCs w:val="18"/>
                <w:lang w:eastAsia="fr-FR"/>
              </w:rPr>
              <w:t> </w:t>
            </w:r>
            <w:r w:rsidRPr="00366A37">
              <w:rPr>
                <w:sz w:val="18"/>
                <w:szCs w:val="18"/>
                <w:lang w:eastAsia="fr-FR"/>
              </w:rPr>
              <w:t>: Matériaux non métalliques</w:t>
            </w:r>
          </w:p>
        </w:tc>
        <w:tc>
          <w:tcPr>
            <w:tcW w:w="1436" w:type="dxa"/>
            <w:shd w:val="clear" w:color="auto" w:fill="auto"/>
          </w:tcPr>
          <w:p w14:paraId="7D6916CA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–</w:t>
            </w:r>
          </w:p>
        </w:tc>
      </w:tr>
      <w:tr w:rsidR="0088640B" w:rsidRPr="00366A37" w14:paraId="10D7F4CE" w14:textId="77777777" w:rsidTr="008D07C3">
        <w:tc>
          <w:tcPr>
            <w:tcW w:w="1418" w:type="dxa"/>
            <w:shd w:val="clear" w:color="auto" w:fill="auto"/>
          </w:tcPr>
          <w:p w14:paraId="5CC86403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4.1.6.4</w:t>
            </w:r>
          </w:p>
        </w:tc>
        <w:tc>
          <w:tcPr>
            <w:tcW w:w="1984" w:type="dxa"/>
            <w:shd w:val="clear" w:color="auto" w:fill="auto"/>
          </w:tcPr>
          <w:p w14:paraId="0EB1C02D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ISO 11621:1997 ou EN ISO 11621:2005</w:t>
            </w:r>
          </w:p>
        </w:tc>
        <w:tc>
          <w:tcPr>
            <w:tcW w:w="4801" w:type="dxa"/>
            <w:shd w:val="clear" w:color="auto" w:fill="auto"/>
          </w:tcPr>
          <w:p w14:paraId="54264634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Bouteilles à gaz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Mode opératoire pour le changement de service de gaz</w:t>
            </w:r>
          </w:p>
        </w:tc>
        <w:tc>
          <w:tcPr>
            <w:tcW w:w="1436" w:type="dxa"/>
            <w:shd w:val="clear" w:color="auto" w:fill="auto"/>
          </w:tcPr>
          <w:p w14:paraId="5B601A25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–</w:t>
            </w:r>
          </w:p>
        </w:tc>
      </w:tr>
      <w:tr w:rsidR="0088640B" w:rsidRPr="00366A37" w14:paraId="49E54721" w14:textId="77777777" w:rsidTr="008D07C3">
        <w:tc>
          <w:tcPr>
            <w:tcW w:w="1418" w:type="dxa"/>
            <w:vMerge w:val="restart"/>
            <w:shd w:val="clear" w:color="auto" w:fill="auto"/>
          </w:tcPr>
          <w:p w14:paraId="47D743E0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color w:val="215868" w:themeColor="accent5" w:themeShade="80"/>
                <w:sz w:val="18"/>
                <w:szCs w:val="18"/>
                <w:lang w:eastAsia="fr-FR"/>
              </w:rPr>
              <w:t>4.1.6.8 Robinets munis d</w:t>
            </w:r>
            <w:r w:rsidR="008D07C3">
              <w:rPr>
                <w:color w:val="215868" w:themeColor="accent5" w:themeShade="80"/>
                <w:sz w:val="18"/>
                <w:szCs w:val="18"/>
                <w:lang w:eastAsia="fr-FR"/>
              </w:rPr>
              <w:t>’</w:t>
            </w:r>
            <w:r w:rsidRPr="00366A37">
              <w:rPr>
                <w:color w:val="215868" w:themeColor="accent5" w:themeShade="80"/>
                <w:sz w:val="18"/>
                <w:szCs w:val="18"/>
                <w:lang w:eastAsia="fr-FR"/>
              </w:rPr>
              <w:t>une protection intégrée</w:t>
            </w:r>
          </w:p>
        </w:tc>
        <w:tc>
          <w:tcPr>
            <w:tcW w:w="1984" w:type="dxa"/>
            <w:shd w:val="clear" w:color="auto" w:fill="auto"/>
          </w:tcPr>
          <w:p w14:paraId="2853B554" w14:textId="77777777" w:rsidR="0088640B" w:rsidRPr="00366A37" w:rsidRDefault="0088640B" w:rsidP="0088640B">
            <w:pPr>
              <w:keepNext/>
              <w:rPr>
                <w:rFonts w:cs="Arial"/>
                <w:strike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strike/>
                <w:color w:val="FF0000"/>
                <w:sz w:val="18"/>
                <w:szCs w:val="18"/>
                <w:u w:val="single"/>
                <w:lang w:eastAsia="fr-FR"/>
              </w:rPr>
              <w:t>Annexe A</w:t>
            </w:r>
          </w:p>
          <w:p w14:paraId="2E601FE6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Paragraphe 4.6.2</w:t>
            </w:r>
            <w:r w:rsidRPr="00366A37">
              <w:rPr>
                <w:sz w:val="18"/>
                <w:szCs w:val="18"/>
                <w:lang w:eastAsia="fr-FR"/>
              </w:rPr>
              <w:t xml:space="preserve"> de EN ISO 10297:2006 ou</w:t>
            </w:r>
          </w:p>
          <w:p w14:paraId="38B47FDD" w14:textId="77777777" w:rsidR="0088640B" w:rsidRPr="00366A37" w:rsidRDefault="0088640B" w:rsidP="0088640B">
            <w:pPr>
              <w:keepNext/>
              <w:rPr>
                <w:rFonts w:cs="Arial"/>
                <w:strike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strike/>
                <w:color w:val="FF0000"/>
                <w:sz w:val="18"/>
                <w:szCs w:val="18"/>
                <w:u w:val="single"/>
                <w:lang w:eastAsia="fr-FR"/>
              </w:rPr>
              <w:t>annexe A</w:t>
            </w:r>
          </w:p>
          <w:p w14:paraId="7F9A1BCC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paragraphe 5.5.2</w:t>
            </w:r>
            <w:r w:rsidRPr="00366A37">
              <w:rPr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366A37">
              <w:rPr>
                <w:sz w:val="18"/>
                <w:szCs w:val="18"/>
                <w:lang w:eastAsia="fr-FR"/>
              </w:rPr>
              <w:t>de EN ISO</w:t>
            </w:r>
          </w:p>
          <w:p w14:paraId="56294B22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10297:2014 ou</w:t>
            </w:r>
          </w:p>
          <w:p w14:paraId="09343218" w14:textId="77777777" w:rsidR="0088640B" w:rsidRPr="00366A37" w:rsidRDefault="0088640B" w:rsidP="0088640B">
            <w:pPr>
              <w:keepNext/>
              <w:rPr>
                <w:rFonts w:cs="Arial"/>
                <w:strike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strike/>
                <w:color w:val="FF0000"/>
                <w:sz w:val="18"/>
                <w:szCs w:val="18"/>
                <w:u w:val="single"/>
                <w:lang w:eastAsia="fr-FR"/>
              </w:rPr>
              <w:t>annexe A</w:t>
            </w:r>
          </w:p>
          <w:p w14:paraId="327274EC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paragraphe 5.5.2</w:t>
            </w:r>
            <w:r w:rsidRPr="00366A37">
              <w:rPr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366A37">
              <w:rPr>
                <w:strike/>
                <w:color w:val="FF0000"/>
                <w:sz w:val="18"/>
                <w:szCs w:val="18"/>
                <w:lang w:eastAsia="fr-FR"/>
              </w:rPr>
              <w:t>ou</w:t>
            </w:r>
            <w:r w:rsidRPr="00366A37">
              <w:rPr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de</w:t>
            </w:r>
            <w:r w:rsidRPr="00366A37">
              <w:rPr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366A37">
              <w:rPr>
                <w:sz w:val="18"/>
                <w:szCs w:val="18"/>
                <w:lang w:eastAsia="fr-FR"/>
              </w:rPr>
              <w:t>EN ISO 10297:2014 + A1:2017</w:t>
            </w:r>
          </w:p>
        </w:tc>
        <w:tc>
          <w:tcPr>
            <w:tcW w:w="4801" w:type="dxa"/>
            <w:shd w:val="clear" w:color="auto" w:fill="auto"/>
          </w:tcPr>
          <w:p w14:paraId="6BFC5008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Bouteilles à gaz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Robinets de bouteilles à gaz</w:t>
            </w:r>
            <w:r>
              <w:rPr>
                <w:sz w:val="18"/>
                <w:szCs w:val="18"/>
                <w:lang w:eastAsia="fr-FR"/>
              </w:rPr>
              <w:t xml:space="preserve"> −</w:t>
            </w:r>
            <w:r w:rsidRPr="00366A37">
              <w:rPr>
                <w:sz w:val="18"/>
                <w:szCs w:val="18"/>
                <w:lang w:eastAsia="fr-FR"/>
              </w:rPr>
              <w:t xml:space="preserve"> Spécifications et essais de type</w:t>
            </w:r>
          </w:p>
        </w:tc>
        <w:tc>
          <w:tcPr>
            <w:tcW w:w="1436" w:type="dxa"/>
            <w:shd w:val="clear" w:color="auto" w:fill="auto"/>
          </w:tcPr>
          <w:p w14:paraId="49973BFD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Voir le</w:t>
            </w:r>
            <w:r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 paragraphe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 6.2.4.1</w:t>
            </w:r>
          </w:p>
        </w:tc>
      </w:tr>
      <w:tr w:rsidR="0088640B" w:rsidRPr="00366A37" w14:paraId="43897749" w14:textId="77777777" w:rsidTr="008D07C3">
        <w:tc>
          <w:tcPr>
            <w:tcW w:w="1418" w:type="dxa"/>
            <w:vMerge/>
            <w:shd w:val="clear" w:color="auto" w:fill="auto"/>
          </w:tcPr>
          <w:p w14:paraId="7BE69E3E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14:paraId="5951A7E2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Paragraphe 5.3.8 de</w:t>
            </w:r>
            <w:r w:rsidRPr="00366A37">
              <w:rPr>
                <w:sz w:val="18"/>
                <w:szCs w:val="18"/>
                <w:lang w:eastAsia="fr-FR"/>
              </w:rPr>
              <w:t xml:space="preserve"> EN 13152:2001 +</w:t>
            </w:r>
          </w:p>
          <w:p w14:paraId="2CA27094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A1:2003</w:t>
            </w:r>
          </w:p>
        </w:tc>
        <w:tc>
          <w:tcPr>
            <w:tcW w:w="4801" w:type="dxa"/>
            <w:shd w:val="clear" w:color="auto" w:fill="auto"/>
          </w:tcPr>
          <w:p w14:paraId="6EC5B1AF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Spécifications et essais pour valves de bouteilles de GPL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Fermeture automatique</w:t>
            </w:r>
          </w:p>
        </w:tc>
        <w:tc>
          <w:tcPr>
            <w:tcW w:w="1436" w:type="dxa"/>
            <w:shd w:val="clear" w:color="auto" w:fill="auto"/>
          </w:tcPr>
          <w:p w14:paraId="313E7133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Voir le </w:t>
            </w:r>
            <w:r w:rsidRPr="00522B40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paragraphe 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6.2.4.1</w:t>
            </w:r>
          </w:p>
        </w:tc>
      </w:tr>
      <w:tr w:rsidR="0088640B" w:rsidRPr="00366A37" w14:paraId="32E0F82E" w14:textId="77777777" w:rsidTr="008D07C3">
        <w:tc>
          <w:tcPr>
            <w:tcW w:w="1418" w:type="dxa"/>
            <w:vMerge/>
            <w:shd w:val="clear" w:color="auto" w:fill="auto"/>
          </w:tcPr>
          <w:p w14:paraId="0BB2097C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14:paraId="482284FB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Paragraphe 5.3.7 de</w:t>
            </w:r>
            <w:r w:rsidRPr="00366A37">
              <w:rPr>
                <w:sz w:val="18"/>
                <w:szCs w:val="18"/>
                <w:lang w:eastAsia="fr-FR"/>
              </w:rPr>
              <w:t xml:space="preserve"> EN 13153:2001 + A1:2003</w:t>
            </w:r>
          </w:p>
        </w:tc>
        <w:tc>
          <w:tcPr>
            <w:tcW w:w="4801" w:type="dxa"/>
            <w:shd w:val="clear" w:color="auto" w:fill="auto"/>
          </w:tcPr>
          <w:p w14:paraId="6F546E18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Spécifications et essais des robinets de bouteilles de GPL Fermeture manuelle</w:t>
            </w:r>
          </w:p>
        </w:tc>
        <w:tc>
          <w:tcPr>
            <w:tcW w:w="1436" w:type="dxa"/>
            <w:shd w:val="clear" w:color="auto" w:fill="auto"/>
          </w:tcPr>
          <w:p w14:paraId="1510718D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Voir le </w:t>
            </w:r>
            <w:r w:rsidRPr="00522B40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paragraphe 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6.2.4.1</w:t>
            </w:r>
          </w:p>
        </w:tc>
      </w:tr>
      <w:tr w:rsidR="0088640B" w:rsidRPr="00366A37" w14:paraId="3E160D6A" w14:textId="77777777" w:rsidTr="008D07C3">
        <w:tc>
          <w:tcPr>
            <w:tcW w:w="1418" w:type="dxa"/>
            <w:vMerge/>
            <w:shd w:val="clear" w:color="auto" w:fill="auto"/>
          </w:tcPr>
          <w:p w14:paraId="7B9DBAE6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14:paraId="6D18009D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Paragraphe 5 9 de</w:t>
            </w:r>
            <w:r w:rsidRPr="00366A37">
              <w:rPr>
                <w:sz w:val="18"/>
                <w:szCs w:val="18"/>
                <w:lang w:eastAsia="fr-FR"/>
              </w:rPr>
              <w:t xml:space="preserve"> EN ISO 14245:2010</w:t>
            </w:r>
          </w:p>
        </w:tc>
        <w:tc>
          <w:tcPr>
            <w:tcW w:w="4801" w:type="dxa"/>
            <w:shd w:val="clear" w:color="auto" w:fill="auto"/>
          </w:tcPr>
          <w:p w14:paraId="4CDC7900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Bouteilles à gaz. Spécifications et essais pour valves de bouteilles de GPL. Fermeture automatique (ISO 14245:2006)</w:t>
            </w:r>
          </w:p>
        </w:tc>
        <w:tc>
          <w:tcPr>
            <w:tcW w:w="1436" w:type="dxa"/>
            <w:shd w:val="clear" w:color="auto" w:fill="auto"/>
          </w:tcPr>
          <w:p w14:paraId="411AD97B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Voir le </w:t>
            </w:r>
            <w:r w:rsidRPr="00522B40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paragraphe 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6.2.4.1</w:t>
            </w:r>
          </w:p>
        </w:tc>
      </w:tr>
      <w:tr w:rsidR="0088640B" w:rsidRPr="00366A37" w14:paraId="6908736B" w14:textId="77777777" w:rsidTr="008D07C3">
        <w:tc>
          <w:tcPr>
            <w:tcW w:w="1418" w:type="dxa"/>
            <w:vMerge/>
            <w:shd w:val="clear" w:color="auto" w:fill="auto"/>
          </w:tcPr>
          <w:p w14:paraId="6F0D6B27" w14:textId="77777777" w:rsidR="0088640B" w:rsidRPr="00366A37" w:rsidRDefault="0088640B" w:rsidP="0088640B">
            <w:pPr>
              <w:keepNext/>
              <w:rPr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14:paraId="70D4BA97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Paragraphe 5.10 de</w:t>
            </w:r>
            <w:r w:rsidRPr="00366A37">
              <w:rPr>
                <w:sz w:val="18"/>
                <w:szCs w:val="18"/>
                <w:lang w:eastAsia="fr-FR"/>
              </w:rPr>
              <w:t xml:space="preserve"> EN ISO</w:t>
            </w:r>
          </w:p>
          <w:p w14:paraId="2C0723C6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15995:2010</w:t>
            </w:r>
          </w:p>
        </w:tc>
        <w:tc>
          <w:tcPr>
            <w:tcW w:w="4801" w:type="dxa"/>
            <w:shd w:val="clear" w:color="auto" w:fill="auto"/>
          </w:tcPr>
          <w:p w14:paraId="28F43295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Bouteilles à gaz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Spécifications et essais pour valves de bouteilles de GPL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Fermeture manuelle (ISO 15995:2006)</w:t>
            </w:r>
          </w:p>
        </w:tc>
        <w:tc>
          <w:tcPr>
            <w:tcW w:w="1436" w:type="dxa"/>
            <w:shd w:val="clear" w:color="auto" w:fill="auto"/>
          </w:tcPr>
          <w:p w14:paraId="3B4534D4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Voir le </w:t>
            </w:r>
            <w:r w:rsidRPr="00522B40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paragraphe 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6.2.4.1</w:t>
            </w:r>
          </w:p>
        </w:tc>
      </w:tr>
      <w:tr w:rsidR="0088640B" w:rsidRPr="00366A37" w14:paraId="23E61707" w14:textId="77777777" w:rsidTr="008D07C3">
        <w:tc>
          <w:tcPr>
            <w:tcW w:w="1418" w:type="dxa"/>
            <w:vMerge/>
            <w:shd w:val="clear" w:color="auto" w:fill="auto"/>
          </w:tcPr>
          <w:p w14:paraId="0440B7E0" w14:textId="77777777" w:rsidR="0088640B" w:rsidRPr="00366A37" w:rsidRDefault="0088640B" w:rsidP="0088640B">
            <w:pPr>
              <w:keepNext/>
              <w:rPr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14:paraId="41DAC459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Paragraphe 5.4.2 de</w:t>
            </w:r>
            <w:r w:rsidRPr="00366A37">
              <w:rPr>
                <w:color w:val="FF0000"/>
                <w:sz w:val="18"/>
                <w:szCs w:val="18"/>
                <w:lang w:eastAsia="fr-FR"/>
              </w:rPr>
              <w:t xml:space="preserve"> </w:t>
            </w:r>
            <w:r w:rsidRPr="00366A37">
              <w:rPr>
                <w:sz w:val="18"/>
                <w:szCs w:val="18"/>
                <w:lang w:eastAsia="fr-FR"/>
              </w:rPr>
              <w:t>EN ISO 17879:2017</w:t>
            </w:r>
          </w:p>
        </w:tc>
        <w:tc>
          <w:tcPr>
            <w:tcW w:w="4801" w:type="dxa"/>
            <w:shd w:val="clear" w:color="auto" w:fill="auto"/>
          </w:tcPr>
          <w:p w14:paraId="00AB581D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Bouteilles à gaz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Robinets de bouteilles équipés de clapets auto-obturants </w:t>
            </w:r>
            <w:r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Spécifications et essais de type</w:t>
            </w:r>
          </w:p>
        </w:tc>
        <w:tc>
          <w:tcPr>
            <w:tcW w:w="1436" w:type="dxa"/>
            <w:shd w:val="clear" w:color="auto" w:fill="auto"/>
          </w:tcPr>
          <w:p w14:paraId="485FF27A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Voir le </w:t>
            </w:r>
            <w:r w:rsidRPr="00522B40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paragraphe 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6.2.4.1</w:t>
            </w:r>
          </w:p>
        </w:tc>
      </w:tr>
      <w:tr w:rsidR="0088640B" w:rsidRPr="00366A37" w14:paraId="105A3B35" w14:textId="77777777" w:rsidTr="008D07C3">
        <w:tc>
          <w:tcPr>
            <w:tcW w:w="1418" w:type="dxa"/>
            <w:vMerge w:val="restart"/>
            <w:shd w:val="clear" w:color="auto" w:fill="auto"/>
          </w:tcPr>
          <w:p w14:paraId="4D0E2B47" w14:textId="77777777" w:rsidR="0088640B" w:rsidRPr="00366A37" w:rsidRDefault="0088640B" w:rsidP="0088640B">
            <w:pPr>
              <w:keepNext/>
              <w:rPr>
                <w:lang w:eastAsia="fr-FR"/>
              </w:rPr>
            </w:pPr>
            <w:r w:rsidRPr="00366A37">
              <w:rPr>
                <w:color w:val="215868" w:themeColor="accent5" w:themeShade="80"/>
                <w:sz w:val="18"/>
                <w:szCs w:val="18"/>
                <w:lang w:eastAsia="fr-FR"/>
              </w:rPr>
              <w:t>4.1.6.8 b) et c)</w:t>
            </w:r>
          </w:p>
        </w:tc>
        <w:tc>
          <w:tcPr>
            <w:tcW w:w="1984" w:type="dxa"/>
            <w:shd w:val="clear" w:color="auto" w:fill="auto"/>
          </w:tcPr>
          <w:p w14:paraId="339F246D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ISO 11117:1998</w:t>
            </w:r>
          </w:p>
        </w:tc>
        <w:tc>
          <w:tcPr>
            <w:tcW w:w="4801" w:type="dxa"/>
            <w:shd w:val="clear" w:color="auto" w:fill="auto"/>
          </w:tcPr>
          <w:p w14:paraId="7B453712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Bouteilles à gaz </w:t>
            </w:r>
            <w:r w:rsidR="008D07C3"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Chapeaux fermés et chapeaux ouverts de protection des robinets de bouteilles à gaz industriels et médicaux </w:t>
            </w:r>
            <w:r w:rsidR="008D07C3"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Conception, construction et essais</w:t>
            </w:r>
          </w:p>
        </w:tc>
        <w:tc>
          <w:tcPr>
            <w:tcW w:w="1436" w:type="dxa"/>
            <w:shd w:val="clear" w:color="auto" w:fill="auto"/>
          </w:tcPr>
          <w:p w14:paraId="295EA6B3" w14:textId="77777777" w:rsidR="0088640B" w:rsidRPr="00366A37" w:rsidRDefault="0088640B" w:rsidP="0088640B">
            <w:pPr>
              <w:keepNext/>
              <w:rPr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Jusqu</w:t>
            </w:r>
            <w:r w:rsidR="008D07C3">
              <w:rPr>
                <w:color w:val="FF0000"/>
                <w:sz w:val="18"/>
                <w:szCs w:val="18"/>
                <w:u w:val="single"/>
                <w:lang w:eastAsia="fr-FR"/>
              </w:rPr>
              <w:t>’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au 31 </w:t>
            </w:r>
          </w:p>
          <w:p w14:paraId="2F2DEFEE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décembre 2010</w:t>
            </w:r>
          </w:p>
        </w:tc>
      </w:tr>
      <w:tr w:rsidR="0088640B" w:rsidRPr="00366A37" w14:paraId="18A83465" w14:textId="77777777" w:rsidTr="008D07C3">
        <w:tc>
          <w:tcPr>
            <w:tcW w:w="1418" w:type="dxa"/>
            <w:vMerge/>
            <w:shd w:val="clear" w:color="auto" w:fill="auto"/>
          </w:tcPr>
          <w:p w14:paraId="709E0724" w14:textId="77777777" w:rsidR="0088640B" w:rsidRPr="00366A37" w:rsidRDefault="0088640B" w:rsidP="0088640B">
            <w:pPr>
              <w:keepNext/>
              <w:rPr>
                <w:rFonts w:ascii="ArialMT" w:hAnsi="ArialMT" w:cs="ArialMT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14:paraId="7984D454" w14:textId="77777777" w:rsidR="0088640B" w:rsidRPr="00366A37" w:rsidRDefault="0088640B" w:rsidP="0088640B">
            <w:pPr>
              <w:keepNext/>
              <w:rPr>
                <w:rFonts w:cs="Arial"/>
                <w:strike/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strike/>
                <w:color w:val="FF0000"/>
                <w:sz w:val="18"/>
                <w:szCs w:val="18"/>
                <w:u w:val="single"/>
                <w:lang w:eastAsia="fr-FR"/>
              </w:rPr>
              <w:t>ou</w:t>
            </w:r>
          </w:p>
          <w:p w14:paraId="77D29C37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highlight w:val="yellow"/>
                <w:u w:val="single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EN ISO 11117:2008</w:t>
            </w:r>
            <w:r w:rsidRPr="00366A37">
              <w:rPr>
                <w:sz w:val="18"/>
                <w:szCs w:val="18"/>
                <w:lang w:eastAsia="fr-FR"/>
              </w:rPr>
              <w:br/>
              <w:t>+ Cor 1:2009</w:t>
            </w:r>
          </w:p>
        </w:tc>
        <w:tc>
          <w:tcPr>
            <w:tcW w:w="4801" w:type="dxa"/>
            <w:shd w:val="clear" w:color="auto" w:fill="auto"/>
          </w:tcPr>
          <w:p w14:paraId="65BFD401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Bouteilles à gaz </w:t>
            </w:r>
            <w:r w:rsidR="008D07C3"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Chapeaux fermés et chapeaux ouverts de protection des robinets </w:t>
            </w:r>
            <w:r w:rsidR="008D07C3"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Conception, construction et essais</w:t>
            </w:r>
          </w:p>
        </w:tc>
        <w:tc>
          <w:tcPr>
            <w:tcW w:w="1436" w:type="dxa"/>
            <w:shd w:val="clear" w:color="auto" w:fill="auto"/>
          </w:tcPr>
          <w:p w14:paraId="0B35051B" w14:textId="77777777" w:rsidR="0088640B" w:rsidRPr="00366A37" w:rsidRDefault="0088640B" w:rsidP="0088640B">
            <w:pPr>
              <w:keepNext/>
              <w:rPr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Jusqu</w:t>
            </w:r>
            <w:r w:rsidR="008D07C3">
              <w:rPr>
                <w:color w:val="FF0000"/>
                <w:sz w:val="18"/>
                <w:szCs w:val="18"/>
                <w:u w:val="single"/>
                <w:lang w:eastAsia="fr-FR"/>
              </w:rPr>
              <w:t>’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à nouvel </w:t>
            </w:r>
          </w:p>
          <w:p w14:paraId="0C118F04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ordre</w:t>
            </w:r>
          </w:p>
        </w:tc>
      </w:tr>
      <w:tr w:rsidR="0088640B" w:rsidRPr="00366A37" w14:paraId="3FA2782D" w14:textId="77777777" w:rsidTr="008D07C3">
        <w:tc>
          <w:tcPr>
            <w:tcW w:w="1418" w:type="dxa"/>
            <w:vMerge/>
            <w:shd w:val="clear" w:color="auto" w:fill="auto"/>
          </w:tcPr>
          <w:p w14:paraId="07EEB30D" w14:textId="77777777" w:rsidR="0088640B" w:rsidRPr="00366A37" w:rsidRDefault="0088640B" w:rsidP="0088640B">
            <w:pPr>
              <w:keepNext/>
              <w:rPr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14:paraId="6B57C194" w14:textId="77777777" w:rsidR="0088640B" w:rsidRPr="00366A37" w:rsidRDefault="0088640B" w:rsidP="0088640B">
            <w:pPr>
              <w:keepNext/>
              <w:rPr>
                <w:rFonts w:cs="Arial"/>
                <w:sz w:val="18"/>
                <w:szCs w:val="18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EN 962:1996 +</w:t>
            </w:r>
          </w:p>
          <w:p w14:paraId="20AA2C06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A2:2000</w:t>
            </w:r>
          </w:p>
        </w:tc>
        <w:tc>
          <w:tcPr>
            <w:tcW w:w="4801" w:type="dxa"/>
            <w:shd w:val="clear" w:color="auto" w:fill="auto"/>
          </w:tcPr>
          <w:p w14:paraId="3B67B354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Bouteilles à gaz transportables </w:t>
            </w:r>
            <w:r w:rsidR="008D07C3"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Chapeaux fermés et chapeaux ouverts de protection des robinets de bouteilles à gaz industriels et médicaux </w:t>
            </w:r>
            <w:r w:rsidR="008D07C3"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Conception, construction et essais</w:t>
            </w:r>
          </w:p>
        </w:tc>
        <w:tc>
          <w:tcPr>
            <w:tcW w:w="1436" w:type="dxa"/>
            <w:shd w:val="clear" w:color="auto" w:fill="auto"/>
          </w:tcPr>
          <w:p w14:paraId="14576C7E" w14:textId="77777777" w:rsidR="0088640B" w:rsidRPr="00366A37" w:rsidRDefault="0088640B" w:rsidP="0088640B">
            <w:pPr>
              <w:keepNext/>
              <w:rPr>
                <w:color w:val="FF0000"/>
                <w:sz w:val="18"/>
                <w:szCs w:val="18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Jusqu</w:t>
            </w:r>
            <w:r w:rsidR="008D07C3">
              <w:rPr>
                <w:color w:val="FF0000"/>
                <w:sz w:val="18"/>
                <w:szCs w:val="18"/>
                <w:u w:val="single"/>
                <w:lang w:eastAsia="fr-FR"/>
              </w:rPr>
              <w:t>’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au 31 </w:t>
            </w:r>
          </w:p>
          <w:p w14:paraId="78E9E27B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décembre 2010</w:t>
            </w:r>
          </w:p>
        </w:tc>
      </w:tr>
      <w:tr w:rsidR="0088640B" w:rsidRPr="00366A37" w14:paraId="3F911B05" w14:textId="77777777" w:rsidTr="008D07C3">
        <w:tc>
          <w:tcPr>
            <w:tcW w:w="1418" w:type="dxa"/>
            <w:vMerge/>
            <w:shd w:val="clear" w:color="auto" w:fill="auto"/>
          </w:tcPr>
          <w:p w14:paraId="56E93AFA" w14:textId="77777777" w:rsidR="0088640B" w:rsidRPr="00366A37" w:rsidRDefault="0088640B" w:rsidP="0088640B">
            <w:pPr>
              <w:keepNext/>
              <w:rPr>
                <w:lang w:eastAsia="fr-FR"/>
              </w:rPr>
            </w:pPr>
          </w:p>
        </w:tc>
        <w:tc>
          <w:tcPr>
            <w:tcW w:w="1984" w:type="dxa"/>
            <w:shd w:val="clear" w:color="auto" w:fill="auto"/>
          </w:tcPr>
          <w:p w14:paraId="4C88607C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>ISO 16111:2008</w:t>
            </w:r>
          </w:p>
        </w:tc>
        <w:tc>
          <w:tcPr>
            <w:tcW w:w="4801" w:type="dxa"/>
            <w:shd w:val="clear" w:color="auto" w:fill="auto"/>
          </w:tcPr>
          <w:p w14:paraId="26EA62D2" w14:textId="77777777" w:rsidR="0088640B" w:rsidRPr="00366A37" w:rsidRDefault="0088640B" w:rsidP="0088640B">
            <w:pPr>
              <w:keepNext/>
              <w:rPr>
                <w:rFonts w:cs="Arial"/>
                <w:lang w:eastAsia="fr-FR"/>
              </w:rPr>
            </w:pPr>
            <w:r w:rsidRPr="00366A37">
              <w:rPr>
                <w:sz w:val="18"/>
                <w:szCs w:val="18"/>
                <w:lang w:eastAsia="fr-FR"/>
              </w:rPr>
              <w:t xml:space="preserve">Appareils de stockage de gaz transportables </w:t>
            </w:r>
            <w:r w:rsidR="008D07C3">
              <w:rPr>
                <w:sz w:val="18"/>
                <w:szCs w:val="18"/>
                <w:lang w:eastAsia="fr-FR"/>
              </w:rPr>
              <w:t>−</w:t>
            </w:r>
            <w:r w:rsidRPr="00366A37">
              <w:rPr>
                <w:sz w:val="18"/>
                <w:szCs w:val="18"/>
                <w:lang w:eastAsia="fr-FR"/>
              </w:rPr>
              <w:t xml:space="preserve"> Hydrogène absorbé dans un hydrure métallique réversible</w:t>
            </w:r>
          </w:p>
        </w:tc>
        <w:tc>
          <w:tcPr>
            <w:tcW w:w="1436" w:type="dxa"/>
            <w:shd w:val="clear" w:color="auto" w:fill="auto"/>
          </w:tcPr>
          <w:p w14:paraId="08DDC9BD" w14:textId="77777777" w:rsidR="0088640B" w:rsidRPr="00366A37" w:rsidRDefault="0088640B" w:rsidP="0088640B">
            <w:pPr>
              <w:keepNext/>
              <w:rPr>
                <w:rFonts w:cs="Arial"/>
                <w:color w:val="FF0000"/>
                <w:u w:val="single"/>
                <w:lang w:eastAsia="fr-FR"/>
              </w:rPr>
            </w:pP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Voir le </w:t>
            </w:r>
            <w:r w:rsidRPr="00522B40">
              <w:rPr>
                <w:color w:val="FF0000"/>
                <w:sz w:val="18"/>
                <w:szCs w:val="18"/>
                <w:u w:val="single"/>
                <w:lang w:eastAsia="fr-FR"/>
              </w:rPr>
              <w:t xml:space="preserve">paragraphe </w:t>
            </w:r>
            <w:r w:rsidRPr="00366A37">
              <w:rPr>
                <w:color w:val="FF0000"/>
                <w:sz w:val="18"/>
                <w:szCs w:val="18"/>
                <w:u w:val="single"/>
                <w:lang w:eastAsia="fr-FR"/>
              </w:rPr>
              <w:t>6.2.2.3</w:t>
            </w:r>
          </w:p>
        </w:tc>
      </w:tr>
    </w:tbl>
    <w:p w14:paraId="3CC673F8" w14:textId="77777777" w:rsidR="0088640B" w:rsidRPr="00366A37" w:rsidRDefault="0088640B" w:rsidP="0088640B">
      <w:pPr>
        <w:pStyle w:val="HChG"/>
        <w:rPr>
          <w:lang w:eastAsia="fr-FR"/>
        </w:rPr>
      </w:pPr>
      <w:r w:rsidRPr="00366A37">
        <w:rPr>
          <w:lang w:eastAsia="fr-FR"/>
        </w:rPr>
        <w:tab/>
      </w:r>
      <w:r w:rsidRPr="00366A37">
        <w:rPr>
          <w:lang w:eastAsia="fr-FR"/>
        </w:rPr>
        <w:tab/>
        <w:t>Justification</w:t>
      </w:r>
    </w:p>
    <w:p w14:paraId="245BD32D" w14:textId="77777777" w:rsidR="0088640B" w:rsidRDefault="0088640B" w:rsidP="0088640B">
      <w:pPr>
        <w:pStyle w:val="SingleTxtG"/>
        <w:rPr>
          <w:lang w:eastAsia="fr-FR"/>
        </w:rPr>
      </w:pPr>
      <w:r w:rsidRPr="00366A37">
        <w:rPr>
          <w:lang w:eastAsia="fr-FR"/>
        </w:rPr>
        <w:t>9.</w:t>
      </w:r>
      <w:r w:rsidRPr="00366A37">
        <w:rPr>
          <w:lang w:eastAsia="fr-FR"/>
        </w:rPr>
        <w:tab/>
        <w:t>Les amendements proposés explicitent les dispositions relatives à la vente de nouveaux dispositifs de protection des robinets utilisés pour les récipients à pression « non UN ».</w:t>
      </w:r>
    </w:p>
    <w:p w14:paraId="71C13644" w14:textId="77777777" w:rsidR="0088640B" w:rsidRPr="0088640B" w:rsidRDefault="0088640B" w:rsidP="0088640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640B" w:rsidRPr="0088640B" w:rsidSect="0088640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2B8A" w14:textId="77777777" w:rsidR="000A4344" w:rsidRDefault="000A4344" w:rsidP="00F95C08">
      <w:pPr>
        <w:spacing w:line="240" w:lineRule="auto"/>
      </w:pPr>
    </w:p>
  </w:endnote>
  <w:endnote w:type="continuationSeparator" w:id="0">
    <w:p w14:paraId="4C1C79E7" w14:textId="77777777" w:rsidR="000A4344" w:rsidRPr="00AC3823" w:rsidRDefault="000A4344" w:rsidP="00AC3823">
      <w:pPr>
        <w:pStyle w:val="Footer"/>
      </w:pPr>
    </w:p>
  </w:endnote>
  <w:endnote w:type="continuationNotice" w:id="1">
    <w:p w14:paraId="13F354F9" w14:textId="77777777" w:rsidR="000A4344" w:rsidRDefault="000A43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479AF" w14:textId="77777777" w:rsidR="0088640B" w:rsidRPr="0088640B" w:rsidRDefault="0088640B" w:rsidP="0088640B">
    <w:pPr>
      <w:pStyle w:val="Footer"/>
      <w:tabs>
        <w:tab w:val="right" w:pos="9638"/>
      </w:tabs>
    </w:pPr>
    <w:r w:rsidRPr="0088640B">
      <w:rPr>
        <w:b/>
        <w:sz w:val="18"/>
      </w:rPr>
      <w:fldChar w:fldCharType="begin"/>
    </w:r>
    <w:r w:rsidRPr="0088640B">
      <w:rPr>
        <w:b/>
        <w:sz w:val="18"/>
      </w:rPr>
      <w:instrText xml:space="preserve"> PAGE  \* MERGEFORMAT </w:instrText>
    </w:r>
    <w:r w:rsidRPr="0088640B">
      <w:rPr>
        <w:b/>
        <w:sz w:val="18"/>
      </w:rPr>
      <w:fldChar w:fldCharType="separate"/>
    </w:r>
    <w:r w:rsidRPr="0088640B">
      <w:rPr>
        <w:b/>
        <w:noProof/>
        <w:sz w:val="18"/>
      </w:rPr>
      <w:t>2</w:t>
    </w:r>
    <w:r w:rsidRPr="0088640B">
      <w:rPr>
        <w:b/>
        <w:sz w:val="18"/>
      </w:rPr>
      <w:fldChar w:fldCharType="end"/>
    </w:r>
    <w:r>
      <w:rPr>
        <w:b/>
        <w:sz w:val="18"/>
      </w:rPr>
      <w:tab/>
    </w:r>
    <w:r>
      <w:t>GE.19-21802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01DAE" w14:textId="77777777" w:rsidR="0088640B" w:rsidRPr="0088640B" w:rsidRDefault="0088640B" w:rsidP="0088640B">
    <w:pPr>
      <w:pStyle w:val="Footer"/>
      <w:tabs>
        <w:tab w:val="right" w:pos="9638"/>
      </w:tabs>
      <w:rPr>
        <w:b/>
        <w:sz w:val="18"/>
      </w:rPr>
    </w:pPr>
    <w:r>
      <w:t>GE.19-21802</w:t>
    </w:r>
    <w:r>
      <w:tab/>
    </w:r>
    <w:r w:rsidRPr="0088640B">
      <w:rPr>
        <w:b/>
        <w:sz w:val="18"/>
      </w:rPr>
      <w:fldChar w:fldCharType="begin"/>
    </w:r>
    <w:r w:rsidRPr="0088640B">
      <w:rPr>
        <w:b/>
        <w:sz w:val="18"/>
      </w:rPr>
      <w:instrText xml:space="preserve"> PAGE  \* MERGEFORMAT </w:instrText>
    </w:r>
    <w:r w:rsidRPr="0088640B">
      <w:rPr>
        <w:b/>
        <w:sz w:val="18"/>
      </w:rPr>
      <w:fldChar w:fldCharType="separate"/>
    </w:r>
    <w:r w:rsidRPr="0088640B">
      <w:rPr>
        <w:b/>
        <w:noProof/>
        <w:sz w:val="18"/>
      </w:rPr>
      <w:t>3</w:t>
    </w:r>
    <w:r w:rsidRPr="0088640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1127" w14:textId="77777777" w:rsidR="007F20FA" w:rsidRPr="0088640B" w:rsidRDefault="0088640B" w:rsidP="0088640B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0C292AB" wp14:editId="638180E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19-21802  (F)</w:t>
    </w:r>
    <w:r w:rsidR="008D07C3">
      <w:rPr>
        <w:sz w:val="20"/>
      </w:rPr>
      <w:t xml:space="preserve">    200120    220120</w:t>
    </w:r>
    <w:r>
      <w:rPr>
        <w:sz w:val="20"/>
      </w:rPr>
      <w:br/>
    </w:r>
    <w:r w:rsidRPr="0088640B">
      <w:rPr>
        <w:rFonts w:ascii="C39T30Lfz" w:hAnsi="C39T30Lfz"/>
        <w:sz w:val="56"/>
      </w:rPr>
      <w:t></w:t>
    </w:r>
    <w:r w:rsidRPr="0088640B">
      <w:rPr>
        <w:rFonts w:ascii="C39T30Lfz" w:hAnsi="C39T30Lfz"/>
        <w:sz w:val="56"/>
      </w:rPr>
      <w:t></w:t>
    </w:r>
    <w:r w:rsidRPr="0088640B">
      <w:rPr>
        <w:rFonts w:ascii="C39T30Lfz" w:hAnsi="C39T30Lfz"/>
        <w:sz w:val="56"/>
      </w:rPr>
      <w:t></w:t>
    </w:r>
    <w:r w:rsidRPr="0088640B">
      <w:rPr>
        <w:rFonts w:ascii="C39T30Lfz" w:hAnsi="C39T30Lfz"/>
        <w:sz w:val="56"/>
      </w:rPr>
      <w:t></w:t>
    </w:r>
    <w:r w:rsidRPr="0088640B">
      <w:rPr>
        <w:rFonts w:ascii="C39T30Lfz" w:hAnsi="C39T30Lfz"/>
        <w:sz w:val="56"/>
      </w:rPr>
      <w:t></w:t>
    </w:r>
    <w:r w:rsidRPr="0088640B">
      <w:rPr>
        <w:rFonts w:ascii="C39T30Lfz" w:hAnsi="C39T30Lfz"/>
        <w:sz w:val="56"/>
      </w:rPr>
      <w:t></w:t>
    </w:r>
    <w:r w:rsidRPr="0088640B">
      <w:rPr>
        <w:rFonts w:ascii="C39T30Lfz" w:hAnsi="C39T30Lfz"/>
        <w:sz w:val="56"/>
      </w:rPr>
      <w:t></w:t>
    </w:r>
    <w:r w:rsidRPr="0088640B">
      <w:rPr>
        <w:rFonts w:ascii="C39T30Lfz" w:hAnsi="C39T30Lfz"/>
        <w:sz w:val="56"/>
      </w:rPr>
      <w:t></w:t>
    </w:r>
    <w:r w:rsidRPr="0088640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A3A6B57" wp14:editId="2E34D18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1/2020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81DE" w14:textId="77777777" w:rsidR="000A4344" w:rsidRPr="00AC3823" w:rsidRDefault="000A434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F4B8EC" w14:textId="77777777" w:rsidR="000A4344" w:rsidRPr="00AC3823" w:rsidRDefault="000A434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79EFD2" w14:textId="77777777" w:rsidR="000A4344" w:rsidRPr="00AC3823" w:rsidRDefault="000A4344">
      <w:pPr>
        <w:spacing w:line="240" w:lineRule="auto"/>
        <w:rPr>
          <w:sz w:val="2"/>
          <w:szCs w:val="2"/>
        </w:rPr>
      </w:pPr>
    </w:p>
  </w:footnote>
  <w:footnote w:id="2">
    <w:p w14:paraId="3B562718" w14:textId="77777777" w:rsidR="0088640B" w:rsidRPr="0088640B" w:rsidRDefault="0088640B">
      <w:pPr>
        <w:pStyle w:val="FootnoteText"/>
      </w:pPr>
      <w:r>
        <w:rPr>
          <w:rStyle w:val="FootnoteReference"/>
        </w:rPr>
        <w:tab/>
      </w:r>
      <w:r w:rsidRPr="0088640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85272">
        <w:t>Conformément au programme de travail du Comité des transports intérieurs pour la période 2018</w:t>
      </w:r>
      <w:r w:rsidR="00985630">
        <w:noBreakHyphen/>
      </w:r>
      <w:r w:rsidRPr="00B85272">
        <w:t>2019</w:t>
      </w:r>
      <w:r w:rsidRPr="00630E64">
        <w:rPr>
          <w:color w:val="000000"/>
          <w:lang w:eastAsia="en-GB"/>
        </w:rPr>
        <w:t xml:space="preserve"> (ECE/TRANS/WP.15/237, annexe V (9.2)).</w:t>
      </w:r>
    </w:p>
  </w:footnote>
  <w:footnote w:id="3">
    <w:p w14:paraId="73268667" w14:textId="77777777" w:rsidR="0088640B" w:rsidRPr="0088640B" w:rsidRDefault="0088640B">
      <w:pPr>
        <w:pStyle w:val="FootnoteText"/>
      </w:pPr>
      <w:r>
        <w:rPr>
          <w:rStyle w:val="FootnoteReference"/>
        </w:rPr>
        <w:tab/>
      </w:r>
      <w:r w:rsidRPr="0088640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DE6A37">
        <w:t>Diffusée par l</w:t>
      </w:r>
      <w:r w:rsidR="008D07C3">
        <w:t>’</w:t>
      </w:r>
      <w:r w:rsidRPr="00DE6A37">
        <w:t>Organisation intergouvernementale pour les transports internationaux ferroviaires (OTIF) sous la cote</w:t>
      </w:r>
      <w:r>
        <w:t xml:space="preserve"> OTIF/RID/RC/2020/4.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5A9D" w14:textId="13BA848C" w:rsidR="0088640B" w:rsidRPr="0088640B" w:rsidRDefault="00E90C0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059DF">
      <w:t>ECE/TRANS/WP.15/AC.1/2020/4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58DE" w14:textId="2645A9EE" w:rsidR="0088640B" w:rsidRPr="0088640B" w:rsidRDefault="00E90C0C" w:rsidP="0088640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059DF">
      <w:t>ECE/TRANS/WP.15/AC.1/2020/4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44"/>
    <w:rsid w:val="00017F94"/>
    <w:rsid w:val="00023842"/>
    <w:rsid w:val="000334F9"/>
    <w:rsid w:val="00045FEB"/>
    <w:rsid w:val="0007796D"/>
    <w:rsid w:val="000A4344"/>
    <w:rsid w:val="000A7C9E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F2568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8640B"/>
    <w:rsid w:val="008D07C3"/>
    <w:rsid w:val="009446C0"/>
    <w:rsid w:val="009705C8"/>
    <w:rsid w:val="00985630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059DF"/>
    <w:rsid w:val="00C97039"/>
    <w:rsid w:val="00D3439C"/>
    <w:rsid w:val="00DB1831"/>
    <w:rsid w:val="00DD3BFD"/>
    <w:rsid w:val="00DF334E"/>
    <w:rsid w:val="00DF6678"/>
    <w:rsid w:val="00E0299A"/>
    <w:rsid w:val="00E11C31"/>
    <w:rsid w:val="00E85C74"/>
    <w:rsid w:val="00E90C0C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C9189C"/>
  <w15:docId w15:val="{178B861D-78D9-44F2-B8BA-21C6926A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8640B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ECE/TRANS/WP.15/AC.1/2020/4</vt:lpstr>
      <vt:lpstr>ECE/TRANS/WP.15/AC.1/2020/4</vt:lpstr>
    </vt:vector>
  </TitlesOfParts>
  <Company>DCM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ECE/TRANS/WP.15/AC.1/2020/4</dc:title>
  <dc:subject/>
  <dc:creator>Julien OKRZESIK</dc:creator>
  <cp:keywords/>
  <cp:lastModifiedBy>Christine Barrio-Champeau</cp:lastModifiedBy>
  <cp:revision>2</cp:revision>
  <cp:lastPrinted>2020-01-22T15:20:00Z</cp:lastPrinted>
  <dcterms:created xsi:type="dcterms:W3CDTF">2020-01-23T07:27:00Z</dcterms:created>
  <dcterms:modified xsi:type="dcterms:W3CDTF">2020-01-23T07:27:00Z</dcterms:modified>
</cp:coreProperties>
</file>