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F7A50D3" w14:textId="77777777" w:rsidTr="00387CD4">
        <w:trPr>
          <w:trHeight w:hRule="exact" w:val="851"/>
        </w:trPr>
        <w:tc>
          <w:tcPr>
            <w:tcW w:w="142" w:type="dxa"/>
            <w:tcBorders>
              <w:bottom w:val="single" w:sz="4" w:space="0" w:color="auto"/>
            </w:tcBorders>
          </w:tcPr>
          <w:p w14:paraId="15662AA9" w14:textId="77777777" w:rsidR="002D5AAC" w:rsidRDefault="002D5AAC" w:rsidP="005164A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B7F513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5A7654" w14:textId="77777777" w:rsidR="002D5AAC" w:rsidRDefault="005164A9" w:rsidP="005164A9">
            <w:pPr>
              <w:jc w:val="right"/>
            </w:pPr>
            <w:r w:rsidRPr="005164A9">
              <w:rPr>
                <w:sz w:val="40"/>
              </w:rPr>
              <w:t>ECE</w:t>
            </w:r>
            <w:r>
              <w:t>/TRANS/WP.15/AC.1/2020/46</w:t>
            </w:r>
          </w:p>
        </w:tc>
      </w:tr>
      <w:tr w:rsidR="002D5AAC" w:rsidRPr="00575B4E" w14:paraId="67EDA912" w14:textId="77777777" w:rsidTr="00387CD4">
        <w:trPr>
          <w:trHeight w:hRule="exact" w:val="2835"/>
        </w:trPr>
        <w:tc>
          <w:tcPr>
            <w:tcW w:w="1280" w:type="dxa"/>
            <w:gridSpan w:val="2"/>
            <w:tcBorders>
              <w:top w:val="single" w:sz="4" w:space="0" w:color="auto"/>
              <w:bottom w:val="single" w:sz="12" w:space="0" w:color="auto"/>
            </w:tcBorders>
          </w:tcPr>
          <w:p w14:paraId="727BA676" w14:textId="77777777" w:rsidR="002D5AAC" w:rsidRDefault="002E5067" w:rsidP="00387CD4">
            <w:pPr>
              <w:spacing w:before="120"/>
              <w:jc w:val="center"/>
            </w:pPr>
            <w:r>
              <w:rPr>
                <w:noProof/>
                <w:lang w:val="fr-CH" w:eastAsia="fr-CH"/>
              </w:rPr>
              <w:drawing>
                <wp:inline distT="0" distB="0" distL="0" distR="0" wp14:anchorId="60A06EC5" wp14:editId="05C656A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CADE7B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69F3239" w14:textId="77777777" w:rsidR="002D5AAC" w:rsidRDefault="005164A9" w:rsidP="00387CD4">
            <w:pPr>
              <w:spacing w:before="240"/>
              <w:rPr>
                <w:lang w:val="en-US"/>
              </w:rPr>
            </w:pPr>
            <w:r>
              <w:rPr>
                <w:lang w:val="en-US"/>
              </w:rPr>
              <w:t>Distr.: General</w:t>
            </w:r>
          </w:p>
          <w:p w14:paraId="245666E9" w14:textId="77777777" w:rsidR="005164A9" w:rsidRDefault="005164A9" w:rsidP="005164A9">
            <w:pPr>
              <w:spacing w:line="240" w:lineRule="exact"/>
              <w:rPr>
                <w:lang w:val="en-US"/>
              </w:rPr>
            </w:pPr>
            <w:r>
              <w:rPr>
                <w:lang w:val="en-US"/>
              </w:rPr>
              <w:t>8 June 2020</w:t>
            </w:r>
          </w:p>
          <w:p w14:paraId="21B6C6F2" w14:textId="77777777" w:rsidR="005164A9" w:rsidRDefault="005164A9" w:rsidP="005164A9">
            <w:pPr>
              <w:spacing w:line="240" w:lineRule="exact"/>
              <w:rPr>
                <w:lang w:val="en-US"/>
              </w:rPr>
            </w:pPr>
            <w:r>
              <w:rPr>
                <w:lang w:val="en-US"/>
              </w:rPr>
              <w:t>Russian</w:t>
            </w:r>
          </w:p>
          <w:p w14:paraId="7BFB04A2" w14:textId="77777777" w:rsidR="005164A9" w:rsidRPr="008D53B6" w:rsidRDefault="005164A9" w:rsidP="005164A9">
            <w:pPr>
              <w:spacing w:line="240" w:lineRule="exact"/>
              <w:rPr>
                <w:lang w:val="en-US"/>
              </w:rPr>
            </w:pPr>
            <w:r>
              <w:rPr>
                <w:lang w:val="en-US"/>
              </w:rPr>
              <w:t>Original: English</w:t>
            </w:r>
          </w:p>
        </w:tc>
      </w:tr>
    </w:tbl>
    <w:p w14:paraId="237BF8DF" w14:textId="77777777" w:rsidR="005164A9" w:rsidRDefault="008A37C8" w:rsidP="00255343">
      <w:pPr>
        <w:spacing w:before="120"/>
        <w:rPr>
          <w:b/>
          <w:sz w:val="28"/>
          <w:szCs w:val="28"/>
        </w:rPr>
      </w:pPr>
      <w:r w:rsidRPr="00245892">
        <w:rPr>
          <w:b/>
          <w:sz w:val="28"/>
          <w:szCs w:val="28"/>
        </w:rPr>
        <w:t>Европейская экономическая комиссия</w:t>
      </w:r>
    </w:p>
    <w:p w14:paraId="66075AFA" w14:textId="77777777" w:rsidR="005164A9" w:rsidRPr="004B0347" w:rsidRDefault="005164A9" w:rsidP="005164A9">
      <w:pPr>
        <w:spacing w:before="120"/>
        <w:rPr>
          <w:sz w:val="28"/>
          <w:szCs w:val="28"/>
        </w:rPr>
      </w:pPr>
      <w:r w:rsidRPr="004B0347">
        <w:rPr>
          <w:sz w:val="28"/>
          <w:szCs w:val="28"/>
        </w:rPr>
        <w:t>Комитет по внутреннему транспорту</w:t>
      </w:r>
    </w:p>
    <w:p w14:paraId="433A0C1A" w14:textId="77777777" w:rsidR="005164A9" w:rsidRPr="004B0347" w:rsidRDefault="005164A9" w:rsidP="005164A9">
      <w:pPr>
        <w:spacing w:before="120" w:after="120"/>
        <w:rPr>
          <w:b/>
          <w:sz w:val="24"/>
          <w:szCs w:val="24"/>
        </w:rPr>
      </w:pPr>
      <w:r w:rsidRPr="004B0347">
        <w:rPr>
          <w:b/>
          <w:bCs/>
          <w:sz w:val="24"/>
          <w:szCs w:val="24"/>
        </w:rPr>
        <w:t>Рабочая группа по перевозкам опасных грузов</w:t>
      </w:r>
    </w:p>
    <w:p w14:paraId="24EF0EC6" w14:textId="77777777" w:rsidR="005164A9" w:rsidRPr="004B0347" w:rsidRDefault="005164A9" w:rsidP="005164A9">
      <w:pPr>
        <w:rPr>
          <w:b/>
          <w:bCs/>
        </w:rPr>
      </w:pPr>
      <w:r>
        <w:rPr>
          <w:b/>
          <w:bCs/>
        </w:rPr>
        <w:t xml:space="preserve">Совместное совещание Комиссии экспертов МПОГ </w:t>
      </w:r>
      <w:r w:rsidR="001D4987">
        <w:rPr>
          <w:b/>
          <w:bCs/>
        </w:rPr>
        <w:br/>
      </w:r>
      <w:r>
        <w:rPr>
          <w:b/>
          <w:bCs/>
        </w:rPr>
        <w:t>и Рабочей группы по перевозкам опасных грузов</w:t>
      </w:r>
    </w:p>
    <w:p w14:paraId="021686CB" w14:textId="77777777" w:rsidR="005164A9" w:rsidRPr="004B0347" w:rsidRDefault="005164A9" w:rsidP="005164A9">
      <w:r>
        <w:t>Берн, 10–11 сентября 2020 года, и Женева, 14–18 сентября</w:t>
      </w:r>
    </w:p>
    <w:p w14:paraId="353DCA73" w14:textId="77777777" w:rsidR="005164A9" w:rsidRPr="004B0347" w:rsidRDefault="005164A9" w:rsidP="005164A9">
      <w:r>
        <w:t>Пункт 5 b) предварительной повестки дня</w:t>
      </w:r>
    </w:p>
    <w:p w14:paraId="1E8C7A2B" w14:textId="77777777" w:rsidR="005164A9" w:rsidRPr="004B0347" w:rsidRDefault="005164A9" w:rsidP="005164A9">
      <w:pPr>
        <w:rPr>
          <w:b/>
          <w:bCs/>
        </w:rPr>
      </w:pPr>
      <w:r>
        <w:rPr>
          <w:b/>
          <w:bCs/>
        </w:rPr>
        <w:t>Предложения о внесении поправок в МПОГ/ДОПОГ/ВОПОГ:</w:t>
      </w:r>
    </w:p>
    <w:p w14:paraId="0E378CAE" w14:textId="77777777" w:rsidR="005164A9" w:rsidRPr="004B0347" w:rsidRDefault="005164A9" w:rsidP="005164A9">
      <w:pPr>
        <w:rPr>
          <w:b/>
          <w:bCs/>
        </w:rPr>
      </w:pPr>
      <w:r>
        <w:rPr>
          <w:b/>
          <w:bCs/>
        </w:rPr>
        <w:t>новые предложения</w:t>
      </w:r>
    </w:p>
    <w:p w14:paraId="041CA683" w14:textId="77777777" w:rsidR="005164A9" w:rsidRPr="004B0347" w:rsidRDefault="005164A9" w:rsidP="005164A9">
      <w:pPr>
        <w:pStyle w:val="HChG"/>
        <w:outlineLvl w:val="0"/>
      </w:pPr>
      <w:r>
        <w:tab/>
      </w:r>
      <w:r>
        <w:tab/>
      </w:r>
      <w:r>
        <w:rPr>
          <w:bCs/>
        </w:rPr>
        <w:t>Замечания по документу ECE/TRANS/WP.15/AC.1/2020/4 и альтернативное предложение</w:t>
      </w:r>
      <w:r>
        <w:t xml:space="preserve"> </w:t>
      </w:r>
    </w:p>
    <w:p w14:paraId="5A2CA503" w14:textId="77777777" w:rsidR="005164A9" w:rsidRPr="004B0347" w:rsidRDefault="005164A9" w:rsidP="00575B4E">
      <w:pPr>
        <w:pStyle w:val="H1G"/>
        <w:rPr>
          <w:szCs w:val="24"/>
        </w:rPr>
      </w:pPr>
      <w:r>
        <w:tab/>
      </w:r>
      <w:r>
        <w:tab/>
        <w:t>Передано Европейским комитетом по стандартизации (ЕКС)</w:t>
      </w:r>
      <w:r w:rsidRPr="00575B4E">
        <w:rPr>
          <w:rStyle w:val="FootnoteReference"/>
          <w:b w:val="0"/>
          <w:bCs/>
          <w:sz w:val="20"/>
          <w:vertAlign w:val="baseline"/>
        </w:rPr>
        <w:footnoteReference w:customMarkFollows="1" w:id="1"/>
        <w:t>*</w:t>
      </w:r>
      <w:r w:rsidRPr="00575B4E">
        <w:rPr>
          <w:rStyle w:val="FootnoteReference"/>
          <w:b w:val="0"/>
          <w:bCs/>
          <w:sz w:val="28"/>
          <w:szCs w:val="28"/>
          <w:vertAlign w:val="baseline"/>
        </w:rPr>
        <w:t xml:space="preserve"> </w:t>
      </w:r>
      <w:r w:rsidRPr="00575B4E">
        <w:rPr>
          <w:rStyle w:val="FootnoteReference"/>
          <w:b w:val="0"/>
          <w:bCs/>
          <w:sz w:val="20"/>
          <w:vertAlign w:val="baseline"/>
        </w:rPr>
        <w:footnoteReference w:customMarkFollows="1" w:id="2"/>
        <w:t>**</w:t>
      </w:r>
      <w:r w:rsidRPr="00575B4E">
        <w:rPr>
          <w:b w:val="0"/>
          <w:bCs/>
        </w:rPr>
        <w:t xml:space="preserve"> </w:t>
      </w:r>
    </w:p>
    <w:p w14:paraId="7DC3517B" w14:textId="77777777" w:rsidR="005164A9" w:rsidRPr="00DD2FFA" w:rsidRDefault="005164A9" w:rsidP="005164A9">
      <w:pPr>
        <w:pStyle w:val="HChG"/>
        <w:adjustRightInd w:val="0"/>
        <w:snapToGrid w:val="0"/>
        <w:spacing w:before="240" w:after="120" w:line="240" w:lineRule="auto"/>
        <w:outlineLvl w:val="0"/>
      </w:pPr>
      <w:r>
        <w:tab/>
      </w:r>
      <w:r>
        <w:tab/>
      </w:r>
      <w:r>
        <w:rPr>
          <w:bCs/>
        </w:rPr>
        <w:t>Введение</w:t>
      </w:r>
    </w:p>
    <w:p w14:paraId="4919E361" w14:textId="77777777" w:rsidR="005164A9" w:rsidRPr="004B0347" w:rsidRDefault="005164A9" w:rsidP="005164A9">
      <w:pPr>
        <w:pStyle w:val="SingleTxtG"/>
        <w:numPr>
          <w:ilvl w:val="0"/>
          <w:numId w:val="22"/>
        </w:numPr>
        <w:ind w:left="1134" w:firstLine="0"/>
      </w:pPr>
      <w:r>
        <w:t xml:space="preserve">После телеконференции, проведенной Рабочей группой по стандартам, группа экспертов от Германии, Соединенного Королевства и Франции обсудила предложение, содержащееся в документе ECE/TRANS/WP.15/AC.1/2020/4. Они поддержали цель этого предложения – указать в пункте 4.1.6.15 МПОГ/ДОПОГ даты изготовления для применения стандартов, касающихся изготовления. Они также приветствовали исправление ссылок на стандарты, в которых теперь указывается положение, требующее проведения испытания и определяющее критерии приемлемости. </w:t>
      </w:r>
      <w:bookmarkStart w:id="1" w:name="_Hlk41658942"/>
      <w:bookmarkEnd w:id="1"/>
    </w:p>
    <w:p w14:paraId="0134D848" w14:textId="77777777" w:rsidR="005164A9" w:rsidRPr="004B0347" w:rsidRDefault="005164A9" w:rsidP="005164A9">
      <w:pPr>
        <w:pStyle w:val="SingleTxtG"/>
        <w:numPr>
          <w:ilvl w:val="0"/>
          <w:numId w:val="22"/>
        </w:numPr>
        <w:ind w:left="1134" w:firstLine="0"/>
      </w:pPr>
      <w:r>
        <w:t>Однако в предлагаемом решении были выявлены некоторые недостатки:</w:t>
      </w:r>
    </w:p>
    <w:p w14:paraId="635A060A" w14:textId="77777777" w:rsidR="005164A9" w:rsidRPr="004B0347" w:rsidRDefault="005164A9" w:rsidP="005164A9">
      <w:pPr>
        <w:pStyle w:val="SingleTxtG"/>
      </w:pPr>
      <w:r>
        <w:tab/>
      </w:r>
      <w:r>
        <w:tab/>
        <w:t>a)</w:t>
      </w:r>
      <w:r>
        <w:tab/>
        <w:t>Пункт 4.1.6.15 применяется к сосудам под давлением «UN», а также к сосудам под давлением МПОГ/ДОПОГ, поэтому для применимых дат изготовления необходимо указать разные ссылки.</w:t>
      </w:r>
      <w:bookmarkStart w:id="2" w:name="_Hlk41658918"/>
      <w:bookmarkEnd w:id="2"/>
    </w:p>
    <w:p w14:paraId="0FA69D35" w14:textId="77777777" w:rsidR="005164A9" w:rsidRPr="004B0347" w:rsidRDefault="005164A9" w:rsidP="005164A9">
      <w:pPr>
        <w:pStyle w:val="SingleTxtG"/>
      </w:pPr>
      <w:r>
        <w:tab/>
      </w:r>
      <w:r>
        <w:tab/>
        <w:t>b)</w:t>
      </w:r>
      <w:r>
        <w:tab/>
        <w:t>Стандарты EN ISO 1245 и EN ISO 15995 не применимы к сосудам под давлением «UN», поэтому первое предложение пункта 4.1.6.15, гласящее «К сосудам под давлением «UN» должны применяться приведенные ниже стандарты ISO.», необходимо исправить, чтобы исключить эти два стандарта. Было также сочтено желательным уточнить, что стандарты EN ISO применяются также к сосудам под давлением «UN».</w:t>
      </w:r>
    </w:p>
    <w:p w14:paraId="05E9A498" w14:textId="77777777" w:rsidR="005164A9" w:rsidRPr="004B0347" w:rsidRDefault="005164A9" w:rsidP="005164A9">
      <w:pPr>
        <w:pStyle w:val="SingleTxtG"/>
      </w:pPr>
      <w:r>
        <w:lastRenderedPageBreak/>
        <w:tab/>
      </w:r>
      <w:r>
        <w:tab/>
        <w:t>с)</w:t>
      </w:r>
      <w:r>
        <w:tab/>
        <w:t>За исключением стандартов EN ISO 11117 и EN 962:1996 + A2:2000, применяемых в отношении сосудов под давлением, кроме сосудов «UN», всю информацию о дате изготовления можно найти в подразделе 6.2.2.3 в случае сосудов под давлением «UN» и в подразделе 6.2.4.1 в случае сосудов под давлением, кроме сосудов «UN». Это означает, что если предохранительные колпаки и защитные устройства вентилей рассматриваются отдельно, то добавление дополнительной колонки в таблицу становится ненужным, так как эти ссылки могут быть даны в тексте перед таблицей.</w:t>
      </w:r>
    </w:p>
    <w:p w14:paraId="6F5C0061" w14:textId="77777777" w:rsidR="005164A9" w:rsidRPr="004B0347" w:rsidRDefault="005164A9" w:rsidP="005164A9">
      <w:pPr>
        <w:pStyle w:val="SingleTxtG"/>
        <w:numPr>
          <w:ilvl w:val="0"/>
          <w:numId w:val="23"/>
        </w:numPr>
        <w:ind w:left="1134" w:firstLine="0"/>
      </w:pPr>
      <w:r>
        <w:t>При переработке текста пункта 4.1.6.15 была использована возможность исправить названия стандартов. Если в одной строке таблицы указано более одного издания стандарта, используется название самого последнего издания стандарта. Даты изготовления для стандартов ISO 11117:1998 и EN 962:1996 + A2:2000 были изменены, поскольку стандарт EN ISO 11117:2008 + Cor1:2009 не был указан в МПОГ/ДОПОГ до 2013 года. В настоящий документ включены также предложения по новым стандартам, которые будут рассмотрены Совместным совещанием на нынешней сессии.</w:t>
      </w:r>
    </w:p>
    <w:p w14:paraId="37878D0A" w14:textId="77777777" w:rsidR="005164A9" w:rsidRPr="004B0347" w:rsidRDefault="005164A9" w:rsidP="005164A9">
      <w:pPr>
        <w:pStyle w:val="HChG"/>
        <w:adjustRightInd w:val="0"/>
        <w:snapToGrid w:val="0"/>
        <w:spacing w:before="240" w:after="120"/>
      </w:pPr>
      <w:r>
        <w:tab/>
      </w:r>
      <w:r>
        <w:tab/>
      </w:r>
      <w:r>
        <w:rPr>
          <w:bCs/>
        </w:rPr>
        <w:t>Предложение</w:t>
      </w:r>
    </w:p>
    <w:p w14:paraId="663A7F97" w14:textId="77777777" w:rsidR="005164A9" w:rsidRPr="004B0347" w:rsidRDefault="005164A9" w:rsidP="005164A9">
      <w:pPr>
        <w:pStyle w:val="SingleTxtG"/>
      </w:pPr>
      <w:r>
        <w:t>4.</w:t>
      </w:r>
      <w:r>
        <w:tab/>
        <w:t>В настоящем предложении новый текст подчеркнут, а исключенный текст зач</w:t>
      </w:r>
      <w:r w:rsidR="007E672A">
        <w:t>е</w:t>
      </w:r>
      <w:r>
        <w:t>ркнут. Предложения, содержащиеся в документе INF.18, дополнительно выделены жирным шрифтом.</w:t>
      </w:r>
    </w:p>
    <w:p w14:paraId="6D3D9E37" w14:textId="77777777" w:rsidR="005164A9" w:rsidRPr="004B0347" w:rsidRDefault="005164A9" w:rsidP="005164A9">
      <w:pPr>
        <w:pStyle w:val="BodyTextIndent2"/>
        <w:spacing w:after="200" w:line="240" w:lineRule="auto"/>
        <w:ind w:left="2268" w:right="1134" w:hanging="1134"/>
        <w:jc w:val="both"/>
        <w:rPr>
          <w:u w:val="single"/>
          <w:lang w:val="ru-RU"/>
        </w:rPr>
      </w:pPr>
      <w:r>
        <w:rPr>
          <w:lang w:val="ru-RU"/>
        </w:rPr>
        <w:t>4.1.6.15</w:t>
      </w:r>
      <w:r>
        <w:rPr>
          <w:lang w:val="ru-RU"/>
        </w:rPr>
        <w:tab/>
        <w:t xml:space="preserve">К сосудам под давлением «UN» должны применяться приведенные </w:t>
      </w:r>
      <w:r>
        <w:rPr>
          <w:strike/>
          <w:lang w:val="ru-RU"/>
        </w:rPr>
        <w:t>ниже</w:t>
      </w:r>
      <w:r>
        <w:rPr>
          <w:lang w:val="ru-RU"/>
        </w:rPr>
        <w:t xml:space="preserve"> </w:t>
      </w:r>
      <w:r>
        <w:rPr>
          <w:u w:val="single"/>
          <w:lang w:val="ru-RU"/>
        </w:rPr>
        <w:t>в таблице 1</w:t>
      </w:r>
      <w:r>
        <w:rPr>
          <w:lang w:val="ru-RU"/>
        </w:rPr>
        <w:t xml:space="preserve"> стандарты ИСО </w:t>
      </w:r>
      <w:r>
        <w:rPr>
          <w:u w:val="single"/>
          <w:lang w:val="ru-RU"/>
        </w:rPr>
        <w:t>и стандарты EN ISO, за исключением стандартов EN ISO 14245 и EN ISO 15995</w:t>
      </w:r>
      <w:r>
        <w:rPr>
          <w:lang w:val="ru-RU"/>
        </w:rPr>
        <w:t xml:space="preserve">. </w:t>
      </w:r>
      <w:r>
        <w:rPr>
          <w:u w:val="single"/>
          <w:lang w:val="ru-RU"/>
        </w:rPr>
        <w:t>Информацию о том, какой стандарт должен использоваться на момент изготовления оборудования, см. в подразделе 6.2.2.3.</w:t>
      </w:r>
    </w:p>
    <w:p w14:paraId="6FEBA66E" w14:textId="77777777" w:rsidR="005164A9" w:rsidRPr="004B0347" w:rsidRDefault="005164A9" w:rsidP="005164A9">
      <w:pPr>
        <w:pStyle w:val="BodyTextIndent2"/>
        <w:tabs>
          <w:tab w:val="left" w:pos="567"/>
        </w:tabs>
        <w:spacing w:after="200" w:line="240" w:lineRule="auto"/>
        <w:ind w:left="2268" w:right="1134" w:hanging="1134"/>
        <w:jc w:val="both"/>
        <w:rPr>
          <w:lang w:val="ru-RU"/>
        </w:rPr>
      </w:pPr>
      <w:r>
        <w:rPr>
          <w:lang w:val="ru-RU"/>
        </w:rPr>
        <w:tab/>
        <w:t xml:space="preserve">В отношении других сосудов под давлением требования раздела 4.1.6 считаются выполненными, если, в зависимости от конкретного случая, применяются </w:t>
      </w:r>
      <w:r>
        <w:rPr>
          <w:strike/>
          <w:lang w:val="ru-RU"/>
        </w:rPr>
        <w:t>следующие</w:t>
      </w:r>
      <w:r>
        <w:rPr>
          <w:lang w:val="ru-RU"/>
        </w:rPr>
        <w:t xml:space="preserve"> стандарты</w:t>
      </w:r>
      <w:r>
        <w:rPr>
          <w:u w:val="single"/>
          <w:lang w:val="ru-RU"/>
        </w:rPr>
        <w:t>, указанные в таблице 1</w:t>
      </w:r>
      <w:r>
        <w:rPr>
          <w:strike/>
          <w:lang w:val="ru-RU"/>
        </w:rPr>
        <w:t>:</w:t>
      </w:r>
      <w:r>
        <w:rPr>
          <w:u w:val="single"/>
          <w:lang w:val="ru-RU"/>
        </w:rPr>
        <w:t>.</w:t>
      </w:r>
      <w:r>
        <w:rPr>
          <w:lang w:val="ru-RU"/>
        </w:rPr>
        <w:t xml:space="preserve"> </w:t>
      </w:r>
      <w:r>
        <w:rPr>
          <w:u w:val="single"/>
          <w:lang w:val="ru-RU"/>
        </w:rPr>
        <w:t>Информацию о том, какие стандарты должны использоваться для изготовления вентилей с конструктивной защитой, см. в подразделе</w:t>
      </w:r>
      <w:r w:rsidR="00467CC9">
        <w:rPr>
          <w:u w:val="single"/>
          <w:lang w:val="ru-RU"/>
        </w:rPr>
        <w:t> </w:t>
      </w:r>
      <w:r>
        <w:rPr>
          <w:u w:val="single"/>
          <w:lang w:val="ru-RU"/>
        </w:rPr>
        <w:t>6.2.4.1.</w:t>
      </w:r>
      <w:r w:rsidRPr="005362C7">
        <w:rPr>
          <w:u w:val="single"/>
          <w:lang w:val="ru-RU"/>
        </w:rPr>
        <w:t xml:space="preserve"> </w:t>
      </w:r>
      <w:r>
        <w:rPr>
          <w:u w:val="single"/>
          <w:lang w:val="ru-RU"/>
        </w:rPr>
        <w:t>Информацию о применимости стандартов на изготовление предохранительных колпаков и защитных устройств вентилей см. в таблице 2:</w:t>
      </w:r>
    </w:p>
    <w:p w14:paraId="3E5CACF1" w14:textId="77777777" w:rsidR="005164A9" w:rsidRPr="004B0347" w:rsidRDefault="005164A9" w:rsidP="00575B4E">
      <w:pPr>
        <w:pStyle w:val="SingleTxtG"/>
        <w:jc w:val="left"/>
      </w:pPr>
      <w:r>
        <w:t>Таблица 1: Стандарты на сосуды под давлением «UN» и сосуды под давлением, кроме сосудов «UN»</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52"/>
        <w:gridCol w:w="3427"/>
      </w:tblGrid>
      <w:tr w:rsidR="005164A9" w:rsidRPr="00DD2FFA" w14:paraId="13F0775C" w14:textId="77777777" w:rsidTr="00457F9C">
        <w:trPr>
          <w:tblHeader/>
        </w:trPr>
        <w:tc>
          <w:tcPr>
            <w:tcW w:w="1134" w:type="dxa"/>
            <w:shd w:val="clear" w:color="auto" w:fill="auto"/>
            <w:vAlign w:val="center"/>
          </w:tcPr>
          <w:p w14:paraId="04637172" w14:textId="77777777" w:rsidR="005164A9" w:rsidRPr="00467CC9" w:rsidRDefault="005164A9" w:rsidP="00C16294">
            <w:pPr>
              <w:adjustRightInd w:val="0"/>
              <w:snapToGrid w:val="0"/>
              <w:spacing w:before="40" w:after="40" w:line="240" w:lineRule="auto"/>
              <w:jc w:val="center"/>
              <w:rPr>
                <w:b/>
                <w:sz w:val="18"/>
                <w:szCs w:val="18"/>
              </w:rPr>
            </w:pPr>
            <w:r w:rsidRPr="00467CC9">
              <w:rPr>
                <w:b/>
                <w:bCs/>
                <w:sz w:val="18"/>
                <w:szCs w:val="18"/>
              </w:rPr>
              <w:t>Приме-нимые пункты</w:t>
            </w:r>
          </w:p>
        </w:tc>
        <w:tc>
          <w:tcPr>
            <w:tcW w:w="2952" w:type="dxa"/>
            <w:shd w:val="clear" w:color="auto" w:fill="auto"/>
            <w:vAlign w:val="center"/>
          </w:tcPr>
          <w:p w14:paraId="7603D85C" w14:textId="77777777" w:rsidR="005164A9" w:rsidRPr="00467CC9" w:rsidRDefault="005164A9" w:rsidP="00C16294">
            <w:pPr>
              <w:tabs>
                <w:tab w:val="left" w:pos="1418"/>
                <w:tab w:val="left" w:pos="2977"/>
                <w:tab w:val="left" w:pos="4395"/>
              </w:tabs>
              <w:adjustRightInd w:val="0"/>
              <w:snapToGrid w:val="0"/>
              <w:spacing w:before="40" w:after="40" w:line="240" w:lineRule="auto"/>
              <w:ind w:right="1134"/>
              <w:jc w:val="center"/>
              <w:rPr>
                <w:rFonts w:cs="Arial"/>
                <w:sz w:val="18"/>
                <w:szCs w:val="18"/>
              </w:rPr>
            </w:pPr>
            <w:r w:rsidRPr="00467CC9">
              <w:rPr>
                <w:b/>
                <w:bCs/>
                <w:sz w:val="18"/>
                <w:szCs w:val="18"/>
              </w:rPr>
              <w:t>Ссылка</w:t>
            </w:r>
          </w:p>
        </w:tc>
        <w:tc>
          <w:tcPr>
            <w:tcW w:w="3427" w:type="dxa"/>
            <w:shd w:val="clear" w:color="auto" w:fill="auto"/>
            <w:vAlign w:val="center"/>
          </w:tcPr>
          <w:p w14:paraId="0C90393C" w14:textId="77777777" w:rsidR="005164A9" w:rsidRPr="00467CC9" w:rsidRDefault="005164A9" w:rsidP="00C16294">
            <w:pPr>
              <w:tabs>
                <w:tab w:val="left" w:pos="1418"/>
                <w:tab w:val="left" w:pos="2977"/>
                <w:tab w:val="left" w:pos="4395"/>
              </w:tabs>
              <w:adjustRightInd w:val="0"/>
              <w:snapToGrid w:val="0"/>
              <w:spacing w:before="40" w:after="40" w:line="240" w:lineRule="auto"/>
              <w:ind w:right="1134"/>
              <w:jc w:val="center"/>
              <w:rPr>
                <w:rFonts w:cs="Arial"/>
                <w:b/>
                <w:color w:val="FF0000"/>
                <w:sz w:val="18"/>
                <w:szCs w:val="18"/>
                <w:u w:val="single"/>
              </w:rPr>
            </w:pPr>
            <w:r w:rsidRPr="00467CC9">
              <w:rPr>
                <w:b/>
                <w:bCs/>
                <w:sz w:val="18"/>
                <w:szCs w:val="18"/>
              </w:rPr>
              <w:t>Наименование документа</w:t>
            </w:r>
          </w:p>
        </w:tc>
      </w:tr>
      <w:tr w:rsidR="005164A9" w:rsidRPr="004B0347" w14:paraId="03BDC7FB" w14:textId="77777777" w:rsidTr="00467CC9">
        <w:tc>
          <w:tcPr>
            <w:tcW w:w="1134" w:type="dxa"/>
            <w:vMerge w:val="restart"/>
            <w:shd w:val="clear" w:color="auto" w:fill="auto"/>
          </w:tcPr>
          <w:p w14:paraId="0B1FBF9E"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sz w:val="18"/>
                <w:szCs w:val="18"/>
              </w:rPr>
            </w:pPr>
            <w:r w:rsidRPr="00467CC9">
              <w:rPr>
                <w:sz w:val="18"/>
                <w:szCs w:val="18"/>
              </w:rPr>
              <w:t>4.1.6.2</w:t>
            </w:r>
          </w:p>
        </w:tc>
        <w:tc>
          <w:tcPr>
            <w:tcW w:w="2952" w:type="dxa"/>
            <w:shd w:val="clear" w:color="auto" w:fill="auto"/>
          </w:tcPr>
          <w:p w14:paraId="5C06D6E8"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z w:val="18"/>
                <w:szCs w:val="18"/>
              </w:rPr>
              <w:t>EN ISO 11114-1:2012 + A1:2017</w:t>
            </w:r>
          </w:p>
        </w:tc>
        <w:tc>
          <w:tcPr>
            <w:tcW w:w="3427" w:type="dxa"/>
            <w:shd w:val="clear" w:color="auto" w:fill="auto"/>
          </w:tcPr>
          <w:p w14:paraId="0D6F5934" w14:textId="77777777" w:rsidR="005164A9" w:rsidRPr="00467CC9" w:rsidRDefault="005164A9" w:rsidP="00C16294">
            <w:pPr>
              <w:autoSpaceDE w:val="0"/>
              <w:autoSpaceDN w:val="0"/>
              <w:adjustRightInd w:val="0"/>
              <w:snapToGrid w:val="0"/>
              <w:spacing w:before="40" w:after="40" w:line="240" w:lineRule="auto"/>
              <w:rPr>
                <w:rFonts w:cs="Arial"/>
                <w:color w:val="FF0000"/>
                <w:sz w:val="18"/>
                <w:szCs w:val="18"/>
                <w:u w:val="single"/>
              </w:rPr>
            </w:pPr>
            <w:r w:rsidRPr="00467CC9">
              <w:rPr>
                <w:sz w:val="18"/>
                <w:szCs w:val="18"/>
              </w:rPr>
              <w:t>Газовые баллоны – Совместимость материалов баллонов и вентилей с газовым содержимым – Часть 1: Металлические материалы</w:t>
            </w:r>
          </w:p>
        </w:tc>
      </w:tr>
      <w:tr w:rsidR="005164A9" w:rsidRPr="004B0347" w14:paraId="0998D05B" w14:textId="77777777" w:rsidTr="00467CC9">
        <w:tc>
          <w:tcPr>
            <w:tcW w:w="1134" w:type="dxa"/>
            <w:vMerge/>
            <w:shd w:val="clear" w:color="auto" w:fill="auto"/>
          </w:tcPr>
          <w:p w14:paraId="22ADA27B"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sz w:val="18"/>
                <w:szCs w:val="18"/>
              </w:rPr>
            </w:pPr>
          </w:p>
        </w:tc>
        <w:tc>
          <w:tcPr>
            <w:tcW w:w="2952" w:type="dxa"/>
            <w:shd w:val="clear" w:color="auto" w:fill="auto"/>
          </w:tcPr>
          <w:p w14:paraId="7A3F084B"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z w:val="18"/>
                <w:szCs w:val="18"/>
              </w:rPr>
              <w:t>EN ISO 11114-2:2013</w:t>
            </w:r>
          </w:p>
        </w:tc>
        <w:tc>
          <w:tcPr>
            <w:tcW w:w="3427" w:type="dxa"/>
            <w:shd w:val="clear" w:color="auto" w:fill="auto"/>
          </w:tcPr>
          <w:p w14:paraId="5F2E2D9D" w14:textId="77777777" w:rsidR="005164A9" w:rsidRPr="00467CC9" w:rsidRDefault="005164A9" w:rsidP="00C16294">
            <w:pPr>
              <w:autoSpaceDE w:val="0"/>
              <w:autoSpaceDN w:val="0"/>
              <w:adjustRightInd w:val="0"/>
              <w:snapToGrid w:val="0"/>
              <w:spacing w:before="40" w:after="40" w:line="240" w:lineRule="auto"/>
              <w:rPr>
                <w:rFonts w:cs="Arial"/>
                <w:color w:val="FF0000"/>
                <w:sz w:val="18"/>
                <w:szCs w:val="18"/>
                <w:u w:val="single"/>
              </w:rPr>
            </w:pPr>
            <w:r w:rsidRPr="00467CC9">
              <w:rPr>
                <w:sz w:val="18"/>
                <w:szCs w:val="18"/>
              </w:rPr>
              <w:t>Газовые баллоны – Совместимость материалов баллонов и вентилей с газовым содержимым – Часть 2: Неметаллические материалы</w:t>
            </w:r>
          </w:p>
        </w:tc>
      </w:tr>
      <w:tr w:rsidR="005164A9" w:rsidRPr="004B0347" w14:paraId="59499145" w14:textId="77777777" w:rsidTr="00467CC9">
        <w:tc>
          <w:tcPr>
            <w:tcW w:w="1134" w:type="dxa"/>
            <w:shd w:val="clear" w:color="auto" w:fill="auto"/>
          </w:tcPr>
          <w:p w14:paraId="467DF140"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sz w:val="18"/>
                <w:szCs w:val="18"/>
              </w:rPr>
            </w:pPr>
            <w:r w:rsidRPr="00467CC9">
              <w:rPr>
                <w:sz w:val="18"/>
                <w:szCs w:val="18"/>
              </w:rPr>
              <w:t>4.1.6.4</w:t>
            </w:r>
          </w:p>
        </w:tc>
        <w:tc>
          <w:tcPr>
            <w:tcW w:w="2952" w:type="dxa"/>
            <w:shd w:val="clear" w:color="auto" w:fill="auto"/>
          </w:tcPr>
          <w:p w14:paraId="689CF4F2"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sz w:val="18"/>
                <w:szCs w:val="18"/>
                <w:lang w:val="es-ES"/>
              </w:rPr>
            </w:pPr>
            <w:r w:rsidRPr="00467CC9">
              <w:rPr>
                <w:sz w:val="18"/>
                <w:szCs w:val="18"/>
              </w:rPr>
              <w:t>либо</w:t>
            </w:r>
            <w:r w:rsidRPr="00467CC9">
              <w:rPr>
                <w:sz w:val="18"/>
                <w:szCs w:val="18"/>
                <w:lang w:val="es-ES"/>
              </w:rPr>
              <w:t xml:space="preserve"> ISO 11621:1997, </w:t>
            </w:r>
            <w:r w:rsidR="00467CC9">
              <w:rPr>
                <w:sz w:val="18"/>
                <w:szCs w:val="18"/>
                <w:lang w:val="es-ES"/>
              </w:rPr>
              <w:br/>
            </w:r>
            <w:r w:rsidRPr="00467CC9">
              <w:rPr>
                <w:sz w:val="18"/>
                <w:szCs w:val="18"/>
              </w:rPr>
              <w:t>либо</w:t>
            </w:r>
            <w:r w:rsidRPr="00467CC9">
              <w:rPr>
                <w:sz w:val="18"/>
                <w:szCs w:val="18"/>
                <w:lang w:val="es-ES"/>
              </w:rPr>
              <w:t xml:space="preserve"> EN ISO 11621:2005</w:t>
            </w:r>
          </w:p>
        </w:tc>
        <w:tc>
          <w:tcPr>
            <w:tcW w:w="3427" w:type="dxa"/>
            <w:shd w:val="clear" w:color="auto" w:fill="auto"/>
          </w:tcPr>
          <w:p w14:paraId="686DD9CE" w14:textId="77777777" w:rsidR="005164A9" w:rsidRPr="00467CC9" w:rsidRDefault="005164A9" w:rsidP="00C16294">
            <w:pPr>
              <w:autoSpaceDE w:val="0"/>
              <w:autoSpaceDN w:val="0"/>
              <w:adjustRightInd w:val="0"/>
              <w:snapToGrid w:val="0"/>
              <w:spacing w:before="40" w:after="40" w:line="240" w:lineRule="auto"/>
              <w:rPr>
                <w:rFonts w:cs="Arial"/>
                <w:color w:val="FF0000"/>
                <w:sz w:val="18"/>
                <w:szCs w:val="18"/>
                <w:u w:val="single"/>
              </w:rPr>
            </w:pPr>
            <w:r w:rsidRPr="00467CC9">
              <w:rPr>
                <w:sz w:val="18"/>
                <w:szCs w:val="18"/>
              </w:rPr>
              <w:t xml:space="preserve">Газовые баллоны – Процедуры подготовки под другие </w:t>
            </w:r>
            <w:r w:rsidR="00467CC9" w:rsidRPr="00467CC9">
              <w:rPr>
                <w:sz w:val="18"/>
                <w:szCs w:val="18"/>
              </w:rPr>
              <w:t>г</w:t>
            </w:r>
            <w:r w:rsidR="00467CC9">
              <w:rPr>
                <w:sz w:val="18"/>
                <w:szCs w:val="18"/>
              </w:rPr>
              <w:t>а</w:t>
            </w:r>
            <w:r w:rsidR="00467CC9" w:rsidRPr="00467CC9">
              <w:rPr>
                <w:sz w:val="18"/>
                <w:szCs w:val="18"/>
              </w:rPr>
              <w:t>з</w:t>
            </w:r>
            <w:r w:rsidR="00467CC9">
              <w:rPr>
                <w:sz w:val="18"/>
                <w:szCs w:val="18"/>
              </w:rPr>
              <w:t>ы</w:t>
            </w:r>
          </w:p>
        </w:tc>
      </w:tr>
      <w:tr w:rsidR="005164A9" w:rsidRPr="004B0347" w14:paraId="36E901E8" w14:textId="77777777" w:rsidTr="00467CC9">
        <w:tc>
          <w:tcPr>
            <w:tcW w:w="1134" w:type="dxa"/>
            <w:vMerge w:val="restart"/>
            <w:shd w:val="clear" w:color="auto" w:fill="auto"/>
          </w:tcPr>
          <w:p w14:paraId="7656F14F"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z w:val="18"/>
                <w:szCs w:val="18"/>
              </w:rPr>
              <w:t>4.1.6.8 Вентили с конструк-тивной защитой</w:t>
            </w:r>
          </w:p>
        </w:tc>
        <w:tc>
          <w:tcPr>
            <w:tcW w:w="2952" w:type="dxa"/>
            <w:shd w:val="clear" w:color="auto" w:fill="auto"/>
          </w:tcPr>
          <w:p w14:paraId="00745D76"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trike/>
                <w:sz w:val="18"/>
                <w:szCs w:val="18"/>
              </w:rPr>
              <w:t>Приложение А к</w:t>
            </w:r>
            <w:r w:rsidRPr="00467CC9">
              <w:rPr>
                <w:sz w:val="18"/>
                <w:szCs w:val="18"/>
              </w:rPr>
              <w:t xml:space="preserve"> </w:t>
            </w:r>
            <w:r w:rsidRPr="00467CC9">
              <w:rPr>
                <w:sz w:val="18"/>
                <w:szCs w:val="18"/>
                <w:u w:val="single"/>
              </w:rPr>
              <w:t>Пункт 4.6.2</w:t>
            </w:r>
            <w:r w:rsidRPr="00467CC9">
              <w:rPr>
                <w:sz w:val="18"/>
                <w:szCs w:val="18"/>
              </w:rPr>
              <w:t xml:space="preserve"> </w:t>
            </w:r>
            <w:r w:rsidR="00517257">
              <w:rPr>
                <w:sz w:val="18"/>
                <w:szCs w:val="18"/>
              </w:rPr>
              <w:br/>
            </w:r>
            <w:r w:rsidRPr="00467CC9">
              <w:rPr>
                <w:sz w:val="18"/>
                <w:szCs w:val="18"/>
              </w:rPr>
              <w:t>EN ISO 10297:2006, или</w:t>
            </w:r>
          </w:p>
          <w:p w14:paraId="0B3231CA"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trike/>
                <w:sz w:val="18"/>
                <w:szCs w:val="18"/>
              </w:rPr>
              <w:t>приложение А к</w:t>
            </w:r>
            <w:r w:rsidRPr="00467CC9">
              <w:rPr>
                <w:sz w:val="18"/>
                <w:szCs w:val="18"/>
              </w:rPr>
              <w:t xml:space="preserve"> </w:t>
            </w:r>
            <w:r w:rsidRPr="00467CC9">
              <w:rPr>
                <w:sz w:val="18"/>
                <w:szCs w:val="18"/>
                <w:u w:val="single"/>
              </w:rPr>
              <w:t>пункт 5.5.2</w:t>
            </w:r>
            <w:r w:rsidRPr="00467CC9">
              <w:rPr>
                <w:sz w:val="18"/>
                <w:szCs w:val="18"/>
              </w:rPr>
              <w:t xml:space="preserve"> EN</w:t>
            </w:r>
            <w:r w:rsidR="00517257">
              <w:rPr>
                <w:sz w:val="18"/>
                <w:szCs w:val="18"/>
              </w:rPr>
              <w:t> </w:t>
            </w:r>
            <w:r w:rsidRPr="00467CC9">
              <w:rPr>
                <w:sz w:val="18"/>
                <w:szCs w:val="18"/>
              </w:rPr>
              <w:t>ISO 10297:2014, или</w:t>
            </w:r>
          </w:p>
          <w:p w14:paraId="1FACD586"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trike/>
                <w:sz w:val="18"/>
                <w:szCs w:val="18"/>
              </w:rPr>
              <w:t>приложение А к</w:t>
            </w:r>
            <w:r w:rsidRPr="00467CC9">
              <w:rPr>
                <w:sz w:val="18"/>
                <w:szCs w:val="18"/>
              </w:rPr>
              <w:t xml:space="preserve"> </w:t>
            </w:r>
            <w:r w:rsidRPr="00467CC9">
              <w:rPr>
                <w:sz w:val="18"/>
                <w:szCs w:val="18"/>
                <w:u w:val="single"/>
              </w:rPr>
              <w:t>пункт 5.5.2</w:t>
            </w:r>
            <w:r w:rsidRPr="00467CC9">
              <w:rPr>
                <w:sz w:val="18"/>
                <w:szCs w:val="18"/>
              </w:rPr>
              <w:t xml:space="preserve"> EN</w:t>
            </w:r>
            <w:r w:rsidR="00517257">
              <w:rPr>
                <w:sz w:val="18"/>
                <w:szCs w:val="18"/>
              </w:rPr>
              <w:t> </w:t>
            </w:r>
            <w:r w:rsidRPr="00467CC9">
              <w:rPr>
                <w:sz w:val="18"/>
                <w:szCs w:val="18"/>
              </w:rPr>
              <w:t>ISO 10297:2014 + A1:2017</w:t>
            </w:r>
          </w:p>
        </w:tc>
        <w:tc>
          <w:tcPr>
            <w:tcW w:w="3427" w:type="dxa"/>
            <w:shd w:val="clear" w:color="auto" w:fill="auto"/>
          </w:tcPr>
          <w:p w14:paraId="44882B11" w14:textId="77777777" w:rsidR="005164A9" w:rsidRPr="00467CC9" w:rsidRDefault="005164A9" w:rsidP="00C16294">
            <w:pPr>
              <w:autoSpaceDE w:val="0"/>
              <w:autoSpaceDN w:val="0"/>
              <w:adjustRightInd w:val="0"/>
              <w:snapToGrid w:val="0"/>
              <w:spacing w:before="40" w:after="40" w:line="240" w:lineRule="auto"/>
              <w:rPr>
                <w:rFonts w:cs="Arial"/>
                <w:color w:val="FF0000"/>
                <w:sz w:val="18"/>
                <w:szCs w:val="18"/>
                <w:u w:val="single"/>
              </w:rPr>
            </w:pPr>
            <w:r w:rsidRPr="00467CC9">
              <w:rPr>
                <w:sz w:val="18"/>
                <w:szCs w:val="18"/>
              </w:rPr>
              <w:t xml:space="preserve">Газовые баллоны − Вентили </w:t>
            </w:r>
            <w:r w:rsidRPr="00467CC9">
              <w:rPr>
                <w:strike/>
                <w:sz w:val="18"/>
                <w:szCs w:val="18"/>
              </w:rPr>
              <w:t>газовых</w:t>
            </w:r>
            <w:r w:rsidRPr="00467CC9">
              <w:rPr>
                <w:sz w:val="18"/>
                <w:szCs w:val="18"/>
              </w:rPr>
              <w:t xml:space="preserve"> баллонов </w:t>
            </w:r>
            <w:r w:rsidRPr="00467CC9">
              <w:rPr>
                <w:strike/>
                <w:sz w:val="18"/>
                <w:szCs w:val="18"/>
              </w:rPr>
              <w:t>многоразового использования</w:t>
            </w:r>
            <w:r w:rsidR="00517257">
              <w:rPr>
                <w:strike/>
                <w:sz w:val="18"/>
                <w:szCs w:val="18"/>
              </w:rPr>
              <w:t> </w:t>
            </w:r>
            <w:r w:rsidRPr="00467CC9">
              <w:rPr>
                <w:sz w:val="18"/>
                <w:szCs w:val="18"/>
              </w:rPr>
              <w:t>− Технические требования и испытания типа</w:t>
            </w:r>
          </w:p>
        </w:tc>
      </w:tr>
      <w:tr w:rsidR="005164A9" w:rsidRPr="004B0347" w14:paraId="635CF10C" w14:textId="77777777" w:rsidTr="00467CC9">
        <w:tc>
          <w:tcPr>
            <w:tcW w:w="1134" w:type="dxa"/>
            <w:vMerge/>
            <w:shd w:val="clear" w:color="auto" w:fill="auto"/>
          </w:tcPr>
          <w:p w14:paraId="23FAF175"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sz w:val="18"/>
                <w:szCs w:val="18"/>
              </w:rPr>
            </w:pPr>
          </w:p>
        </w:tc>
        <w:tc>
          <w:tcPr>
            <w:tcW w:w="2952" w:type="dxa"/>
            <w:shd w:val="clear" w:color="auto" w:fill="auto"/>
          </w:tcPr>
          <w:p w14:paraId="6D0DD69D"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z w:val="18"/>
                <w:szCs w:val="18"/>
                <w:u w:val="single"/>
              </w:rPr>
              <w:t>Пункт 5.3.8</w:t>
            </w:r>
            <w:r w:rsidRPr="00467CC9">
              <w:rPr>
                <w:sz w:val="18"/>
                <w:szCs w:val="18"/>
              </w:rPr>
              <w:t xml:space="preserve"> EN 13152:2001 + A1:2003</w:t>
            </w:r>
          </w:p>
        </w:tc>
        <w:tc>
          <w:tcPr>
            <w:tcW w:w="3427" w:type="dxa"/>
            <w:shd w:val="clear" w:color="auto" w:fill="auto"/>
          </w:tcPr>
          <w:p w14:paraId="46EF3F51" w14:textId="77777777" w:rsidR="005164A9" w:rsidRPr="00467CC9" w:rsidRDefault="005164A9" w:rsidP="00C16294">
            <w:pPr>
              <w:autoSpaceDE w:val="0"/>
              <w:autoSpaceDN w:val="0"/>
              <w:adjustRightInd w:val="0"/>
              <w:snapToGrid w:val="0"/>
              <w:spacing w:before="40" w:after="40" w:line="240" w:lineRule="auto"/>
              <w:rPr>
                <w:rFonts w:cs="Arial"/>
                <w:color w:val="FF0000"/>
                <w:sz w:val="18"/>
                <w:szCs w:val="18"/>
                <w:u w:val="single"/>
              </w:rPr>
            </w:pPr>
            <w:r w:rsidRPr="00467CC9">
              <w:rPr>
                <w:sz w:val="18"/>
                <w:szCs w:val="18"/>
              </w:rPr>
              <w:t>Технические требования к вентилям баллонов для СНГ и их испытания – Самозакрывающиеся вентили</w:t>
            </w:r>
          </w:p>
        </w:tc>
      </w:tr>
      <w:tr w:rsidR="005164A9" w:rsidRPr="004B0347" w14:paraId="74A214BC" w14:textId="77777777" w:rsidTr="00467CC9">
        <w:tc>
          <w:tcPr>
            <w:tcW w:w="1134" w:type="dxa"/>
            <w:vMerge/>
            <w:shd w:val="clear" w:color="auto" w:fill="auto"/>
          </w:tcPr>
          <w:p w14:paraId="7F984567"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sz w:val="18"/>
                <w:szCs w:val="18"/>
              </w:rPr>
            </w:pPr>
          </w:p>
        </w:tc>
        <w:tc>
          <w:tcPr>
            <w:tcW w:w="2952" w:type="dxa"/>
            <w:shd w:val="clear" w:color="auto" w:fill="auto"/>
          </w:tcPr>
          <w:p w14:paraId="0FAB7DC7"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z w:val="18"/>
                <w:szCs w:val="18"/>
                <w:u w:val="single"/>
              </w:rPr>
              <w:t>Пункт 5.3.7</w:t>
            </w:r>
            <w:r w:rsidRPr="00467CC9">
              <w:rPr>
                <w:sz w:val="18"/>
                <w:szCs w:val="18"/>
              </w:rPr>
              <w:t xml:space="preserve"> EN 13153:2001 + A1:2003</w:t>
            </w:r>
          </w:p>
        </w:tc>
        <w:tc>
          <w:tcPr>
            <w:tcW w:w="3427" w:type="dxa"/>
            <w:shd w:val="clear" w:color="auto" w:fill="auto"/>
          </w:tcPr>
          <w:p w14:paraId="4104EA6C" w14:textId="77777777" w:rsidR="005164A9" w:rsidRPr="00467CC9" w:rsidRDefault="005164A9" w:rsidP="00C16294">
            <w:pPr>
              <w:autoSpaceDE w:val="0"/>
              <w:autoSpaceDN w:val="0"/>
              <w:adjustRightInd w:val="0"/>
              <w:snapToGrid w:val="0"/>
              <w:spacing w:before="40" w:after="40" w:line="240" w:lineRule="auto"/>
              <w:rPr>
                <w:rFonts w:cs="Arial"/>
                <w:color w:val="FF0000"/>
                <w:sz w:val="18"/>
                <w:szCs w:val="18"/>
                <w:u w:val="single"/>
              </w:rPr>
            </w:pPr>
            <w:r w:rsidRPr="00467CC9">
              <w:rPr>
                <w:sz w:val="18"/>
                <w:szCs w:val="18"/>
              </w:rPr>
              <w:t>Технические требования к вентилям баллонов для СНГ и их испытания − Вентили с ручным управлением</w:t>
            </w:r>
          </w:p>
        </w:tc>
      </w:tr>
      <w:tr w:rsidR="005164A9" w:rsidRPr="004B0347" w14:paraId="0446EEB4" w14:textId="77777777" w:rsidTr="00467CC9">
        <w:tc>
          <w:tcPr>
            <w:tcW w:w="1134" w:type="dxa"/>
            <w:vMerge/>
            <w:shd w:val="clear" w:color="auto" w:fill="auto"/>
          </w:tcPr>
          <w:p w14:paraId="090278E5"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sz w:val="18"/>
                <w:szCs w:val="18"/>
              </w:rPr>
            </w:pPr>
          </w:p>
        </w:tc>
        <w:tc>
          <w:tcPr>
            <w:tcW w:w="2952" w:type="dxa"/>
            <w:shd w:val="clear" w:color="auto" w:fill="auto"/>
          </w:tcPr>
          <w:p w14:paraId="3EE4A1C3"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z w:val="18"/>
                <w:szCs w:val="18"/>
                <w:u w:val="single"/>
              </w:rPr>
              <w:t>Пункт 5.9</w:t>
            </w:r>
            <w:r w:rsidRPr="00467CC9">
              <w:rPr>
                <w:sz w:val="18"/>
                <w:szCs w:val="18"/>
              </w:rPr>
              <w:t xml:space="preserve"> EN ISO 14245:2010 </w:t>
            </w:r>
            <w:r w:rsidRPr="00467CC9">
              <w:rPr>
                <w:b/>
                <w:bCs/>
                <w:sz w:val="18"/>
                <w:szCs w:val="18"/>
                <w:u w:val="single"/>
              </w:rPr>
              <w:t>или пункт 5.9 стандарта EN ISO 14245:2019</w:t>
            </w:r>
          </w:p>
        </w:tc>
        <w:tc>
          <w:tcPr>
            <w:tcW w:w="3427" w:type="dxa"/>
            <w:shd w:val="clear" w:color="auto" w:fill="auto"/>
          </w:tcPr>
          <w:p w14:paraId="641E94FF"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color w:val="FF0000"/>
                <w:sz w:val="18"/>
                <w:szCs w:val="18"/>
                <w:u w:val="single"/>
              </w:rPr>
            </w:pPr>
            <w:r w:rsidRPr="00467CC9">
              <w:rPr>
                <w:sz w:val="18"/>
                <w:szCs w:val="18"/>
              </w:rPr>
              <w:t xml:space="preserve">Газовые баллоны – Технические требования к вентилям баллонов для СНГ и их испытания −Самозакрывающиеся вентили </w:t>
            </w:r>
          </w:p>
        </w:tc>
      </w:tr>
      <w:tr w:rsidR="005164A9" w:rsidRPr="004B0347" w14:paraId="69CB4F72" w14:textId="77777777" w:rsidTr="00467CC9">
        <w:tc>
          <w:tcPr>
            <w:tcW w:w="1134" w:type="dxa"/>
            <w:vMerge/>
            <w:shd w:val="clear" w:color="auto" w:fill="auto"/>
          </w:tcPr>
          <w:p w14:paraId="304030BB" w14:textId="77777777" w:rsidR="005164A9" w:rsidRPr="00467CC9" w:rsidRDefault="005164A9" w:rsidP="00C16294">
            <w:pPr>
              <w:tabs>
                <w:tab w:val="left" w:pos="1418"/>
                <w:tab w:val="left" w:pos="2977"/>
                <w:tab w:val="left" w:pos="4395"/>
              </w:tabs>
              <w:adjustRightInd w:val="0"/>
              <w:snapToGrid w:val="0"/>
              <w:spacing w:before="40" w:after="40" w:line="240" w:lineRule="auto"/>
              <w:rPr>
                <w:sz w:val="18"/>
                <w:szCs w:val="18"/>
              </w:rPr>
            </w:pPr>
          </w:p>
        </w:tc>
        <w:tc>
          <w:tcPr>
            <w:tcW w:w="2952" w:type="dxa"/>
            <w:shd w:val="clear" w:color="auto" w:fill="auto"/>
          </w:tcPr>
          <w:p w14:paraId="299A3866" w14:textId="77777777" w:rsidR="005164A9" w:rsidRPr="00726C31" w:rsidRDefault="005164A9" w:rsidP="00C16294">
            <w:pPr>
              <w:autoSpaceDE w:val="0"/>
              <w:autoSpaceDN w:val="0"/>
              <w:adjustRightInd w:val="0"/>
              <w:snapToGrid w:val="0"/>
              <w:spacing w:before="40" w:after="40" w:line="240" w:lineRule="auto"/>
              <w:rPr>
                <w:rFonts w:cs="Arial"/>
                <w:color w:val="000000" w:themeColor="text1"/>
                <w:sz w:val="18"/>
                <w:szCs w:val="18"/>
                <w:lang w:val="es-ES"/>
              </w:rPr>
            </w:pPr>
            <w:r w:rsidRPr="00726C31">
              <w:rPr>
                <w:color w:val="000000" w:themeColor="text1"/>
                <w:sz w:val="18"/>
                <w:szCs w:val="18"/>
                <w:u w:val="single"/>
              </w:rPr>
              <w:t>Пункт</w:t>
            </w:r>
            <w:r w:rsidRPr="00726C31">
              <w:rPr>
                <w:color w:val="000000" w:themeColor="text1"/>
                <w:sz w:val="18"/>
                <w:szCs w:val="18"/>
                <w:u w:val="single"/>
                <w:lang w:val="es-ES"/>
              </w:rPr>
              <w:t xml:space="preserve"> 5.10</w:t>
            </w:r>
            <w:r w:rsidRPr="00726C31">
              <w:rPr>
                <w:color w:val="000000" w:themeColor="text1"/>
                <w:sz w:val="18"/>
                <w:szCs w:val="18"/>
                <w:lang w:val="es-ES"/>
              </w:rPr>
              <w:t xml:space="preserve"> EN ISO 15995:2010 </w:t>
            </w:r>
            <w:r w:rsidRPr="00726C31">
              <w:rPr>
                <w:b/>
                <w:bCs/>
                <w:color w:val="000000" w:themeColor="text1"/>
                <w:sz w:val="18"/>
                <w:szCs w:val="18"/>
                <w:u w:val="single"/>
              </w:rPr>
              <w:t>или</w:t>
            </w:r>
            <w:r w:rsidRPr="00726C31">
              <w:rPr>
                <w:b/>
                <w:bCs/>
                <w:color w:val="000000" w:themeColor="text1"/>
                <w:sz w:val="18"/>
                <w:szCs w:val="18"/>
                <w:u w:val="single"/>
                <w:lang w:val="es-ES"/>
              </w:rPr>
              <w:t xml:space="preserve"> </w:t>
            </w:r>
            <w:r w:rsidRPr="00726C31">
              <w:rPr>
                <w:b/>
                <w:bCs/>
                <w:color w:val="000000" w:themeColor="text1"/>
                <w:sz w:val="18"/>
                <w:szCs w:val="18"/>
                <w:u w:val="single"/>
              </w:rPr>
              <w:t>пункт</w:t>
            </w:r>
            <w:r w:rsidRPr="00726C31">
              <w:rPr>
                <w:b/>
                <w:bCs/>
                <w:color w:val="000000" w:themeColor="text1"/>
                <w:sz w:val="18"/>
                <w:szCs w:val="18"/>
                <w:u w:val="single"/>
                <w:lang w:val="es-ES"/>
              </w:rPr>
              <w:t xml:space="preserve"> 5.10 EN ISO 15995:2019</w:t>
            </w:r>
          </w:p>
        </w:tc>
        <w:tc>
          <w:tcPr>
            <w:tcW w:w="3427" w:type="dxa"/>
            <w:shd w:val="clear" w:color="auto" w:fill="auto"/>
          </w:tcPr>
          <w:p w14:paraId="1C7258F4"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color w:val="FF0000"/>
                <w:sz w:val="18"/>
                <w:szCs w:val="18"/>
                <w:u w:val="single"/>
              </w:rPr>
            </w:pPr>
            <w:r w:rsidRPr="00467CC9">
              <w:rPr>
                <w:sz w:val="18"/>
                <w:szCs w:val="18"/>
              </w:rPr>
              <w:t xml:space="preserve">Газовые баллоны – Технические требования к вентилям баллонов для СНГ и их испытания − Вентили с ручным управлением </w:t>
            </w:r>
          </w:p>
        </w:tc>
      </w:tr>
      <w:tr w:rsidR="005164A9" w:rsidRPr="004B0347" w14:paraId="55498264" w14:textId="77777777" w:rsidTr="00467CC9">
        <w:tc>
          <w:tcPr>
            <w:tcW w:w="1134" w:type="dxa"/>
            <w:vMerge/>
            <w:shd w:val="clear" w:color="auto" w:fill="auto"/>
          </w:tcPr>
          <w:p w14:paraId="37B3BB34" w14:textId="77777777" w:rsidR="005164A9" w:rsidRPr="00467CC9" w:rsidRDefault="005164A9" w:rsidP="00C16294">
            <w:pPr>
              <w:tabs>
                <w:tab w:val="left" w:pos="1418"/>
                <w:tab w:val="left" w:pos="2977"/>
                <w:tab w:val="left" w:pos="4395"/>
              </w:tabs>
              <w:adjustRightInd w:val="0"/>
              <w:snapToGrid w:val="0"/>
              <w:spacing w:before="40" w:after="40" w:line="240" w:lineRule="auto"/>
              <w:rPr>
                <w:sz w:val="18"/>
                <w:szCs w:val="18"/>
              </w:rPr>
            </w:pPr>
          </w:p>
        </w:tc>
        <w:tc>
          <w:tcPr>
            <w:tcW w:w="2952" w:type="dxa"/>
            <w:shd w:val="clear" w:color="auto" w:fill="auto"/>
          </w:tcPr>
          <w:p w14:paraId="05219E39"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z w:val="18"/>
                <w:szCs w:val="18"/>
                <w:u w:val="single"/>
              </w:rPr>
              <w:t>Пункт 5.4.2</w:t>
            </w:r>
            <w:r w:rsidRPr="00467CC9">
              <w:rPr>
                <w:sz w:val="18"/>
                <w:szCs w:val="18"/>
              </w:rPr>
              <w:t xml:space="preserve"> EN ISO 17879:2017</w:t>
            </w:r>
          </w:p>
        </w:tc>
        <w:tc>
          <w:tcPr>
            <w:tcW w:w="3427" w:type="dxa"/>
            <w:shd w:val="clear" w:color="auto" w:fill="auto"/>
          </w:tcPr>
          <w:p w14:paraId="75BFAC7F"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color w:val="FF0000"/>
                <w:sz w:val="18"/>
                <w:szCs w:val="18"/>
                <w:u w:val="single"/>
              </w:rPr>
            </w:pPr>
            <w:r w:rsidRPr="00467CC9">
              <w:rPr>
                <w:sz w:val="18"/>
                <w:szCs w:val="18"/>
              </w:rPr>
              <w:t>Газовые баллоны – Самозакрывающиеся вентили баллонов – Технические требования и испытания типа</w:t>
            </w:r>
          </w:p>
        </w:tc>
      </w:tr>
      <w:tr w:rsidR="005164A9" w:rsidRPr="004B0347" w14:paraId="0AEED9B9" w14:textId="77777777" w:rsidTr="00467CC9">
        <w:tc>
          <w:tcPr>
            <w:tcW w:w="1134" w:type="dxa"/>
            <w:vMerge w:val="restart"/>
            <w:shd w:val="clear" w:color="auto" w:fill="auto"/>
          </w:tcPr>
          <w:p w14:paraId="001C12B8" w14:textId="77777777" w:rsidR="005164A9" w:rsidRPr="00467CC9" w:rsidRDefault="005164A9" w:rsidP="00C16294">
            <w:pPr>
              <w:autoSpaceDE w:val="0"/>
              <w:autoSpaceDN w:val="0"/>
              <w:adjustRightInd w:val="0"/>
              <w:snapToGrid w:val="0"/>
              <w:spacing w:before="40" w:after="40" w:line="240" w:lineRule="auto"/>
              <w:rPr>
                <w:sz w:val="18"/>
                <w:szCs w:val="18"/>
              </w:rPr>
            </w:pPr>
            <w:r w:rsidRPr="00467CC9">
              <w:rPr>
                <w:sz w:val="18"/>
                <w:szCs w:val="18"/>
              </w:rPr>
              <w:t>4.1.6.8 b) и</w:t>
            </w:r>
            <w:r w:rsidR="00726C31">
              <w:rPr>
                <w:sz w:val="18"/>
                <w:szCs w:val="18"/>
              </w:rPr>
              <w:t> </w:t>
            </w:r>
            <w:r w:rsidRPr="00467CC9">
              <w:rPr>
                <w:sz w:val="18"/>
                <w:szCs w:val="18"/>
              </w:rPr>
              <w:t>c)</w:t>
            </w:r>
          </w:p>
        </w:tc>
        <w:tc>
          <w:tcPr>
            <w:tcW w:w="2952" w:type="dxa"/>
            <w:shd w:val="clear" w:color="auto" w:fill="auto"/>
          </w:tcPr>
          <w:p w14:paraId="5006CEE5" w14:textId="77777777" w:rsidR="005164A9" w:rsidRPr="00467CC9" w:rsidRDefault="005164A9" w:rsidP="00C16294">
            <w:pPr>
              <w:autoSpaceDE w:val="0"/>
              <w:autoSpaceDN w:val="0"/>
              <w:adjustRightInd w:val="0"/>
              <w:snapToGrid w:val="0"/>
              <w:spacing w:before="40" w:after="40" w:line="240" w:lineRule="auto"/>
              <w:rPr>
                <w:rFonts w:cs="Arial"/>
                <w:sz w:val="18"/>
                <w:szCs w:val="18"/>
                <w:lang w:val="es-ES"/>
              </w:rPr>
            </w:pPr>
            <w:r w:rsidRPr="00467CC9">
              <w:rPr>
                <w:sz w:val="18"/>
                <w:szCs w:val="18"/>
                <w:lang w:val="es-ES"/>
              </w:rPr>
              <w:t xml:space="preserve">ISO 11117:1998, </w:t>
            </w:r>
            <w:r w:rsidRPr="00467CC9">
              <w:rPr>
                <w:sz w:val="18"/>
                <w:szCs w:val="18"/>
              </w:rPr>
              <w:t>или</w:t>
            </w:r>
            <w:r w:rsidRPr="00467CC9">
              <w:rPr>
                <w:sz w:val="18"/>
                <w:szCs w:val="18"/>
                <w:lang w:val="es-ES"/>
              </w:rPr>
              <w:t xml:space="preserve"> EN ISO 11117:2008 + Cor 1:2009</w:t>
            </w:r>
            <w:r w:rsidRPr="00467CC9">
              <w:rPr>
                <w:b/>
                <w:bCs/>
                <w:sz w:val="18"/>
                <w:szCs w:val="18"/>
                <w:u w:val="single"/>
                <w:lang w:val="es-ES"/>
              </w:rPr>
              <w:t xml:space="preserve">, </w:t>
            </w:r>
            <w:r w:rsidRPr="00467CC9">
              <w:rPr>
                <w:b/>
                <w:bCs/>
                <w:sz w:val="18"/>
                <w:szCs w:val="18"/>
                <w:u w:val="single"/>
              </w:rPr>
              <w:t>или</w:t>
            </w:r>
            <w:r w:rsidRPr="00467CC9">
              <w:rPr>
                <w:b/>
                <w:bCs/>
                <w:sz w:val="18"/>
                <w:szCs w:val="18"/>
                <w:u w:val="single"/>
                <w:lang w:val="es-ES"/>
              </w:rPr>
              <w:t xml:space="preserve"> EN ISO 11117:2019</w:t>
            </w:r>
          </w:p>
        </w:tc>
        <w:tc>
          <w:tcPr>
            <w:tcW w:w="3427" w:type="dxa"/>
            <w:shd w:val="clear" w:color="auto" w:fill="auto"/>
          </w:tcPr>
          <w:p w14:paraId="303C0DEC" w14:textId="77777777" w:rsidR="005164A9" w:rsidRPr="00467CC9" w:rsidRDefault="005164A9" w:rsidP="00C16294">
            <w:pPr>
              <w:autoSpaceDE w:val="0"/>
              <w:autoSpaceDN w:val="0"/>
              <w:adjustRightInd w:val="0"/>
              <w:snapToGrid w:val="0"/>
              <w:spacing w:before="40" w:after="40" w:line="240" w:lineRule="auto"/>
              <w:rPr>
                <w:rFonts w:cs="Arial"/>
                <w:sz w:val="18"/>
                <w:szCs w:val="18"/>
                <w:u w:val="single"/>
              </w:rPr>
            </w:pPr>
            <w:r w:rsidRPr="00467CC9">
              <w:rPr>
                <w:sz w:val="18"/>
                <w:szCs w:val="18"/>
              </w:rPr>
              <w:t xml:space="preserve">Газовые баллоны – Предохранительные колпаки и защитные устройства вентилей </w:t>
            </w:r>
            <w:r w:rsidRPr="00467CC9">
              <w:rPr>
                <w:strike/>
                <w:sz w:val="18"/>
                <w:szCs w:val="18"/>
              </w:rPr>
              <w:t>на баллонах для промышленных и медицинских газов</w:t>
            </w:r>
            <w:r w:rsidRPr="00467CC9">
              <w:rPr>
                <w:sz w:val="18"/>
                <w:szCs w:val="18"/>
              </w:rPr>
              <w:t xml:space="preserve"> – Конструкция, изготовление и испытания</w:t>
            </w:r>
          </w:p>
        </w:tc>
      </w:tr>
      <w:tr w:rsidR="005164A9" w:rsidRPr="004B0347" w14:paraId="6E71442A" w14:textId="77777777" w:rsidTr="00467CC9">
        <w:tc>
          <w:tcPr>
            <w:tcW w:w="1134" w:type="dxa"/>
            <w:vMerge/>
            <w:tcBorders>
              <w:bottom w:val="single" w:sz="4" w:space="0" w:color="auto"/>
            </w:tcBorders>
            <w:shd w:val="clear" w:color="auto" w:fill="auto"/>
          </w:tcPr>
          <w:p w14:paraId="08235086" w14:textId="77777777" w:rsidR="005164A9" w:rsidRPr="00467CC9" w:rsidRDefault="005164A9" w:rsidP="00C16294">
            <w:pPr>
              <w:tabs>
                <w:tab w:val="left" w:pos="1418"/>
                <w:tab w:val="left" w:pos="2977"/>
                <w:tab w:val="left" w:pos="4395"/>
              </w:tabs>
              <w:adjustRightInd w:val="0"/>
              <w:snapToGrid w:val="0"/>
              <w:spacing w:before="40" w:after="40" w:line="240" w:lineRule="auto"/>
              <w:rPr>
                <w:sz w:val="18"/>
                <w:szCs w:val="18"/>
              </w:rPr>
            </w:pPr>
          </w:p>
        </w:tc>
        <w:tc>
          <w:tcPr>
            <w:tcW w:w="2952" w:type="dxa"/>
            <w:tcBorders>
              <w:bottom w:val="single" w:sz="4" w:space="0" w:color="auto"/>
            </w:tcBorders>
            <w:shd w:val="clear" w:color="auto" w:fill="auto"/>
          </w:tcPr>
          <w:p w14:paraId="4DD4CEA4" w14:textId="77777777" w:rsidR="005164A9" w:rsidRPr="00467CC9" w:rsidRDefault="005164A9" w:rsidP="00C16294">
            <w:pPr>
              <w:autoSpaceDE w:val="0"/>
              <w:autoSpaceDN w:val="0"/>
              <w:adjustRightInd w:val="0"/>
              <w:snapToGrid w:val="0"/>
              <w:spacing w:before="40" w:after="40" w:line="240" w:lineRule="auto"/>
              <w:rPr>
                <w:rFonts w:cs="Arial"/>
                <w:sz w:val="18"/>
                <w:szCs w:val="18"/>
              </w:rPr>
            </w:pPr>
            <w:r w:rsidRPr="00467CC9">
              <w:rPr>
                <w:sz w:val="18"/>
                <w:szCs w:val="18"/>
              </w:rPr>
              <w:t>EN 962:1996 +А2:2000</w:t>
            </w:r>
          </w:p>
        </w:tc>
        <w:tc>
          <w:tcPr>
            <w:tcW w:w="3427" w:type="dxa"/>
            <w:tcBorders>
              <w:bottom w:val="single" w:sz="4" w:space="0" w:color="auto"/>
            </w:tcBorders>
            <w:shd w:val="clear" w:color="auto" w:fill="auto"/>
          </w:tcPr>
          <w:p w14:paraId="780838A0" w14:textId="77777777" w:rsidR="005164A9" w:rsidRPr="00467CC9" w:rsidRDefault="005164A9" w:rsidP="00C16294">
            <w:pPr>
              <w:autoSpaceDE w:val="0"/>
              <w:autoSpaceDN w:val="0"/>
              <w:adjustRightInd w:val="0"/>
              <w:snapToGrid w:val="0"/>
              <w:spacing w:before="40" w:after="40" w:line="240" w:lineRule="auto"/>
              <w:rPr>
                <w:rFonts w:cs="Arial"/>
                <w:sz w:val="18"/>
                <w:szCs w:val="18"/>
                <w:u w:val="single"/>
              </w:rPr>
            </w:pPr>
            <w:r w:rsidRPr="00467CC9">
              <w:rPr>
                <w:sz w:val="18"/>
                <w:szCs w:val="18"/>
                <w:u w:val="single"/>
              </w:rPr>
              <w:t>Переносные газовые баллоны –</w:t>
            </w:r>
            <w:r w:rsidRPr="00467CC9">
              <w:rPr>
                <w:sz w:val="18"/>
                <w:szCs w:val="18"/>
              </w:rPr>
              <w:t xml:space="preserve"> Предохранительные колпаки вентилей и защитные устройства вентилей на баллонах для промышленных и медицинских газов – Конструкция, изготовление и испытания</w:t>
            </w:r>
          </w:p>
        </w:tc>
      </w:tr>
      <w:tr w:rsidR="005164A9" w:rsidRPr="004B0347" w14:paraId="47985AD5" w14:textId="77777777" w:rsidTr="00467CC9">
        <w:tc>
          <w:tcPr>
            <w:tcW w:w="1134" w:type="dxa"/>
            <w:vMerge/>
            <w:tcBorders>
              <w:bottom w:val="single" w:sz="4" w:space="0" w:color="auto"/>
            </w:tcBorders>
            <w:shd w:val="clear" w:color="auto" w:fill="auto"/>
          </w:tcPr>
          <w:p w14:paraId="0A50EAC9" w14:textId="77777777" w:rsidR="005164A9" w:rsidRPr="00467CC9" w:rsidRDefault="005164A9" w:rsidP="00C16294">
            <w:pPr>
              <w:tabs>
                <w:tab w:val="left" w:pos="1418"/>
                <w:tab w:val="left" w:pos="2977"/>
                <w:tab w:val="left" w:pos="4395"/>
              </w:tabs>
              <w:adjustRightInd w:val="0"/>
              <w:snapToGrid w:val="0"/>
              <w:spacing w:before="40" w:after="40" w:line="240" w:lineRule="auto"/>
              <w:rPr>
                <w:sz w:val="18"/>
                <w:szCs w:val="18"/>
              </w:rPr>
            </w:pPr>
          </w:p>
        </w:tc>
        <w:tc>
          <w:tcPr>
            <w:tcW w:w="2952" w:type="dxa"/>
            <w:tcBorders>
              <w:bottom w:val="single" w:sz="4" w:space="0" w:color="auto"/>
            </w:tcBorders>
            <w:shd w:val="clear" w:color="auto" w:fill="auto"/>
          </w:tcPr>
          <w:p w14:paraId="5D4BC74E"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sz w:val="18"/>
                <w:szCs w:val="18"/>
              </w:rPr>
            </w:pPr>
            <w:r w:rsidRPr="00467CC9">
              <w:rPr>
                <w:sz w:val="18"/>
                <w:szCs w:val="18"/>
              </w:rPr>
              <w:t>ISO 16111:2008</w:t>
            </w:r>
          </w:p>
        </w:tc>
        <w:tc>
          <w:tcPr>
            <w:tcW w:w="3427" w:type="dxa"/>
            <w:tcBorders>
              <w:bottom w:val="single" w:sz="4" w:space="0" w:color="auto"/>
            </w:tcBorders>
            <w:shd w:val="clear" w:color="auto" w:fill="auto"/>
          </w:tcPr>
          <w:p w14:paraId="3F29F492" w14:textId="77777777" w:rsidR="005164A9" w:rsidRPr="00467CC9" w:rsidRDefault="005164A9" w:rsidP="00C16294">
            <w:pPr>
              <w:tabs>
                <w:tab w:val="left" w:pos="1418"/>
                <w:tab w:val="left" w:pos="2977"/>
                <w:tab w:val="left" w:pos="4395"/>
              </w:tabs>
              <w:adjustRightInd w:val="0"/>
              <w:snapToGrid w:val="0"/>
              <w:spacing w:before="40" w:after="40" w:line="240" w:lineRule="auto"/>
              <w:rPr>
                <w:rFonts w:cs="Arial"/>
                <w:color w:val="FF0000"/>
                <w:sz w:val="18"/>
                <w:szCs w:val="18"/>
                <w:u w:val="single"/>
              </w:rPr>
            </w:pPr>
            <w:r w:rsidRPr="00467CC9">
              <w:rPr>
                <w:sz w:val="18"/>
                <w:szCs w:val="18"/>
              </w:rPr>
              <w:t>Переносные емкости для хранения газа – Водород, поглощаемый обратимым металлгидридом</w:t>
            </w:r>
          </w:p>
        </w:tc>
      </w:tr>
    </w:tbl>
    <w:p w14:paraId="3AE17665" w14:textId="7B048C87" w:rsidR="005164A9" w:rsidRPr="004B0347" w:rsidRDefault="005164A9" w:rsidP="00575B4E">
      <w:pPr>
        <w:pStyle w:val="SingleTxtG"/>
        <w:adjustRightInd w:val="0"/>
        <w:snapToGrid w:val="0"/>
        <w:spacing w:before="120" w:line="240" w:lineRule="auto"/>
        <w:jc w:val="left"/>
      </w:pPr>
      <w:r>
        <w:t>Таблица 2: Даты изготовления, применимые к предохранительным колпакам и</w:t>
      </w:r>
      <w:r w:rsidR="00575B4E">
        <w:t> </w:t>
      </w:r>
      <w:r>
        <w:t>защитным устройствам вентилей, установленных на сосудах под давлением, кроме</w:t>
      </w:r>
      <w:r w:rsidR="00575B4E">
        <w:t> </w:t>
      </w:r>
      <w:r>
        <w:t>сосудов «UN»</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3796"/>
        <w:gridCol w:w="1559"/>
      </w:tblGrid>
      <w:tr w:rsidR="005164A9" w:rsidRPr="00726C31" w14:paraId="637AAA19" w14:textId="77777777" w:rsidTr="006C72C2">
        <w:tc>
          <w:tcPr>
            <w:tcW w:w="2016" w:type="dxa"/>
            <w:shd w:val="clear" w:color="auto" w:fill="auto"/>
            <w:vAlign w:val="center"/>
          </w:tcPr>
          <w:p w14:paraId="7687D26F" w14:textId="77777777" w:rsidR="005164A9" w:rsidRPr="00726C31" w:rsidRDefault="005164A9" w:rsidP="00C16294">
            <w:pPr>
              <w:keepNext/>
              <w:tabs>
                <w:tab w:val="left" w:pos="1418"/>
                <w:tab w:val="left" w:pos="2977"/>
                <w:tab w:val="left" w:pos="4395"/>
              </w:tabs>
              <w:adjustRightInd w:val="0"/>
              <w:snapToGrid w:val="0"/>
              <w:spacing w:before="20" w:after="20" w:line="240" w:lineRule="auto"/>
              <w:jc w:val="center"/>
              <w:rPr>
                <w:rFonts w:cs="Arial"/>
                <w:b/>
                <w:sz w:val="18"/>
                <w:szCs w:val="18"/>
                <w:u w:val="single"/>
              </w:rPr>
            </w:pPr>
            <w:r w:rsidRPr="00726C31">
              <w:rPr>
                <w:b/>
                <w:bCs/>
                <w:sz w:val="18"/>
                <w:szCs w:val="18"/>
                <w:u w:val="single"/>
              </w:rPr>
              <w:t>Ссылка</w:t>
            </w:r>
          </w:p>
        </w:tc>
        <w:tc>
          <w:tcPr>
            <w:tcW w:w="3796" w:type="dxa"/>
            <w:shd w:val="clear" w:color="auto" w:fill="auto"/>
            <w:vAlign w:val="center"/>
          </w:tcPr>
          <w:p w14:paraId="53A0F30B" w14:textId="77777777" w:rsidR="005164A9" w:rsidRPr="00726C31" w:rsidRDefault="005164A9" w:rsidP="00C16294">
            <w:pPr>
              <w:keepNext/>
              <w:tabs>
                <w:tab w:val="left" w:pos="1418"/>
                <w:tab w:val="left" w:pos="2977"/>
                <w:tab w:val="left" w:pos="4395"/>
              </w:tabs>
              <w:adjustRightInd w:val="0"/>
              <w:snapToGrid w:val="0"/>
              <w:spacing w:before="20" w:after="20" w:line="240" w:lineRule="auto"/>
              <w:jc w:val="center"/>
              <w:rPr>
                <w:rFonts w:cs="Arial"/>
                <w:b/>
                <w:sz w:val="18"/>
                <w:szCs w:val="18"/>
                <w:u w:val="single"/>
              </w:rPr>
            </w:pPr>
            <w:r w:rsidRPr="00726C31">
              <w:rPr>
                <w:b/>
                <w:bCs/>
                <w:sz w:val="18"/>
                <w:szCs w:val="18"/>
                <w:u w:val="single"/>
              </w:rPr>
              <w:t>Наименование документа</w:t>
            </w:r>
          </w:p>
        </w:tc>
        <w:tc>
          <w:tcPr>
            <w:tcW w:w="1559" w:type="dxa"/>
            <w:shd w:val="clear" w:color="auto" w:fill="auto"/>
          </w:tcPr>
          <w:p w14:paraId="6098DD9D" w14:textId="77777777" w:rsidR="005164A9" w:rsidRPr="00726C31" w:rsidRDefault="005164A9" w:rsidP="00C16294">
            <w:pPr>
              <w:keepNext/>
              <w:autoSpaceDE w:val="0"/>
              <w:autoSpaceDN w:val="0"/>
              <w:adjustRightInd w:val="0"/>
              <w:snapToGrid w:val="0"/>
              <w:spacing w:before="20" w:after="20" w:line="240" w:lineRule="auto"/>
              <w:jc w:val="center"/>
              <w:rPr>
                <w:b/>
                <w:sz w:val="18"/>
                <w:szCs w:val="18"/>
                <w:u w:val="single"/>
              </w:rPr>
            </w:pPr>
            <w:r w:rsidRPr="00726C31">
              <w:rPr>
                <w:b/>
                <w:bCs/>
                <w:sz w:val="18"/>
                <w:szCs w:val="18"/>
                <w:u w:val="single"/>
              </w:rPr>
              <w:t>Применяется в</w:t>
            </w:r>
            <w:r w:rsidR="00726C31">
              <w:rPr>
                <w:b/>
                <w:bCs/>
                <w:sz w:val="18"/>
                <w:szCs w:val="18"/>
                <w:u w:val="single"/>
              </w:rPr>
              <w:t> </w:t>
            </w:r>
            <w:r w:rsidRPr="00726C31">
              <w:rPr>
                <w:b/>
                <w:bCs/>
                <w:sz w:val="18"/>
                <w:szCs w:val="18"/>
                <w:u w:val="single"/>
              </w:rPr>
              <w:t>отношении изготовления</w:t>
            </w:r>
          </w:p>
        </w:tc>
      </w:tr>
      <w:tr w:rsidR="005164A9" w:rsidRPr="00726C31" w14:paraId="71B4A4AD" w14:textId="77777777" w:rsidTr="006C72C2">
        <w:tc>
          <w:tcPr>
            <w:tcW w:w="2016" w:type="dxa"/>
            <w:shd w:val="clear" w:color="auto" w:fill="auto"/>
          </w:tcPr>
          <w:p w14:paraId="73DC67A8" w14:textId="77777777" w:rsidR="005164A9" w:rsidRPr="00726C31" w:rsidRDefault="005164A9" w:rsidP="00C16294">
            <w:pPr>
              <w:autoSpaceDE w:val="0"/>
              <w:autoSpaceDN w:val="0"/>
              <w:adjustRightInd w:val="0"/>
              <w:snapToGrid w:val="0"/>
              <w:spacing w:before="20" w:after="20" w:line="240" w:lineRule="auto"/>
              <w:rPr>
                <w:rFonts w:cs="Arial"/>
                <w:sz w:val="18"/>
                <w:szCs w:val="18"/>
                <w:u w:val="single"/>
              </w:rPr>
            </w:pPr>
            <w:r w:rsidRPr="00726C31">
              <w:rPr>
                <w:sz w:val="18"/>
                <w:szCs w:val="18"/>
                <w:u w:val="single"/>
              </w:rPr>
              <w:t>ISO 1111 7:1998</w:t>
            </w:r>
          </w:p>
        </w:tc>
        <w:tc>
          <w:tcPr>
            <w:tcW w:w="3796" w:type="dxa"/>
            <w:shd w:val="clear" w:color="auto" w:fill="auto"/>
          </w:tcPr>
          <w:p w14:paraId="69818B6B" w14:textId="788952B9" w:rsidR="005164A9" w:rsidRPr="00726C31" w:rsidRDefault="005164A9" w:rsidP="00C16294">
            <w:pPr>
              <w:autoSpaceDE w:val="0"/>
              <w:autoSpaceDN w:val="0"/>
              <w:adjustRightInd w:val="0"/>
              <w:snapToGrid w:val="0"/>
              <w:spacing w:before="20" w:after="20" w:line="240" w:lineRule="auto"/>
              <w:rPr>
                <w:rFonts w:cs="Arial"/>
                <w:sz w:val="18"/>
                <w:szCs w:val="18"/>
                <w:u w:val="single"/>
              </w:rPr>
            </w:pPr>
            <w:r w:rsidRPr="00726C31">
              <w:rPr>
                <w:sz w:val="18"/>
                <w:szCs w:val="18"/>
                <w:u w:val="single"/>
              </w:rPr>
              <w:t>Газовые баллоны – Предохранительные колпаки вентилей и защитные устройства вентилей на баллонах для промышленных и</w:t>
            </w:r>
            <w:r w:rsidR="006C72C2">
              <w:rPr>
                <w:sz w:val="18"/>
                <w:szCs w:val="18"/>
                <w:u w:val="single"/>
                <w:lang w:val="fr-CA"/>
              </w:rPr>
              <w:t> </w:t>
            </w:r>
            <w:r w:rsidRPr="00726C31">
              <w:rPr>
                <w:sz w:val="18"/>
                <w:szCs w:val="18"/>
                <w:u w:val="single"/>
              </w:rPr>
              <w:t>медицинских газов – Конструкция, изготовление и испытания</w:t>
            </w:r>
          </w:p>
        </w:tc>
        <w:tc>
          <w:tcPr>
            <w:tcW w:w="1559" w:type="dxa"/>
            <w:shd w:val="clear" w:color="auto" w:fill="auto"/>
          </w:tcPr>
          <w:p w14:paraId="29CE7D96" w14:textId="77777777" w:rsidR="005164A9" w:rsidRPr="00726C31" w:rsidRDefault="005164A9" w:rsidP="00C16294">
            <w:pPr>
              <w:autoSpaceDE w:val="0"/>
              <w:autoSpaceDN w:val="0"/>
              <w:adjustRightInd w:val="0"/>
              <w:snapToGrid w:val="0"/>
              <w:spacing w:before="20" w:after="20" w:line="240" w:lineRule="auto"/>
              <w:rPr>
                <w:rFonts w:cs="Arial"/>
                <w:sz w:val="18"/>
                <w:szCs w:val="18"/>
                <w:u w:val="single"/>
              </w:rPr>
            </w:pPr>
            <w:r w:rsidRPr="00726C31">
              <w:rPr>
                <w:sz w:val="18"/>
                <w:szCs w:val="18"/>
                <w:u w:val="single"/>
              </w:rPr>
              <w:t>До 31 декабря 2014 года</w:t>
            </w:r>
          </w:p>
        </w:tc>
      </w:tr>
      <w:tr w:rsidR="005164A9" w:rsidRPr="00726C31" w14:paraId="63C1B595" w14:textId="77777777" w:rsidTr="006C72C2">
        <w:tc>
          <w:tcPr>
            <w:tcW w:w="2016" w:type="dxa"/>
            <w:shd w:val="clear" w:color="auto" w:fill="auto"/>
          </w:tcPr>
          <w:p w14:paraId="3A1E821A" w14:textId="5BF59F3D" w:rsidR="005164A9" w:rsidRPr="00726C31" w:rsidRDefault="005164A9" w:rsidP="00C16294">
            <w:pPr>
              <w:autoSpaceDE w:val="0"/>
              <w:autoSpaceDN w:val="0"/>
              <w:adjustRightInd w:val="0"/>
              <w:snapToGrid w:val="0"/>
              <w:spacing w:before="20" w:after="20" w:line="240" w:lineRule="auto"/>
              <w:rPr>
                <w:rFonts w:cs="Arial"/>
                <w:sz w:val="18"/>
                <w:szCs w:val="18"/>
                <w:u w:val="single"/>
              </w:rPr>
            </w:pPr>
            <w:r w:rsidRPr="00726C31">
              <w:rPr>
                <w:sz w:val="18"/>
                <w:szCs w:val="18"/>
                <w:u w:val="single"/>
              </w:rPr>
              <w:t>EN ISO 11117:2008</w:t>
            </w:r>
            <w:r w:rsidR="006C72C2">
              <w:rPr>
                <w:sz w:val="18"/>
                <w:szCs w:val="18"/>
                <w:u w:val="single"/>
                <w:lang w:val="fr-CA"/>
              </w:rPr>
              <w:t> </w:t>
            </w:r>
            <w:r w:rsidRPr="00726C31">
              <w:rPr>
                <w:sz w:val="18"/>
                <w:szCs w:val="18"/>
                <w:u w:val="single"/>
              </w:rPr>
              <w:t>+ Cor 1:2009</w:t>
            </w:r>
          </w:p>
        </w:tc>
        <w:tc>
          <w:tcPr>
            <w:tcW w:w="3796" w:type="dxa"/>
            <w:shd w:val="clear" w:color="auto" w:fill="auto"/>
          </w:tcPr>
          <w:p w14:paraId="3F71DFA9" w14:textId="77777777" w:rsidR="005164A9" w:rsidRPr="00726C31" w:rsidRDefault="005164A9" w:rsidP="00C16294">
            <w:pPr>
              <w:autoSpaceDE w:val="0"/>
              <w:autoSpaceDN w:val="0"/>
              <w:adjustRightInd w:val="0"/>
              <w:snapToGrid w:val="0"/>
              <w:spacing w:before="20" w:after="20" w:line="240" w:lineRule="auto"/>
              <w:rPr>
                <w:rFonts w:cs="Arial"/>
                <w:sz w:val="18"/>
                <w:szCs w:val="18"/>
                <w:u w:val="single"/>
              </w:rPr>
            </w:pPr>
            <w:r w:rsidRPr="00726C31">
              <w:rPr>
                <w:sz w:val="18"/>
                <w:szCs w:val="18"/>
                <w:u w:val="single"/>
              </w:rPr>
              <w:t>Газовые баллоны – Предохранительные колпаки вентилей и защитные устройства вентилей – Конструкция, изготовление и испытания</w:t>
            </w:r>
          </w:p>
        </w:tc>
        <w:tc>
          <w:tcPr>
            <w:tcW w:w="1559" w:type="dxa"/>
            <w:shd w:val="clear" w:color="auto" w:fill="auto"/>
          </w:tcPr>
          <w:p w14:paraId="0E9E236D" w14:textId="77777777" w:rsidR="005164A9" w:rsidRPr="00726C31" w:rsidRDefault="005164A9" w:rsidP="00C16294">
            <w:pPr>
              <w:autoSpaceDE w:val="0"/>
              <w:autoSpaceDN w:val="0"/>
              <w:adjustRightInd w:val="0"/>
              <w:snapToGrid w:val="0"/>
              <w:spacing w:before="20" w:after="20" w:line="240" w:lineRule="auto"/>
              <w:rPr>
                <w:rFonts w:cs="Arial"/>
                <w:sz w:val="18"/>
                <w:szCs w:val="18"/>
                <w:u w:val="single"/>
              </w:rPr>
            </w:pPr>
            <w:r w:rsidRPr="00726C31">
              <w:rPr>
                <w:sz w:val="18"/>
                <w:szCs w:val="18"/>
                <w:u w:val="single"/>
              </w:rPr>
              <w:t>До 31 декабря 2022 года</w:t>
            </w:r>
          </w:p>
        </w:tc>
      </w:tr>
      <w:tr w:rsidR="005164A9" w:rsidRPr="00726C31" w14:paraId="39B3FB8D" w14:textId="77777777" w:rsidTr="006C72C2">
        <w:tc>
          <w:tcPr>
            <w:tcW w:w="2016" w:type="dxa"/>
            <w:shd w:val="clear" w:color="auto" w:fill="auto"/>
          </w:tcPr>
          <w:p w14:paraId="195FFCAF" w14:textId="77777777" w:rsidR="005164A9" w:rsidRPr="00726C31" w:rsidRDefault="005164A9" w:rsidP="00C16294">
            <w:pPr>
              <w:autoSpaceDE w:val="0"/>
              <w:autoSpaceDN w:val="0"/>
              <w:adjustRightInd w:val="0"/>
              <w:snapToGrid w:val="0"/>
              <w:spacing w:before="20" w:after="20" w:line="240" w:lineRule="auto"/>
              <w:rPr>
                <w:rFonts w:cs="Arial"/>
                <w:b/>
                <w:bCs/>
                <w:sz w:val="18"/>
                <w:szCs w:val="18"/>
                <w:u w:val="single"/>
              </w:rPr>
            </w:pPr>
            <w:r w:rsidRPr="00726C31">
              <w:rPr>
                <w:b/>
                <w:bCs/>
                <w:sz w:val="18"/>
                <w:szCs w:val="18"/>
                <w:u w:val="single"/>
              </w:rPr>
              <w:t>EN ISO 11117:2019</w:t>
            </w:r>
          </w:p>
        </w:tc>
        <w:tc>
          <w:tcPr>
            <w:tcW w:w="3796" w:type="dxa"/>
            <w:shd w:val="clear" w:color="auto" w:fill="auto"/>
          </w:tcPr>
          <w:p w14:paraId="126D7A1A" w14:textId="40254D7C" w:rsidR="005164A9" w:rsidRPr="00726C31" w:rsidRDefault="005164A9" w:rsidP="00C16294">
            <w:pPr>
              <w:autoSpaceDE w:val="0"/>
              <w:autoSpaceDN w:val="0"/>
              <w:adjustRightInd w:val="0"/>
              <w:snapToGrid w:val="0"/>
              <w:spacing w:before="20" w:after="20" w:line="240" w:lineRule="auto"/>
              <w:rPr>
                <w:rFonts w:cs="Arial"/>
                <w:b/>
                <w:bCs/>
                <w:sz w:val="18"/>
                <w:szCs w:val="18"/>
                <w:u w:val="single"/>
              </w:rPr>
            </w:pPr>
            <w:r w:rsidRPr="00726C31">
              <w:rPr>
                <w:b/>
                <w:bCs/>
                <w:sz w:val="18"/>
                <w:szCs w:val="18"/>
                <w:u w:val="single"/>
              </w:rPr>
              <w:t>Газовые баллоны – Предохранительные колпаки и защитные устройства вентилей</w:t>
            </w:r>
            <w:r w:rsidR="006C72C2">
              <w:rPr>
                <w:b/>
                <w:bCs/>
                <w:sz w:val="18"/>
                <w:szCs w:val="18"/>
                <w:u w:val="single"/>
                <w:lang w:val="fr-CA"/>
              </w:rPr>
              <w:t> </w:t>
            </w:r>
            <w:r w:rsidRPr="00726C31">
              <w:rPr>
                <w:b/>
                <w:bCs/>
                <w:sz w:val="18"/>
                <w:szCs w:val="18"/>
                <w:u w:val="single"/>
              </w:rPr>
              <w:t>– Конструкция, изготовление и испытания</w:t>
            </w:r>
          </w:p>
        </w:tc>
        <w:tc>
          <w:tcPr>
            <w:tcW w:w="1559" w:type="dxa"/>
            <w:shd w:val="clear" w:color="auto" w:fill="auto"/>
          </w:tcPr>
          <w:p w14:paraId="0CF1F796" w14:textId="77777777" w:rsidR="005164A9" w:rsidRPr="00726C31" w:rsidRDefault="005164A9" w:rsidP="00C16294">
            <w:pPr>
              <w:autoSpaceDE w:val="0"/>
              <w:autoSpaceDN w:val="0"/>
              <w:adjustRightInd w:val="0"/>
              <w:snapToGrid w:val="0"/>
              <w:spacing w:before="20" w:after="20" w:line="240" w:lineRule="auto"/>
              <w:rPr>
                <w:rFonts w:cs="Arial"/>
                <w:b/>
                <w:bCs/>
                <w:sz w:val="18"/>
                <w:szCs w:val="18"/>
                <w:u w:val="single"/>
              </w:rPr>
            </w:pPr>
            <w:r w:rsidRPr="00726C31">
              <w:rPr>
                <w:b/>
                <w:bCs/>
                <w:sz w:val="18"/>
                <w:szCs w:val="18"/>
                <w:u w:val="single"/>
              </w:rPr>
              <w:t>До дальнейшего указания</w:t>
            </w:r>
          </w:p>
        </w:tc>
      </w:tr>
      <w:tr w:rsidR="005164A9" w:rsidRPr="00726C31" w14:paraId="65C1ECAD" w14:textId="77777777" w:rsidTr="006C72C2">
        <w:tc>
          <w:tcPr>
            <w:tcW w:w="2016" w:type="dxa"/>
            <w:shd w:val="clear" w:color="auto" w:fill="auto"/>
          </w:tcPr>
          <w:p w14:paraId="48C623B1" w14:textId="6C8DD3BB" w:rsidR="005164A9" w:rsidRPr="00726C31" w:rsidRDefault="005164A9" w:rsidP="00C16294">
            <w:pPr>
              <w:autoSpaceDE w:val="0"/>
              <w:autoSpaceDN w:val="0"/>
              <w:adjustRightInd w:val="0"/>
              <w:snapToGrid w:val="0"/>
              <w:spacing w:before="20" w:after="20" w:line="240" w:lineRule="auto"/>
              <w:rPr>
                <w:rFonts w:cs="Arial"/>
                <w:sz w:val="18"/>
                <w:szCs w:val="18"/>
                <w:u w:val="single"/>
              </w:rPr>
            </w:pPr>
            <w:r w:rsidRPr="00726C31">
              <w:rPr>
                <w:sz w:val="18"/>
                <w:szCs w:val="18"/>
                <w:u w:val="single"/>
              </w:rPr>
              <w:t>EN 962:1996</w:t>
            </w:r>
            <w:r w:rsidR="006C72C2">
              <w:rPr>
                <w:sz w:val="18"/>
                <w:szCs w:val="18"/>
                <w:u w:val="single"/>
                <w:lang w:val="fr-CA"/>
              </w:rPr>
              <w:t> </w:t>
            </w:r>
            <w:r w:rsidRPr="00726C31">
              <w:rPr>
                <w:sz w:val="18"/>
                <w:szCs w:val="18"/>
                <w:u w:val="single"/>
              </w:rPr>
              <w:t>+А2:2000</w:t>
            </w:r>
          </w:p>
        </w:tc>
        <w:tc>
          <w:tcPr>
            <w:tcW w:w="3796" w:type="dxa"/>
            <w:shd w:val="clear" w:color="auto" w:fill="auto"/>
          </w:tcPr>
          <w:p w14:paraId="74542479" w14:textId="77777777" w:rsidR="005164A9" w:rsidRPr="00726C31" w:rsidRDefault="005164A9" w:rsidP="00C16294">
            <w:pPr>
              <w:autoSpaceDE w:val="0"/>
              <w:autoSpaceDN w:val="0"/>
              <w:adjustRightInd w:val="0"/>
              <w:snapToGrid w:val="0"/>
              <w:spacing w:before="20" w:after="20" w:line="240" w:lineRule="auto"/>
              <w:rPr>
                <w:rFonts w:cs="Arial"/>
                <w:sz w:val="18"/>
                <w:szCs w:val="18"/>
                <w:u w:val="single"/>
              </w:rPr>
            </w:pPr>
            <w:r w:rsidRPr="00726C31">
              <w:rPr>
                <w:sz w:val="18"/>
                <w:szCs w:val="18"/>
                <w:u w:val="single"/>
              </w:rPr>
              <w:t>Переносные газовые баллоны – Предохранительные колпаки вентилей и защитные устройства вентилей на баллонах для промышленных и медицинских газов – Конструкция, изготовление и испытания</w:t>
            </w:r>
          </w:p>
        </w:tc>
        <w:tc>
          <w:tcPr>
            <w:tcW w:w="1559" w:type="dxa"/>
            <w:shd w:val="clear" w:color="auto" w:fill="auto"/>
          </w:tcPr>
          <w:p w14:paraId="5B083ABB" w14:textId="77777777" w:rsidR="005164A9" w:rsidRPr="00726C31" w:rsidRDefault="005164A9" w:rsidP="00C16294">
            <w:pPr>
              <w:autoSpaceDE w:val="0"/>
              <w:autoSpaceDN w:val="0"/>
              <w:adjustRightInd w:val="0"/>
              <w:snapToGrid w:val="0"/>
              <w:spacing w:before="20" w:after="20" w:line="240" w:lineRule="auto"/>
              <w:rPr>
                <w:rFonts w:cs="Arial"/>
                <w:sz w:val="18"/>
                <w:szCs w:val="18"/>
                <w:u w:val="single"/>
              </w:rPr>
            </w:pPr>
            <w:r w:rsidRPr="00726C31">
              <w:rPr>
                <w:sz w:val="18"/>
                <w:szCs w:val="18"/>
                <w:u w:val="single"/>
              </w:rPr>
              <w:t>До 31 декабря 2014 года</w:t>
            </w:r>
          </w:p>
        </w:tc>
      </w:tr>
    </w:tbl>
    <w:p w14:paraId="5BA19365" w14:textId="77777777" w:rsidR="00E12C5F" w:rsidRPr="005164A9" w:rsidRDefault="005164A9" w:rsidP="005164A9">
      <w:pPr>
        <w:spacing w:before="240"/>
        <w:jc w:val="center"/>
        <w:rPr>
          <w:u w:val="single"/>
        </w:rPr>
      </w:pPr>
      <w:r>
        <w:rPr>
          <w:u w:val="single"/>
        </w:rPr>
        <w:tab/>
      </w:r>
      <w:r>
        <w:rPr>
          <w:u w:val="single"/>
        </w:rPr>
        <w:tab/>
      </w:r>
      <w:r>
        <w:rPr>
          <w:u w:val="single"/>
        </w:rPr>
        <w:tab/>
      </w:r>
    </w:p>
    <w:sectPr w:rsidR="00E12C5F" w:rsidRPr="005164A9" w:rsidSect="005164A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2524" w14:textId="77777777" w:rsidR="006509C3" w:rsidRPr="00A312BC" w:rsidRDefault="006509C3" w:rsidP="00A312BC"/>
  </w:endnote>
  <w:endnote w:type="continuationSeparator" w:id="0">
    <w:p w14:paraId="6932A357" w14:textId="77777777" w:rsidR="006509C3" w:rsidRPr="00A312BC" w:rsidRDefault="006509C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04DE" w14:textId="77777777" w:rsidR="005164A9" w:rsidRPr="005164A9" w:rsidRDefault="005164A9">
    <w:pPr>
      <w:pStyle w:val="Footer"/>
    </w:pPr>
    <w:r w:rsidRPr="005164A9">
      <w:rPr>
        <w:b/>
        <w:sz w:val="18"/>
      </w:rPr>
      <w:fldChar w:fldCharType="begin"/>
    </w:r>
    <w:r w:rsidRPr="005164A9">
      <w:rPr>
        <w:b/>
        <w:sz w:val="18"/>
      </w:rPr>
      <w:instrText xml:space="preserve"> PAGE  \* MERGEFORMAT </w:instrText>
    </w:r>
    <w:r w:rsidRPr="005164A9">
      <w:rPr>
        <w:b/>
        <w:sz w:val="18"/>
      </w:rPr>
      <w:fldChar w:fldCharType="separate"/>
    </w:r>
    <w:r w:rsidRPr="005164A9">
      <w:rPr>
        <w:b/>
        <w:noProof/>
        <w:sz w:val="18"/>
      </w:rPr>
      <w:t>2</w:t>
    </w:r>
    <w:r w:rsidRPr="005164A9">
      <w:rPr>
        <w:b/>
        <w:sz w:val="18"/>
      </w:rPr>
      <w:fldChar w:fldCharType="end"/>
    </w:r>
    <w:r>
      <w:rPr>
        <w:b/>
        <w:sz w:val="18"/>
      </w:rPr>
      <w:tab/>
    </w:r>
    <w:r>
      <w:t>GE.20-07561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A16E" w14:textId="77777777" w:rsidR="005164A9" w:rsidRPr="005164A9" w:rsidRDefault="005164A9" w:rsidP="005164A9">
    <w:pPr>
      <w:pStyle w:val="Footer"/>
      <w:tabs>
        <w:tab w:val="clear" w:pos="9639"/>
        <w:tab w:val="right" w:pos="9638"/>
      </w:tabs>
      <w:rPr>
        <w:b/>
        <w:sz w:val="18"/>
      </w:rPr>
    </w:pPr>
    <w:r>
      <w:t>GE.20-07561</w:t>
    </w:r>
    <w:r>
      <w:tab/>
    </w:r>
    <w:r w:rsidRPr="005164A9">
      <w:rPr>
        <w:b/>
        <w:sz w:val="18"/>
      </w:rPr>
      <w:fldChar w:fldCharType="begin"/>
    </w:r>
    <w:r w:rsidRPr="005164A9">
      <w:rPr>
        <w:b/>
        <w:sz w:val="18"/>
      </w:rPr>
      <w:instrText xml:space="preserve"> PAGE  \* MERGEFORMAT </w:instrText>
    </w:r>
    <w:r w:rsidRPr="005164A9">
      <w:rPr>
        <w:b/>
        <w:sz w:val="18"/>
      </w:rPr>
      <w:fldChar w:fldCharType="separate"/>
    </w:r>
    <w:r w:rsidRPr="005164A9">
      <w:rPr>
        <w:b/>
        <w:noProof/>
        <w:sz w:val="18"/>
      </w:rPr>
      <w:t>3</w:t>
    </w:r>
    <w:r w:rsidRPr="005164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7637" w14:textId="77777777" w:rsidR="00042B72" w:rsidRPr="005164A9" w:rsidRDefault="005164A9" w:rsidP="005164A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EC03F10" wp14:editId="304049C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20-07561  (R)</w:t>
    </w:r>
    <w:r>
      <w:rPr>
        <w:lang w:val="fr-CA"/>
      </w:rPr>
      <w:t xml:space="preserve">  180620  190620</w:t>
    </w:r>
    <w:r>
      <w:br/>
    </w:r>
    <w:r w:rsidRPr="005164A9">
      <w:rPr>
        <w:rFonts w:ascii="C39T30Lfz" w:hAnsi="C39T30Lfz"/>
        <w:kern w:val="14"/>
        <w:sz w:val="56"/>
      </w:rPr>
      <w:t></w:t>
    </w:r>
    <w:r w:rsidRPr="005164A9">
      <w:rPr>
        <w:rFonts w:ascii="C39T30Lfz" w:hAnsi="C39T30Lfz"/>
        <w:kern w:val="14"/>
        <w:sz w:val="56"/>
      </w:rPr>
      <w:t></w:t>
    </w:r>
    <w:r w:rsidRPr="005164A9">
      <w:rPr>
        <w:rFonts w:ascii="C39T30Lfz" w:hAnsi="C39T30Lfz"/>
        <w:kern w:val="14"/>
        <w:sz w:val="56"/>
      </w:rPr>
      <w:t></w:t>
    </w:r>
    <w:r w:rsidRPr="005164A9">
      <w:rPr>
        <w:rFonts w:ascii="C39T30Lfz" w:hAnsi="C39T30Lfz"/>
        <w:kern w:val="14"/>
        <w:sz w:val="56"/>
      </w:rPr>
      <w:t></w:t>
    </w:r>
    <w:r w:rsidRPr="005164A9">
      <w:rPr>
        <w:rFonts w:ascii="C39T30Lfz" w:hAnsi="C39T30Lfz"/>
        <w:kern w:val="14"/>
        <w:sz w:val="56"/>
      </w:rPr>
      <w:t></w:t>
    </w:r>
    <w:r w:rsidRPr="005164A9">
      <w:rPr>
        <w:rFonts w:ascii="C39T30Lfz" w:hAnsi="C39T30Lfz"/>
        <w:kern w:val="14"/>
        <w:sz w:val="56"/>
      </w:rPr>
      <w:t></w:t>
    </w:r>
    <w:r w:rsidRPr="005164A9">
      <w:rPr>
        <w:rFonts w:ascii="C39T30Lfz" w:hAnsi="C39T30Lfz"/>
        <w:kern w:val="14"/>
        <w:sz w:val="56"/>
      </w:rPr>
      <w:t></w:t>
    </w:r>
    <w:r w:rsidRPr="005164A9">
      <w:rPr>
        <w:rFonts w:ascii="C39T30Lfz" w:hAnsi="C39T30Lfz"/>
        <w:kern w:val="14"/>
        <w:sz w:val="56"/>
      </w:rPr>
      <w:t></w:t>
    </w:r>
    <w:r w:rsidRPr="005164A9">
      <w:rPr>
        <w:rFonts w:ascii="C39T30Lfz" w:hAnsi="C39T30Lfz"/>
        <w:kern w:val="14"/>
        <w:sz w:val="56"/>
      </w:rPr>
      <w:t></w:t>
    </w:r>
    <w:r>
      <w:rPr>
        <w:noProof/>
      </w:rPr>
      <w:drawing>
        <wp:anchor distT="0" distB="0" distL="114300" distR="114300" simplePos="0" relativeHeight="251659264" behindDoc="0" locked="0" layoutInCell="1" allowOverlap="1" wp14:anchorId="665C369D" wp14:editId="7AA80D0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7E3B" w14:textId="77777777" w:rsidR="006509C3" w:rsidRPr="001075E9" w:rsidRDefault="006509C3" w:rsidP="001075E9">
      <w:pPr>
        <w:tabs>
          <w:tab w:val="right" w:pos="2155"/>
        </w:tabs>
        <w:spacing w:after="80" w:line="240" w:lineRule="auto"/>
        <w:ind w:left="680"/>
        <w:rPr>
          <w:u w:val="single"/>
        </w:rPr>
      </w:pPr>
      <w:r>
        <w:rPr>
          <w:u w:val="single"/>
        </w:rPr>
        <w:tab/>
      </w:r>
    </w:p>
  </w:footnote>
  <w:footnote w:type="continuationSeparator" w:id="0">
    <w:p w14:paraId="7B19D9F1" w14:textId="77777777" w:rsidR="006509C3" w:rsidRDefault="006509C3" w:rsidP="00407B78">
      <w:pPr>
        <w:tabs>
          <w:tab w:val="right" w:pos="2155"/>
        </w:tabs>
        <w:spacing w:after="80"/>
        <w:ind w:left="680"/>
        <w:rPr>
          <w:u w:val="single"/>
        </w:rPr>
      </w:pPr>
      <w:r>
        <w:rPr>
          <w:u w:val="single"/>
        </w:rPr>
        <w:tab/>
      </w:r>
    </w:p>
  </w:footnote>
  <w:footnote w:id="1">
    <w:p w14:paraId="1C08F09B" w14:textId="77777777" w:rsidR="005164A9" w:rsidRPr="00554902" w:rsidRDefault="005164A9" w:rsidP="005164A9">
      <w:pPr>
        <w:pStyle w:val="FootnoteText"/>
        <w:rPr>
          <w:sz w:val="20"/>
        </w:rPr>
      </w:pPr>
      <w:r>
        <w:tab/>
      </w:r>
      <w:r w:rsidRPr="001D4987">
        <w:rPr>
          <w:sz w:val="20"/>
        </w:rPr>
        <w:t>*</w:t>
      </w:r>
      <w:r>
        <w:tab/>
        <w:t>2020 год (A/74/6 (раздел 20) и дополнительная информация, подпрограмма 2).</w:t>
      </w:r>
    </w:p>
  </w:footnote>
  <w:footnote w:id="2">
    <w:p w14:paraId="1E033829" w14:textId="77777777" w:rsidR="005164A9" w:rsidRPr="00554902" w:rsidRDefault="005164A9" w:rsidP="005164A9">
      <w:pPr>
        <w:pStyle w:val="FootnoteText"/>
        <w:rPr>
          <w:sz w:val="20"/>
        </w:rPr>
      </w:pPr>
      <w:r>
        <w:tab/>
      </w:r>
      <w:r w:rsidRPr="001D4987">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19EB" w14:textId="1DBB1B09" w:rsidR="005164A9" w:rsidRPr="005164A9" w:rsidRDefault="00F31095">
    <w:pPr>
      <w:pStyle w:val="Header"/>
    </w:pPr>
    <w:r>
      <w:fldChar w:fldCharType="begin"/>
    </w:r>
    <w:r>
      <w:instrText xml:space="preserve"> TITLE  \* MERGEFORMAT </w:instrText>
    </w:r>
    <w:r>
      <w:fldChar w:fldCharType="separate"/>
    </w:r>
    <w:r w:rsidR="006011EA">
      <w:t>ECE/TRANS/WP.15/AC.1/2020/46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50B2" w14:textId="2727A5F0" w:rsidR="005164A9" w:rsidRPr="005164A9" w:rsidRDefault="00F31095" w:rsidP="005164A9">
    <w:pPr>
      <w:pStyle w:val="Header"/>
      <w:jc w:val="right"/>
    </w:pPr>
    <w:r>
      <w:fldChar w:fldCharType="begin"/>
    </w:r>
    <w:r>
      <w:instrText xml:space="preserve"> TITLE  \* MERGEFORMAT </w:instrText>
    </w:r>
    <w:r>
      <w:fldChar w:fldCharType="separate"/>
    </w:r>
    <w:r w:rsidR="006011EA">
      <w:t>ECE/TRANS/WP.15/AC.1/2020/46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AFD3" w14:textId="77777777" w:rsidR="005164A9" w:rsidRDefault="005164A9" w:rsidP="005164A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17DE9"/>
    <w:multiLevelType w:val="hybridMultilevel"/>
    <w:tmpl w:val="05A029FA"/>
    <w:lvl w:ilvl="0" w:tplc="1FF0B204">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lvlOverride w:ilvl="0">
      <w:lvl w:ilvl="0" w:tplc="F11C89BC">
        <w:start w:val="1"/>
        <w:numFmt w:val="decimal"/>
        <w:lvlText w:val="%1."/>
        <w:lvlJc w:val="left"/>
        <w:pPr>
          <w:ind w:left="1494" w:hanging="360"/>
        </w:pPr>
        <w:rPr>
          <w:rFonts w:hint="default"/>
        </w:rPr>
      </w:lvl>
    </w:lvlOverride>
  </w:num>
  <w:num w:numId="23">
    <w:abstractNumId w:val="17"/>
    <w:lvlOverride w:ilvl="0">
      <w:lvl w:ilvl="0" w:tplc="1FF0B204">
        <w:start w:val="3"/>
        <w:numFmt w:val="decimal"/>
        <w:lvlText w:val="%1."/>
        <w:lvlJc w:val="left"/>
        <w:pPr>
          <w:ind w:left="1494"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D498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55FC5"/>
    <w:rsid w:val="00457F9C"/>
    <w:rsid w:val="00467CC9"/>
    <w:rsid w:val="00472C5C"/>
    <w:rsid w:val="004E05B7"/>
    <w:rsid w:val="0050108D"/>
    <w:rsid w:val="00513081"/>
    <w:rsid w:val="005164A9"/>
    <w:rsid w:val="00517257"/>
    <w:rsid w:val="00517901"/>
    <w:rsid w:val="00526683"/>
    <w:rsid w:val="005639C1"/>
    <w:rsid w:val="005709E0"/>
    <w:rsid w:val="00572E19"/>
    <w:rsid w:val="00575B4E"/>
    <w:rsid w:val="005961C8"/>
    <w:rsid w:val="005966F1"/>
    <w:rsid w:val="005D7914"/>
    <w:rsid w:val="005E2B41"/>
    <w:rsid w:val="005F0B42"/>
    <w:rsid w:val="006011EA"/>
    <w:rsid w:val="00617A43"/>
    <w:rsid w:val="006345DB"/>
    <w:rsid w:val="00640F49"/>
    <w:rsid w:val="006509C3"/>
    <w:rsid w:val="00680D03"/>
    <w:rsid w:val="00681A10"/>
    <w:rsid w:val="006A1ED8"/>
    <w:rsid w:val="006C2031"/>
    <w:rsid w:val="006C72C2"/>
    <w:rsid w:val="006D461A"/>
    <w:rsid w:val="006F35EE"/>
    <w:rsid w:val="007021FF"/>
    <w:rsid w:val="00712895"/>
    <w:rsid w:val="00726C31"/>
    <w:rsid w:val="00734ACB"/>
    <w:rsid w:val="00757357"/>
    <w:rsid w:val="0078074C"/>
    <w:rsid w:val="00792497"/>
    <w:rsid w:val="007E672A"/>
    <w:rsid w:val="00806737"/>
    <w:rsid w:val="00825F8D"/>
    <w:rsid w:val="00834B71"/>
    <w:rsid w:val="008533EF"/>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21EE"/>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B5284"/>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31095"/>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9D5D4"/>
  <w15:docId w15:val="{BAFCED6C-F66A-41C4-837C-01B82FF1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5164A9"/>
    <w:rPr>
      <w:lang w:val="ru-RU" w:eastAsia="en-US"/>
    </w:rPr>
  </w:style>
  <w:style w:type="paragraph" w:styleId="BodyTextIndent2">
    <w:name w:val="Body Text Indent 2"/>
    <w:basedOn w:val="Normal"/>
    <w:link w:val="BodyTextIndent2Char"/>
    <w:rsid w:val="005164A9"/>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5164A9"/>
    <w:rPr>
      <w:lang w:val="en-GB" w:eastAsia="en-US"/>
    </w:rPr>
  </w:style>
  <w:style w:type="character" w:customStyle="1" w:styleId="HChGChar">
    <w:name w:val="_ H _Ch_G Char"/>
    <w:link w:val="HChG"/>
    <w:rsid w:val="005164A9"/>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6003</Characters>
  <Application>Microsoft Office Word</Application>
  <DocSecurity>0</DocSecurity>
  <Lines>50</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ECE/TRANS/WP.15/AC.1/2020/46</vt:lpstr>
      <vt:lpstr>A/</vt:lpstr>
      <vt:lpstr>A/</vt:lpstr>
    </vt:vector>
  </TitlesOfParts>
  <Company>DCM</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ECE/TRANS/WP.15/AC.1/2020/46</dc:title>
  <dc:subject/>
  <dc:creator>Olga OVTCHINNIKOVA</dc:creator>
  <cp:keywords/>
  <cp:lastModifiedBy>Christine Barrio-Champeau</cp:lastModifiedBy>
  <cp:revision>2</cp:revision>
  <cp:lastPrinted>2020-06-19T12:09:00Z</cp:lastPrinted>
  <dcterms:created xsi:type="dcterms:W3CDTF">2020-07-02T12:45:00Z</dcterms:created>
  <dcterms:modified xsi:type="dcterms:W3CDTF">2020-07-02T12:45:00Z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